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702315" w14:textId="77777777" w:rsidR="00587925" w:rsidRDefault="00C879E6" w:rsidP="00587925">
      <w:pPr>
        <w:pStyle w:val="Title"/>
      </w:pPr>
      <w:r>
        <w:t>NATIONAL INSTITUTE FOR HEALTH AND C</w:t>
      </w:r>
      <w:r w:rsidR="00671BA1">
        <w:t>ARE</w:t>
      </w:r>
      <w:r>
        <w:t xml:space="preserve"> EXCELLENCE</w:t>
      </w:r>
    </w:p>
    <w:p w14:paraId="47FEBA4A" w14:textId="77777777" w:rsidR="00C341B7" w:rsidRDefault="00C341B7" w:rsidP="00C341B7">
      <w:pPr>
        <w:pStyle w:val="Title"/>
      </w:pPr>
      <w:r>
        <w:t>HEALTH TECHNOLOGY APPRAISAL PROGRAMME</w:t>
      </w:r>
    </w:p>
    <w:p w14:paraId="123D84D3" w14:textId="77777777" w:rsidR="00587925" w:rsidRDefault="00587925" w:rsidP="00587925">
      <w:pPr>
        <w:pStyle w:val="Title"/>
      </w:pPr>
      <w:r>
        <w:t xml:space="preserve">Equality impact assessment – Guidance </w:t>
      </w:r>
      <w:r w:rsidR="0006094B">
        <w:t>d</w:t>
      </w:r>
      <w:r>
        <w:t>evelopment</w:t>
      </w:r>
    </w:p>
    <w:p w14:paraId="5D1D4142" w14:textId="4801851E" w:rsidR="00587925" w:rsidRDefault="00587925" w:rsidP="00587925">
      <w:pPr>
        <w:pStyle w:val="Title"/>
      </w:pPr>
      <w:r>
        <w:t>S</w:t>
      </w:r>
      <w:r w:rsidR="001F50BF">
        <w:t xml:space="preserve">TA Abiraterone for newly diagnosed high-risk hormone sensitive metastatic prostate </w:t>
      </w:r>
      <w:proofErr w:type="gramStart"/>
      <w:r w:rsidR="001F50BF">
        <w:t>cancer</w:t>
      </w:r>
      <w:proofErr w:type="gramEnd"/>
    </w:p>
    <w:p w14:paraId="465D5A11" w14:textId="77777777" w:rsidR="00587925" w:rsidRDefault="005D5E17" w:rsidP="00C879E6">
      <w:pPr>
        <w:pStyle w:val="Paragraphnonumbers"/>
      </w:pPr>
      <w:r>
        <w:t xml:space="preserve">The </w:t>
      </w:r>
      <w:r w:rsidR="00587925">
        <w:t xml:space="preserve">impact on equality has been assessed during this appraisal according to the principles of the NICE </w:t>
      </w:r>
      <w:r w:rsidR="00D85018">
        <w:t>e</w:t>
      </w:r>
      <w:r w:rsidR="00587925">
        <w:t>quality scheme.</w:t>
      </w:r>
    </w:p>
    <w:p w14:paraId="065516E5" w14:textId="64263D6B" w:rsidR="00587925" w:rsidRDefault="001F50BF" w:rsidP="00C879E6">
      <w:pPr>
        <w:pStyle w:val="Heading1"/>
      </w:pPr>
      <w:r>
        <w:t>Appeal</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14"/>
      </w:tblGrid>
      <w:tr w:rsidR="009B6CB9" w:rsidRPr="009B6CB9" w14:paraId="2A3B27A8" w14:textId="77777777" w:rsidTr="002341D7">
        <w:tc>
          <w:tcPr>
            <w:tcW w:w="8414" w:type="dxa"/>
          </w:tcPr>
          <w:p w14:paraId="095C0512" w14:textId="1FF60322" w:rsidR="009B6CB9" w:rsidRPr="009B6CB9" w:rsidRDefault="009B6CB9" w:rsidP="00B525C5">
            <w:pPr>
              <w:pStyle w:val="Paragraph"/>
              <w:numPr>
                <w:ilvl w:val="0"/>
                <w:numId w:val="21"/>
              </w:numPr>
              <w:ind w:left="709" w:hanging="709"/>
            </w:pPr>
            <w:r w:rsidRPr="009B6CB9">
              <w:t xml:space="preserve">Have the potential equality issues identified during the </w:t>
            </w:r>
            <w:r w:rsidR="001F50BF">
              <w:t xml:space="preserve">appeal </w:t>
            </w:r>
            <w:r w:rsidRPr="009B6CB9">
              <w:t xml:space="preserve">  been addressed by the </w:t>
            </w:r>
            <w:r w:rsidR="00B525C5">
              <w:t>c</w:t>
            </w:r>
            <w:r w:rsidRPr="009B6CB9">
              <w:t>ommittee</w:t>
            </w:r>
            <w:r w:rsidR="005A1027">
              <w:t>, and, if so, how</w:t>
            </w:r>
            <w:r w:rsidRPr="009B6CB9">
              <w:t>?</w:t>
            </w:r>
          </w:p>
        </w:tc>
      </w:tr>
      <w:tr w:rsidR="009B6CB9" w:rsidRPr="009B6CB9" w14:paraId="0789E76F" w14:textId="77777777" w:rsidTr="002341D7">
        <w:tc>
          <w:tcPr>
            <w:tcW w:w="8414" w:type="dxa"/>
          </w:tcPr>
          <w:p w14:paraId="0D92A98C" w14:textId="7E672E59" w:rsidR="00A04BDE" w:rsidRDefault="001F50BF" w:rsidP="002341D7">
            <w:pPr>
              <w:pStyle w:val="Paragraphnonumbers"/>
            </w:pPr>
            <w:r>
              <w:t xml:space="preserve">During the appeal, stakeholders raised that a people for whom docetaxel is contraindicated or unsuitable tend to be older. The appellants suggested that not making a recommendation for this group separately </w:t>
            </w:r>
            <w:r w:rsidR="00F06919">
              <w:t xml:space="preserve">may discriminate against older people. </w:t>
            </w:r>
          </w:p>
          <w:p w14:paraId="5769FF0C" w14:textId="6B1CAAB9" w:rsidR="00F06919" w:rsidRDefault="00F06919" w:rsidP="002341D7">
            <w:pPr>
              <w:pStyle w:val="Paragraphnonumbers"/>
            </w:pPr>
            <w:r>
              <w:t xml:space="preserve">The appeal panels conclusions </w:t>
            </w:r>
            <w:proofErr w:type="gramStart"/>
            <w:r>
              <w:t>were</w:t>
            </w:r>
            <w:proofErr w:type="gramEnd"/>
          </w:p>
          <w:p w14:paraId="45CE636F" w14:textId="029B8EAF" w:rsidR="00F06919" w:rsidRDefault="008D2D4F" w:rsidP="00F06919">
            <w:pPr>
              <w:pStyle w:val="Paragraphnonumbers"/>
              <w:numPr>
                <w:ilvl w:val="0"/>
                <w:numId w:val="24"/>
              </w:numPr>
            </w:pPr>
            <w:r>
              <w:t>‘</w:t>
            </w:r>
            <w:r w:rsidR="00F06919">
              <w:t xml:space="preserve">The current reasoning around the failure to define this subgroup [in the FAD] </w:t>
            </w:r>
            <w:r>
              <w:t xml:space="preserve">does not address the fact that the subgroup will tend to comprise older </w:t>
            </w:r>
            <w:proofErr w:type="gramStart"/>
            <w:r>
              <w:t>men’</w:t>
            </w:r>
            <w:proofErr w:type="gramEnd"/>
          </w:p>
          <w:p w14:paraId="24BD769D" w14:textId="6FC1DEC2" w:rsidR="008D2D4F" w:rsidRDefault="008D2D4F" w:rsidP="00F06919">
            <w:pPr>
              <w:pStyle w:val="Paragraphnonumbers"/>
              <w:numPr>
                <w:ilvl w:val="0"/>
                <w:numId w:val="24"/>
              </w:numPr>
            </w:pPr>
            <w:r>
              <w:t xml:space="preserve">…’although equality legislation requires this subgroup to be more fully considered it does not necessarily follow that in this case, after appropriate consideration, special provision will need to be made for </w:t>
            </w:r>
            <w:proofErr w:type="gramStart"/>
            <w:r>
              <w:t>them’</w:t>
            </w:r>
            <w:proofErr w:type="gramEnd"/>
          </w:p>
          <w:p w14:paraId="45A3E9F0" w14:textId="75C6662E" w:rsidR="00F06919" w:rsidRDefault="00F06919" w:rsidP="002341D7">
            <w:pPr>
              <w:pStyle w:val="Paragraphnonumbers"/>
            </w:pPr>
            <w:r>
              <w:t>The committee</w:t>
            </w:r>
          </w:p>
          <w:p w14:paraId="52CDF35E" w14:textId="574AD6F7" w:rsidR="00F06919" w:rsidRDefault="00F06919" w:rsidP="00F06919">
            <w:pPr>
              <w:pStyle w:val="Paragraphnonumbers"/>
              <w:numPr>
                <w:ilvl w:val="0"/>
                <w:numId w:val="23"/>
              </w:numPr>
            </w:pPr>
            <w:r>
              <w:t xml:space="preserve">considered data submitted by stakeholders showing that use of docetaxel was lower in older </w:t>
            </w:r>
            <w:proofErr w:type="gramStart"/>
            <w:r>
              <w:t>people</w:t>
            </w:r>
            <w:proofErr w:type="gramEnd"/>
          </w:p>
          <w:p w14:paraId="6D259D11" w14:textId="7CF6F13E" w:rsidR="00F06919" w:rsidRDefault="00F06919" w:rsidP="00F06919">
            <w:pPr>
              <w:pStyle w:val="Paragraphnonumbers"/>
              <w:numPr>
                <w:ilvl w:val="0"/>
                <w:numId w:val="23"/>
              </w:numPr>
            </w:pPr>
            <w:r>
              <w:t xml:space="preserve">determined a framework to define people for whom docetaxel is contraindicated or unsuitable noting that although age was a risk </w:t>
            </w:r>
            <w:r>
              <w:lastRenderedPageBreak/>
              <w:t xml:space="preserve">factor for being in this group, it did not define who could and could not have </w:t>
            </w:r>
            <w:proofErr w:type="gramStart"/>
            <w:r>
              <w:t>docetaxel</w:t>
            </w:r>
            <w:proofErr w:type="gramEnd"/>
          </w:p>
          <w:p w14:paraId="2891DDCC" w14:textId="262F49C5" w:rsidR="00F06919" w:rsidRDefault="00F06919" w:rsidP="00F06919">
            <w:pPr>
              <w:pStyle w:val="Paragraphnonumbers"/>
              <w:numPr>
                <w:ilvl w:val="0"/>
                <w:numId w:val="23"/>
              </w:numPr>
            </w:pPr>
            <w:r>
              <w:t xml:space="preserve">considered the available evidence for the group of people for whom docetaxel is contraindicated or unsuitable and the evidence for the treatment effect of abiraterone compared with ADT in different age </w:t>
            </w:r>
            <w:proofErr w:type="gramStart"/>
            <w:r>
              <w:t>groups</w:t>
            </w:r>
            <w:proofErr w:type="gramEnd"/>
          </w:p>
          <w:p w14:paraId="7F2DC9A7" w14:textId="0BDBC7D6" w:rsidR="00F06919" w:rsidRDefault="00F06919" w:rsidP="00F06919">
            <w:pPr>
              <w:pStyle w:val="Paragraphnonumbers"/>
              <w:numPr>
                <w:ilvl w:val="0"/>
                <w:numId w:val="23"/>
              </w:numPr>
            </w:pPr>
            <w:r>
              <w:t xml:space="preserve">noted that making recommendations </w:t>
            </w:r>
            <w:r w:rsidR="008D2D4F">
              <w:t>ba</w:t>
            </w:r>
            <w:r w:rsidR="009D75FC">
              <w:t>sed on</w:t>
            </w:r>
            <w:r w:rsidR="008D2D4F">
              <w:t xml:space="preserve"> age to reflect people who cannot or should not have docetaxel could discriminate against younger people for whom docetaxel is contraindicated or unsuitable.</w:t>
            </w:r>
          </w:p>
          <w:p w14:paraId="3A6D20A3" w14:textId="09BA8005" w:rsidR="00F06919" w:rsidRDefault="00F06919" w:rsidP="002341D7">
            <w:pPr>
              <w:pStyle w:val="Paragraphnonumbers"/>
            </w:pPr>
          </w:p>
        </w:tc>
      </w:tr>
    </w:tbl>
    <w:p w14:paraId="5080351C" w14:textId="77777777" w:rsidR="00B6372C" w:rsidRPr="00C879E6" w:rsidRDefault="00B6372C" w:rsidP="00C879E6"/>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14"/>
      </w:tblGrid>
      <w:tr w:rsidR="009B6CB9" w:rsidRPr="009B6CB9" w14:paraId="61693FE3" w14:textId="77777777" w:rsidTr="002341D7">
        <w:tc>
          <w:tcPr>
            <w:tcW w:w="8414" w:type="dxa"/>
          </w:tcPr>
          <w:p w14:paraId="61825E51" w14:textId="77777777" w:rsidR="009B6CB9" w:rsidRPr="009B6CB9" w:rsidRDefault="009B6CB9" w:rsidP="00B525C5">
            <w:pPr>
              <w:pStyle w:val="Paragraph"/>
            </w:pPr>
            <w:r w:rsidRPr="009B6CB9">
              <w:t xml:space="preserve">Have any other </w:t>
            </w:r>
            <w:r w:rsidR="00E412AD">
              <w:t xml:space="preserve">potential </w:t>
            </w:r>
            <w:r w:rsidRPr="009B6CB9">
              <w:t xml:space="preserve">equality issues been raised in the submissions, expert </w:t>
            </w:r>
            <w:proofErr w:type="gramStart"/>
            <w:r w:rsidRPr="009B6CB9">
              <w:t>statements</w:t>
            </w:r>
            <w:proofErr w:type="gramEnd"/>
            <w:r w:rsidRPr="009B6CB9">
              <w:t xml:space="preserve"> or academic report, and</w:t>
            </w:r>
            <w:r w:rsidR="00EA1EC9">
              <w:t>, if so,</w:t>
            </w:r>
            <w:r w:rsidRPr="009B6CB9">
              <w:t xml:space="preserve"> how has the </w:t>
            </w:r>
            <w:r w:rsidR="00B525C5">
              <w:t>c</w:t>
            </w:r>
            <w:r w:rsidRPr="009B6CB9">
              <w:t>ommittee addressed these?</w:t>
            </w:r>
          </w:p>
        </w:tc>
      </w:tr>
      <w:tr w:rsidR="009B6CB9" w:rsidRPr="009B6CB9" w14:paraId="21387380" w14:textId="77777777" w:rsidTr="002341D7">
        <w:tc>
          <w:tcPr>
            <w:tcW w:w="8414" w:type="dxa"/>
          </w:tcPr>
          <w:p w14:paraId="1DC4C7FA" w14:textId="098E0D00" w:rsidR="00A04BDE" w:rsidRPr="002341D7" w:rsidRDefault="008D2D4F" w:rsidP="002341D7">
            <w:pPr>
              <w:pStyle w:val="Paragraphnonumbers"/>
              <w:rPr>
                <w:rFonts w:ascii="Tahoma" w:hAnsi="Tahoma" w:cs="Tahoma"/>
                <w:sz w:val="16"/>
                <w:szCs w:val="16"/>
              </w:rPr>
            </w:pPr>
            <w:r>
              <w:t xml:space="preserve">Prostate </w:t>
            </w:r>
            <w:r w:rsidR="009D75FC">
              <w:t>C</w:t>
            </w:r>
            <w:r>
              <w:t xml:space="preserve">ancer UK submitted the data on docetaxel uptake by age referred to in the appeal and this was </w:t>
            </w:r>
            <w:proofErr w:type="gramStart"/>
            <w:r>
              <w:t>taken into account</w:t>
            </w:r>
            <w:proofErr w:type="gramEnd"/>
            <w:r>
              <w:t xml:space="preserve"> in the committee’s considerations described above.</w:t>
            </w:r>
          </w:p>
        </w:tc>
      </w:tr>
    </w:tbl>
    <w:p w14:paraId="0DB3B963" w14:textId="77777777" w:rsidR="00B6372C" w:rsidRPr="00C879E6" w:rsidRDefault="00B6372C" w:rsidP="00C879E6"/>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14"/>
      </w:tblGrid>
      <w:tr w:rsidR="009B6CB9" w:rsidRPr="009B6CB9" w14:paraId="06676139" w14:textId="77777777" w:rsidTr="002341D7">
        <w:tc>
          <w:tcPr>
            <w:tcW w:w="8414" w:type="dxa"/>
          </w:tcPr>
          <w:p w14:paraId="42DBD42C" w14:textId="77777777" w:rsidR="009B6CB9" w:rsidRPr="009B6CB9" w:rsidRDefault="009B6CB9" w:rsidP="00B525C5">
            <w:pPr>
              <w:pStyle w:val="Paragraph"/>
            </w:pPr>
            <w:r w:rsidRPr="009B6CB9">
              <w:t xml:space="preserve">Have any other </w:t>
            </w:r>
            <w:r w:rsidR="00E412AD">
              <w:t xml:space="preserve">potential </w:t>
            </w:r>
            <w:r w:rsidRPr="009B6CB9">
              <w:t xml:space="preserve">equality issues been identified by the </w:t>
            </w:r>
            <w:r w:rsidR="00B525C5">
              <w:t>c</w:t>
            </w:r>
            <w:r w:rsidRPr="009B6CB9">
              <w:t>ommittee, and</w:t>
            </w:r>
            <w:r w:rsidR="00EA1EC9">
              <w:t>, if so,</w:t>
            </w:r>
            <w:r w:rsidRPr="009B6CB9">
              <w:t xml:space="preserve"> how has the </w:t>
            </w:r>
            <w:r w:rsidR="00B525C5">
              <w:t>c</w:t>
            </w:r>
            <w:r w:rsidRPr="009B6CB9">
              <w:t>ommittee addressed these?</w:t>
            </w:r>
          </w:p>
        </w:tc>
      </w:tr>
      <w:tr w:rsidR="009B6CB9" w:rsidRPr="009B6CB9" w14:paraId="50D6169C" w14:textId="77777777" w:rsidTr="002341D7">
        <w:tc>
          <w:tcPr>
            <w:tcW w:w="8414" w:type="dxa"/>
          </w:tcPr>
          <w:p w14:paraId="470974E4" w14:textId="1E650D08" w:rsidR="00A04BDE" w:rsidRPr="002341D7" w:rsidRDefault="008D2D4F" w:rsidP="002341D7">
            <w:pPr>
              <w:pStyle w:val="Paragraphnonumbers"/>
              <w:rPr>
                <w:rFonts w:ascii="Tahoma" w:hAnsi="Tahoma" w:cs="Tahoma"/>
                <w:sz w:val="16"/>
                <w:szCs w:val="16"/>
              </w:rPr>
            </w:pPr>
            <w:r>
              <w:t>No.</w:t>
            </w:r>
          </w:p>
        </w:tc>
      </w:tr>
    </w:tbl>
    <w:p w14:paraId="402E38F6" w14:textId="77777777" w:rsidR="00B6372C" w:rsidRPr="00C879E6" w:rsidRDefault="00B6372C" w:rsidP="00C879E6"/>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14"/>
      </w:tblGrid>
      <w:tr w:rsidR="009B6CB9" w:rsidRPr="009B6CB9" w14:paraId="283B1E13" w14:textId="77777777" w:rsidTr="002341D7">
        <w:tc>
          <w:tcPr>
            <w:tcW w:w="8414" w:type="dxa"/>
          </w:tcPr>
          <w:p w14:paraId="484C0A7C" w14:textId="77777777" w:rsidR="009B6CB9" w:rsidRPr="009B6CB9" w:rsidRDefault="009B6CB9" w:rsidP="005A1027">
            <w:pPr>
              <w:pStyle w:val="Paragraph"/>
            </w:pPr>
            <w:r w:rsidRPr="009B6CB9">
              <w:t>Do the preliminary recommendations make it more difficult in practice for a specific group to access the technology compared with other groups? If so, what are the barriers to</w:t>
            </w:r>
            <w:r w:rsidR="000E679D">
              <w:t>, or difficulties with,</w:t>
            </w:r>
            <w:r w:rsidRPr="009B6CB9">
              <w:t xml:space="preserve"> access for the specific group?  </w:t>
            </w:r>
          </w:p>
        </w:tc>
      </w:tr>
      <w:tr w:rsidR="009B6CB9" w:rsidRPr="009B6CB9" w14:paraId="607232DC" w14:textId="77777777" w:rsidTr="002341D7">
        <w:tc>
          <w:tcPr>
            <w:tcW w:w="8414" w:type="dxa"/>
          </w:tcPr>
          <w:p w14:paraId="7EFD8F5F" w14:textId="7598E219" w:rsidR="00A04BDE" w:rsidRPr="002341D7" w:rsidRDefault="008D2D4F" w:rsidP="002341D7">
            <w:pPr>
              <w:pStyle w:val="Paragraphnonumbers"/>
              <w:rPr>
                <w:rFonts w:ascii="Tahoma" w:hAnsi="Tahoma" w:cs="Tahoma"/>
                <w:sz w:val="16"/>
                <w:szCs w:val="16"/>
              </w:rPr>
            </w:pPr>
            <w:r>
              <w:t>No.</w:t>
            </w:r>
          </w:p>
        </w:tc>
      </w:tr>
    </w:tbl>
    <w:p w14:paraId="18160BCC" w14:textId="77777777" w:rsidR="00B6372C" w:rsidRDefault="00B6372C" w:rsidP="00C879E6"/>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14"/>
      </w:tblGrid>
      <w:tr w:rsidR="000E679D" w:rsidRPr="009B6CB9" w14:paraId="4E4FB495" w14:textId="77777777" w:rsidTr="001F2FE7">
        <w:tc>
          <w:tcPr>
            <w:tcW w:w="8414" w:type="dxa"/>
          </w:tcPr>
          <w:p w14:paraId="20CF5DD7" w14:textId="77777777" w:rsidR="000E679D" w:rsidRPr="009B6CB9" w:rsidRDefault="000E679D" w:rsidP="001F2FE7">
            <w:pPr>
              <w:pStyle w:val="Paragraph"/>
            </w:pPr>
            <w:r>
              <w:lastRenderedPageBreak/>
              <w:t>Is there potential for the preliminary recommendations to have an adverse impact on people with disabilities because of something that is a consequence of the disability</w:t>
            </w:r>
            <w:r w:rsidRPr="009B6CB9">
              <w:t>?</w:t>
            </w:r>
          </w:p>
        </w:tc>
      </w:tr>
      <w:tr w:rsidR="000E679D" w:rsidRPr="009B6CB9" w14:paraId="4EE656DD" w14:textId="77777777" w:rsidTr="001F2FE7">
        <w:tc>
          <w:tcPr>
            <w:tcW w:w="8414" w:type="dxa"/>
          </w:tcPr>
          <w:p w14:paraId="62CF89CD" w14:textId="585BBE7F" w:rsidR="000E679D" w:rsidRDefault="008D2D4F" w:rsidP="001F2FE7">
            <w:pPr>
              <w:pStyle w:val="Paragraphnonumbers"/>
            </w:pPr>
            <w:r>
              <w:t>No.</w:t>
            </w:r>
          </w:p>
        </w:tc>
      </w:tr>
    </w:tbl>
    <w:p w14:paraId="759F2A82" w14:textId="77777777" w:rsidR="000E679D" w:rsidRDefault="000E679D" w:rsidP="00C879E6"/>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14"/>
      </w:tblGrid>
      <w:tr w:rsidR="009B6CB9" w:rsidRPr="009B6CB9" w14:paraId="78098F05" w14:textId="77777777" w:rsidTr="002341D7">
        <w:tc>
          <w:tcPr>
            <w:tcW w:w="8414" w:type="dxa"/>
          </w:tcPr>
          <w:p w14:paraId="762EAF57" w14:textId="77777777" w:rsidR="009B6CB9" w:rsidRPr="009B6CB9" w:rsidRDefault="009B6CB9" w:rsidP="00B525C5">
            <w:pPr>
              <w:pStyle w:val="Paragraph"/>
            </w:pPr>
            <w:r w:rsidRPr="009B6CB9">
              <w:t xml:space="preserve">Are there any recommendations or explanations that the </w:t>
            </w:r>
            <w:r w:rsidR="00B525C5">
              <w:t>c</w:t>
            </w:r>
            <w:r w:rsidRPr="009B6CB9">
              <w:t>ommittee could make to remove or alleviate barriers to</w:t>
            </w:r>
            <w:r w:rsidR="000E679D">
              <w:t>, or difficulties with,</w:t>
            </w:r>
            <w:r w:rsidRPr="009B6CB9">
              <w:t xml:space="preserve"> access identified in question</w:t>
            </w:r>
            <w:r w:rsidR="000E679D">
              <w:t>s</w:t>
            </w:r>
            <w:r w:rsidRPr="009B6CB9">
              <w:t xml:space="preserve"> 4</w:t>
            </w:r>
            <w:r w:rsidR="000E679D">
              <w:t xml:space="preserve"> or 5</w:t>
            </w:r>
            <w:r w:rsidRPr="009B6CB9">
              <w:t>, or otherwise fulfil NICE’s obligations to promote equality?</w:t>
            </w:r>
          </w:p>
        </w:tc>
      </w:tr>
      <w:tr w:rsidR="009B6CB9" w:rsidRPr="009B6CB9" w14:paraId="74FD4276" w14:textId="77777777" w:rsidTr="002341D7">
        <w:tc>
          <w:tcPr>
            <w:tcW w:w="8414" w:type="dxa"/>
          </w:tcPr>
          <w:p w14:paraId="21C09ABE" w14:textId="0AC07EC8" w:rsidR="00A04BDE" w:rsidRDefault="008D2D4F" w:rsidP="002341D7">
            <w:pPr>
              <w:pStyle w:val="Paragraphnonumbers"/>
            </w:pPr>
            <w:r>
              <w:t>Not applicable.</w:t>
            </w:r>
          </w:p>
        </w:tc>
      </w:tr>
    </w:tbl>
    <w:p w14:paraId="32EBA819" w14:textId="77777777" w:rsidR="009B6CB9" w:rsidRPr="00C879E6" w:rsidRDefault="009B6CB9" w:rsidP="00C879E6"/>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14"/>
      </w:tblGrid>
      <w:tr w:rsidR="009B6CB9" w:rsidRPr="009B6CB9" w14:paraId="318EF52C" w14:textId="77777777" w:rsidTr="002341D7">
        <w:tc>
          <w:tcPr>
            <w:tcW w:w="8414" w:type="dxa"/>
          </w:tcPr>
          <w:p w14:paraId="159C8B0B" w14:textId="77777777" w:rsidR="009B6CB9" w:rsidRPr="009B6CB9" w:rsidRDefault="009B6CB9" w:rsidP="00B525C5">
            <w:pPr>
              <w:pStyle w:val="Paragraph"/>
            </w:pPr>
            <w:r w:rsidRPr="009B6CB9">
              <w:t xml:space="preserve">Have the </w:t>
            </w:r>
            <w:r w:rsidR="00B525C5">
              <w:t>c</w:t>
            </w:r>
            <w:r w:rsidRPr="009B6CB9">
              <w:t xml:space="preserve">ommittee’s considerations of equality issues been described in the </w:t>
            </w:r>
            <w:r w:rsidR="005A1027">
              <w:t xml:space="preserve">appraisal </w:t>
            </w:r>
            <w:r w:rsidRPr="009B6CB9">
              <w:t>consultation document, and, if so, where?</w:t>
            </w:r>
          </w:p>
        </w:tc>
      </w:tr>
      <w:tr w:rsidR="009B6CB9" w:rsidRPr="009B6CB9" w14:paraId="0F6D4501" w14:textId="77777777" w:rsidTr="002341D7">
        <w:tc>
          <w:tcPr>
            <w:tcW w:w="8414" w:type="dxa"/>
          </w:tcPr>
          <w:p w14:paraId="54605A19" w14:textId="23A54417" w:rsidR="00A04BDE" w:rsidRPr="002341D7" w:rsidRDefault="008D2D4F" w:rsidP="002341D7">
            <w:pPr>
              <w:pStyle w:val="Paragraphnonumbers"/>
              <w:rPr>
                <w:rFonts w:ascii="Tahoma" w:hAnsi="Tahoma" w:cs="Tahoma"/>
                <w:sz w:val="16"/>
                <w:szCs w:val="16"/>
              </w:rPr>
            </w:pPr>
            <w:r>
              <w:t>Yes in section 3.2</w:t>
            </w:r>
            <w:r w:rsidR="00C64931">
              <w:t>4</w:t>
            </w:r>
            <w:r>
              <w:t xml:space="preserve"> of the post-appeal appraisal consultation document.</w:t>
            </w:r>
          </w:p>
        </w:tc>
      </w:tr>
    </w:tbl>
    <w:p w14:paraId="6DFCFB9F" w14:textId="77777777" w:rsidR="009B6CB9" w:rsidRPr="00C879E6" w:rsidRDefault="009B6CB9" w:rsidP="00C879E6"/>
    <w:p w14:paraId="1D4DEED0" w14:textId="29956B94" w:rsidR="00B6372C" w:rsidRDefault="001F6FF5" w:rsidP="006D5D87">
      <w:pPr>
        <w:pStyle w:val="Paragraphnonumbers"/>
      </w:pPr>
      <w:r>
        <w:rPr>
          <w:b/>
        </w:rPr>
        <w:t>Approved b</w:t>
      </w:r>
      <w:r w:rsidR="005A1027">
        <w:rPr>
          <w:b/>
        </w:rPr>
        <w:t>y</w:t>
      </w:r>
      <w:r>
        <w:rPr>
          <w:b/>
        </w:rPr>
        <w:t xml:space="preserve"> </w:t>
      </w:r>
      <w:r w:rsidR="00587925" w:rsidRPr="00D432B6">
        <w:rPr>
          <w:b/>
        </w:rPr>
        <w:t>Associate Director (name):</w:t>
      </w:r>
      <w:r w:rsidR="00587925">
        <w:t xml:space="preserve"> </w:t>
      </w:r>
      <w:r w:rsidR="009D75FC">
        <w:t>Nicole Elliott</w:t>
      </w:r>
    </w:p>
    <w:p w14:paraId="51CF5257" w14:textId="644CD78B" w:rsidR="00587925" w:rsidRDefault="00587925" w:rsidP="006D5D87">
      <w:pPr>
        <w:pStyle w:val="Paragraphnonumbers"/>
      </w:pPr>
      <w:r w:rsidRPr="00D432B6">
        <w:rPr>
          <w:b/>
        </w:rPr>
        <w:t>Date:</w:t>
      </w:r>
      <w:r>
        <w:t xml:space="preserve"> </w:t>
      </w:r>
      <w:r w:rsidR="009D75FC">
        <w:t>16/06/2021</w:t>
      </w:r>
    </w:p>
    <w:p w14:paraId="1996B6F7" w14:textId="77777777" w:rsidR="00B6372C" w:rsidRDefault="00B6372C" w:rsidP="006D5D87">
      <w:pPr>
        <w:pStyle w:val="Paragraphnonumbers"/>
      </w:pPr>
    </w:p>
    <w:p w14:paraId="45F5CFA9" w14:textId="77777777" w:rsidR="00587925" w:rsidRDefault="00587925" w:rsidP="006D5D87">
      <w:pPr>
        <w:pStyle w:val="Heading1"/>
      </w:pPr>
      <w:r>
        <w:t>Final appraisal determination</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14"/>
      </w:tblGrid>
      <w:tr w:rsidR="009B6CB9" w:rsidRPr="009B6CB9" w14:paraId="052B9EA3" w14:textId="77777777" w:rsidTr="002341D7">
        <w:tc>
          <w:tcPr>
            <w:tcW w:w="8414" w:type="dxa"/>
          </w:tcPr>
          <w:p w14:paraId="7D717893" w14:textId="77777777" w:rsidR="009B6CB9" w:rsidRPr="009B6CB9" w:rsidRDefault="009B6CB9" w:rsidP="00B525C5">
            <w:pPr>
              <w:pStyle w:val="Paragraph"/>
              <w:numPr>
                <w:ilvl w:val="0"/>
                <w:numId w:val="22"/>
              </w:numPr>
              <w:ind w:left="709" w:hanging="709"/>
            </w:pPr>
            <w:r w:rsidRPr="009B6CB9">
              <w:t>Have any additional potential equality issues been raised during the consultation, and</w:t>
            </w:r>
            <w:r w:rsidR="00E1677A">
              <w:t>, if so,</w:t>
            </w:r>
            <w:r w:rsidRPr="009B6CB9">
              <w:t xml:space="preserve"> how has the </w:t>
            </w:r>
            <w:r w:rsidR="00B525C5">
              <w:t>c</w:t>
            </w:r>
            <w:r w:rsidRPr="009B6CB9">
              <w:t>ommittee addressed these?</w:t>
            </w:r>
          </w:p>
        </w:tc>
      </w:tr>
      <w:tr w:rsidR="009B6CB9" w:rsidRPr="009B6CB9" w14:paraId="1F71442A" w14:textId="77777777" w:rsidTr="002341D7">
        <w:tc>
          <w:tcPr>
            <w:tcW w:w="8414" w:type="dxa"/>
          </w:tcPr>
          <w:p w14:paraId="757187BD" w14:textId="6627396F" w:rsidR="00A04BDE" w:rsidRDefault="00C64931" w:rsidP="002341D7">
            <w:pPr>
              <w:pStyle w:val="Paragraphnonumbers"/>
            </w:pPr>
            <w:r>
              <w:t xml:space="preserve">No further equalities issues identified. </w:t>
            </w:r>
          </w:p>
        </w:tc>
      </w:tr>
    </w:tbl>
    <w:p w14:paraId="5750C551" w14:textId="77777777" w:rsidR="00B6372C" w:rsidRPr="00B6372C" w:rsidRDefault="00B6372C" w:rsidP="00B6372C"/>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14"/>
      </w:tblGrid>
      <w:tr w:rsidR="009B6CB9" w:rsidRPr="009B6CB9" w14:paraId="52A0435E" w14:textId="77777777" w:rsidTr="002341D7">
        <w:tc>
          <w:tcPr>
            <w:tcW w:w="8414" w:type="dxa"/>
          </w:tcPr>
          <w:p w14:paraId="50AE87E5" w14:textId="77777777" w:rsidR="009B6CB9" w:rsidRPr="009B6CB9" w:rsidRDefault="009B6CB9" w:rsidP="001571C1">
            <w:pPr>
              <w:pStyle w:val="Paragraph"/>
            </w:pPr>
            <w:r w:rsidRPr="009B6CB9">
              <w:t xml:space="preserve">If the recommendations have changed after consultation, </w:t>
            </w:r>
            <w:r w:rsidR="001571C1">
              <w:t>are</w:t>
            </w:r>
            <w:r w:rsidRPr="009B6CB9">
              <w:t xml:space="preserve"> the</w:t>
            </w:r>
            <w:r w:rsidR="001571C1">
              <w:t>re</w:t>
            </w:r>
            <w:r w:rsidRPr="009B6CB9">
              <w:t xml:space="preserve"> </w:t>
            </w:r>
            <w:r w:rsidR="001571C1">
              <w:t xml:space="preserve">any </w:t>
            </w:r>
            <w:r w:rsidRPr="009B6CB9">
              <w:t xml:space="preserve">recommendations </w:t>
            </w:r>
            <w:r w:rsidR="001571C1">
              <w:t xml:space="preserve">that </w:t>
            </w:r>
            <w:r w:rsidRPr="009B6CB9">
              <w:t xml:space="preserve">make it more difficult in practice for a specific group to access the technology compared with other groups? </w:t>
            </w:r>
            <w:r w:rsidRPr="009B6CB9">
              <w:lastRenderedPageBreak/>
              <w:t>If so, what are the barriers to</w:t>
            </w:r>
            <w:r w:rsidR="005105A6">
              <w:t>, or difficulties with,</w:t>
            </w:r>
            <w:r w:rsidRPr="009B6CB9">
              <w:t xml:space="preserve"> access for the specific group?  </w:t>
            </w:r>
          </w:p>
        </w:tc>
      </w:tr>
      <w:tr w:rsidR="009B6CB9" w:rsidRPr="009B6CB9" w14:paraId="227081B2" w14:textId="77777777" w:rsidTr="002341D7">
        <w:tc>
          <w:tcPr>
            <w:tcW w:w="8414" w:type="dxa"/>
          </w:tcPr>
          <w:p w14:paraId="69454B8E" w14:textId="2CD2EC94" w:rsidR="00A04BDE" w:rsidRDefault="00C64931" w:rsidP="002341D7">
            <w:pPr>
              <w:pStyle w:val="Paragraphnonumbers"/>
            </w:pPr>
            <w:r>
              <w:lastRenderedPageBreak/>
              <w:t xml:space="preserve">No change to recommendation after consultation. </w:t>
            </w:r>
          </w:p>
        </w:tc>
      </w:tr>
    </w:tbl>
    <w:p w14:paraId="512C4DD9" w14:textId="77777777" w:rsidR="00B6372C" w:rsidRDefault="00B6372C" w:rsidP="00B6372C"/>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14"/>
      </w:tblGrid>
      <w:tr w:rsidR="001F2FE7" w:rsidRPr="009B6CB9" w14:paraId="1BE65FC3" w14:textId="77777777" w:rsidTr="001F2FE7">
        <w:tc>
          <w:tcPr>
            <w:tcW w:w="8414" w:type="dxa"/>
          </w:tcPr>
          <w:p w14:paraId="2BB362E9" w14:textId="77777777" w:rsidR="001F2FE7" w:rsidRPr="009B6CB9" w:rsidRDefault="001F2FE7" w:rsidP="00CE368D">
            <w:pPr>
              <w:pStyle w:val="Paragraph"/>
            </w:pPr>
            <w:r w:rsidRPr="009B6CB9">
              <w:t xml:space="preserve">If the recommendations have changed after consultation, </w:t>
            </w:r>
            <w:r>
              <w:t>i</w:t>
            </w:r>
            <w:r w:rsidRPr="00C30739">
              <w:t xml:space="preserve">s there potential for the recommendations to have an adverse impact on people with disabilities because of something that is a consequence of the disability?  </w:t>
            </w:r>
          </w:p>
        </w:tc>
      </w:tr>
      <w:tr w:rsidR="001F2FE7" w:rsidRPr="009B6CB9" w14:paraId="0EA75061" w14:textId="77777777" w:rsidTr="001F2FE7">
        <w:tc>
          <w:tcPr>
            <w:tcW w:w="8414" w:type="dxa"/>
          </w:tcPr>
          <w:p w14:paraId="6FF46A84" w14:textId="43B567DE" w:rsidR="001F2FE7" w:rsidRDefault="00C64931" w:rsidP="001F2FE7">
            <w:pPr>
              <w:pStyle w:val="Paragraphnonumbers"/>
            </w:pPr>
            <w:r>
              <w:t>No change to recommendation after consultation.</w:t>
            </w:r>
          </w:p>
        </w:tc>
      </w:tr>
    </w:tbl>
    <w:p w14:paraId="43C3479E" w14:textId="77777777" w:rsidR="001F2FE7" w:rsidRDefault="001F2FE7" w:rsidP="00B6372C"/>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14"/>
      </w:tblGrid>
      <w:tr w:rsidR="009B6CB9" w:rsidRPr="009B6CB9" w14:paraId="3EA3C2FE" w14:textId="77777777" w:rsidTr="002341D7">
        <w:tc>
          <w:tcPr>
            <w:tcW w:w="8414" w:type="dxa"/>
          </w:tcPr>
          <w:p w14:paraId="359F62F3" w14:textId="77777777" w:rsidR="009B6CB9" w:rsidRPr="009B6CB9" w:rsidRDefault="009B6CB9" w:rsidP="00B525C5">
            <w:pPr>
              <w:pStyle w:val="Paragraph"/>
            </w:pPr>
            <w:r w:rsidRPr="009B6CB9">
              <w:t xml:space="preserve">If the recommendations have changed after consultation, are there any recommendations or explanations that the </w:t>
            </w:r>
            <w:r w:rsidR="00B525C5">
              <w:t>c</w:t>
            </w:r>
            <w:r w:rsidRPr="009B6CB9">
              <w:t>ommittee could make to remove or alleviate barriers to</w:t>
            </w:r>
            <w:r w:rsidR="001F2FE7">
              <w:t>, or difficulties with,</w:t>
            </w:r>
            <w:r w:rsidRPr="009B6CB9">
              <w:t xml:space="preserve"> access identified in question</w:t>
            </w:r>
            <w:r w:rsidR="001F2FE7">
              <w:t>s</w:t>
            </w:r>
            <w:r w:rsidRPr="009B6CB9">
              <w:t xml:space="preserve"> 2</w:t>
            </w:r>
            <w:r w:rsidR="001F2FE7">
              <w:t xml:space="preserve"> and 3</w:t>
            </w:r>
            <w:r w:rsidRPr="009B6CB9">
              <w:t xml:space="preserve">, or otherwise fulfil NICE’s obligations to promote equality? </w:t>
            </w:r>
          </w:p>
        </w:tc>
      </w:tr>
      <w:tr w:rsidR="00AE0417" w:rsidRPr="009B6CB9" w14:paraId="77EAAFD9" w14:textId="77777777" w:rsidTr="002341D7">
        <w:tc>
          <w:tcPr>
            <w:tcW w:w="8414" w:type="dxa"/>
          </w:tcPr>
          <w:p w14:paraId="43B0FD1A" w14:textId="77777777" w:rsidR="00AE0417" w:rsidRPr="009B6CB9" w:rsidRDefault="00AE0417" w:rsidP="00B525C5">
            <w:pPr>
              <w:pStyle w:val="Paragraph"/>
            </w:pPr>
          </w:p>
        </w:tc>
      </w:tr>
      <w:tr w:rsidR="009B6CB9" w:rsidRPr="009B6CB9" w14:paraId="5E4A5C02" w14:textId="77777777" w:rsidTr="002341D7">
        <w:tc>
          <w:tcPr>
            <w:tcW w:w="8414" w:type="dxa"/>
          </w:tcPr>
          <w:p w14:paraId="2B7C6563" w14:textId="4209DAE0" w:rsidR="00A04BDE" w:rsidRPr="002341D7" w:rsidRDefault="00C64931" w:rsidP="002341D7">
            <w:pPr>
              <w:pStyle w:val="Paragraphnonumbers"/>
              <w:rPr>
                <w:rFonts w:ascii="Tahoma" w:hAnsi="Tahoma" w:cs="Tahoma"/>
                <w:sz w:val="16"/>
                <w:szCs w:val="16"/>
              </w:rPr>
            </w:pPr>
            <w:r>
              <w:t>No change to recommendation after consultation.</w:t>
            </w:r>
          </w:p>
        </w:tc>
      </w:tr>
    </w:tbl>
    <w:p w14:paraId="65B898C8" w14:textId="77777777" w:rsidR="00B6372C" w:rsidRPr="00B6372C" w:rsidRDefault="00B6372C" w:rsidP="00B6372C"/>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14"/>
      </w:tblGrid>
      <w:tr w:rsidR="009B6CB9" w:rsidRPr="009B6CB9" w14:paraId="67F802A5" w14:textId="77777777" w:rsidTr="002341D7">
        <w:tc>
          <w:tcPr>
            <w:tcW w:w="8414" w:type="dxa"/>
          </w:tcPr>
          <w:p w14:paraId="75CA2B9C" w14:textId="77777777" w:rsidR="009B6CB9" w:rsidRPr="009B6CB9" w:rsidRDefault="009B6CB9" w:rsidP="00B525C5">
            <w:pPr>
              <w:pStyle w:val="Paragraph"/>
            </w:pPr>
            <w:r w:rsidRPr="009B6CB9">
              <w:t xml:space="preserve">Have the </w:t>
            </w:r>
            <w:r w:rsidR="00B525C5">
              <w:t>c</w:t>
            </w:r>
            <w:r w:rsidRPr="009B6CB9">
              <w:t>ommittee’s considerations of equality issues been described in the final appraisal determination, and, if so, where?</w:t>
            </w:r>
          </w:p>
        </w:tc>
      </w:tr>
      <w:tr w:rsidR="009B6CB9" w:rsidRPr="009B6CB9" w14:paraId="47C221B4" w14:textId="77777777" w:rsidTr="002341D7">
        <w:tc>
          <w:tcPr>
            <w:tcW w:w="8414" w:type="dxa"/>
          </w:tcPr>
          <w:p w14:paraId="308A6143" w14:textId="3CFBC467" w:rsidR="00A04BDE" w:rsidRDefault="00C64931" w:rsidP="002341D7">
            <w:pPr>
              <w:pStyle w:val="Paragraphnonumbers"/>
            </w:pPr>
            <w:r>
              <w:t>Yes in section 3.24 of the final appraisal document.</w:t>
            </w:r>
          </w:p>
        </w:tc>
      </w:tr>
    </w:tbl>
    <w:p w14:paraId="7D93D279" w14:textId="77777777" w:rsidR="00B6372C" w:rsidRPr="00B6372C" w:rsidRDefault="00B6372C" w:rsidP="00B6372C"/>
    <w:p w14:paraId="2AFE753A" w14:textId="687BD712" w:rsidR="00587925" w:rsidRDefault="001F6FF5" w:rsidP="00B6372C">
      <w:pPr>
        <w:pStyle w:val="Paragraphnonumbers"/>
      </w:pPr>
      <w:r>
        <w:rPr>
          <w:b/>
        </w:rPr>
        <w:t xml:space="preserve">Approved by </w:t>
      </w:r>
      <w:r w:rsidR="00E248C5">
        <w:rPr>
          <w:b/>
        </w:rPr>
        <w:t>Associate</w:t>
      </w:r>
      <w:r w:rsidR="00587925" w:rsidRPr="00D432B6">
        <w:rPr>
          <w:b/>
        </w:rPr>
        <w:t xml:space="preserve"> Director (name):</w:t>
      </w:r>
      <w:r w:rsidR="00587925">
        <w:t xml:space="preserve"> </w:t>
      </w:r>
      <w:r w:rsidR="009D75FC">
        <w:t>Nicole Elliott</w:t>
      </w:r>
    </w:p>
    <w:p w14:paraId="7EE402EA" w14:textId="71F6BE4E" w:rsidR="003B1C33" w:rsidRDefault="00587925" w:rsidP="00B6372C">
      <w:pPr>
        <w:pStyle w:val="Paragraphnonumbers"/>
      </w:pPr>
      <w:r w:rsidRPr="00D432B6">
        <w:rPr>
          <w:b/>
        </w:rPr>
        <w:t>Date:</w:t>
      </w:r>
      <w:r>
        <w:t xml:space="preserve"> </w:t>
      </w:r>
      <w:r w:rsidR="009D75FC">
        <w:t>16/06/2021</w:t>
      </w:r>
    </w:p>
    <w:p w14:paraId="0F4BE45D" w14:textId="3B19B44A" w:rsidR="00137841" w:rsidRPr="003B1C33" w:rsidRDefault="00C64931" w:rsidP="00C64931">
      <w:pPr>
        <w:pStyle w:val="Heading1"/>
      </w:pPr>
      <w:r>
        <w:t xml:space="preserve"> </w:t>
      </w:r>
    </w:p>
    <w:sectPr w:rsidR="00137841" w:rsidRPr="003B1C33" w:rsidSect="00FD6D6B">
      <w:footerReference w:type="default" r:id="rId7"/>
      <w:pgSz w:w="11906" w:h="16838"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67F3A6" w14:textId="77777777" w:rsidR="002B18F4" w:rsidRDefault="002B18F4" w:rsidP="00446BEE">
      <w:r>
        <w:separator/>
      </w:r>
    </w:p>
  </w:endnote>
  <w:endnote w:type="continuationSeparator" w:id="0">
    <w:p w14:paraId="0ABBC468" w14:textId="77777777" w:rsidR="002B18F4" w:rsidRDefault="002B18F4" w:rsidP="00446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FDB704" w14:textId="77777777" w:rsidR="001F2FE7" w:rsidRDefault="001F2FE7">
    <w:pPr>
      <w:pStyle w:val="Footer"/>
    </w:pPr>
    <w:r>
      <w:t xml:space="preserve">Technology </w:t>
    </w:r>
    <w:r w:rsidR="0095492F">
      <w:t>a</w:t>
    </w:r>
    <w:r>
      <w:t>ppraisals: Guidance development</w:t>
    </w:r>
  </w:p>
  <w:p w14:paraId="5063073E" w14:textId="5C1F6C20" w:rsidR="001F2FE7" w:rsidRPr="001F50BF" w:rsidRDefault="001F2FE7">
    <w:pPr>
      <w:pStyle w:val="Footer"/>
    </w:pPr>
    <w:r>
      <w:t xml:space="preserve">Equality </w:t>
    </w:r>
    <w:r w:rsidRPr="001F50BF">
      <w:t>impact assessment for the</w:t>
    </w:r>
    <w:r w:rsidR="001F50BF" w:rsidRPr="001F50BF">
      <w:t xml:space="preserve"> single</w:t>
    </w:r>
    <w:r w:rsidRPr="001F50BF">
      <w:t xml:space="preserve"> </w:t>
    </w:r>
    <w:r w:rsidR="0095492F" w:rsidRPr="001F50BF">
      <w:t>t</w:t>
    </w:r>
    <w:r w:rsidRPr="001F50BF">
      <w:t xml:space="preserve">echnology </w:t>
    </w:r>
    <w:r w:rsidR="0095492F" w:rsidRPr="001F50BF">
      <w:t>a</w:t>
    </w:r>
    <w:r w:rsidRPr="001F50BF">
      <w:t xml:space="preserve">ppraisal of </w:t>
    </w:r>
    <w:r w:rsidR="001F50BF" w:rsidRPr="001F50BF">
      <w:t>abiraterone for newly diagnosed high-risk hormone-sensitive metastatic prostate cancer</w:t>
    </w:r>
    <w:r w:rsidRPr="001F50BF">
      <w:t xml:space="preserve"> </w:t>
    </w:r>
    <w:r w:rsidRPr="001F50BF">
      <w:tab/>
    </w:r>
    <w:r w:rsidRPr="001F50BF">
      <w:tab/>
    </w:r>
    <w:r w:rsidR="00671BA1" w:rsidRPr="001F50BF">
      <w:fldChar w:fldCharType="begin"/>
    </w:r>
    <w:r w:rsidR="00671BA1" w:rsidRPr="001F50BF">
      <w:instrText xml:space="preserve"> PAGE </w:instrText>
    </w:r>
    <w:r w:rsidR="00671BA1" w:rsidRPr="001F50BF">
      <w:fldChar w:fldCharType="separate"/>
    </w:r>
    <w:r w:rsidR="00CC7938" w:rsidRPr="001F50BF">
      <w:rPr>
        <w:noProof/>
      </w:rPr>
      <w:t>2</w:t>
    </w:r>
    <w:r w:rsidR="00671BA1" w:rsidRPr="001F50BF">
      <w:rPr>
        <w:noProof/>
      </w:rPr>
      <w:fldChar w:fldCharType="end"/>
    </w:r>
    <w:r w:rsidRPr="001F50BF">
      <w:t xml:space="preserve"> of </w:t>
    </w:r>
    <w:fldSimple w:instr=" NUMPAGES  ">
      <w:r w:rsidR="00CC7938" w:rsidRPr="001F50BF">
        <w:rPr>
          <w:noProof/>
        </w:rPr>
        <w:t>5</w:t>
      </w:r>
    </w:fldSimple>
  </w:p>
  <w:p w14:paraId="0219B9DB" w14:textId="4DDD3A7D" w:rsidR="001F2FE7" w:rsidRDefault="001F2FE7">
    <w:pPr>
      <w:pStyle w:val="Footer"/>
    </w:pPr>
    <w:r w:rsidRPr="001F50BF">
      <w:t xml:space="preserve">Issue date: </w:t>
    </w:r>
    <w:r w:rsidR="00C64931">
      <w:t>July</w:t>
    </w:r>
    <w:r w:rsidR="001F50BF" w:rsidRPr="001F50BF">
      <w:t xml:space="preserve">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8489FE" w14:textId="77777777" w:rsidR="002B18F4" w:rsidRDefault="002B18F4" w:rsidP="00446BEE">
      <w:r>
        <w:separator/>
      </w:r>
    </w:p>
  </w:footnote>
  <w:footnote w:type="continuationSeparator" w:id="0">
    <w:p w14:paraId="19A31026" w14:textId="77777777" w:rsidR="002B18F4" w:rsidRDefault="002B18F4" w:rsidP="00446B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F5B009D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F50E61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786549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C6E25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8D69B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FD644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8A0C94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A2250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CDCE19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612ABF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C95E64"/>
    <w:multiLevelType w:val="hybridMultilevel"/>
    <w:tmpl w:val="EC16CA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2E853F9"/>
    <w:multiLevelType w:val="hybridMultilevel"/>
    <w:tmpl w:val="D94A8EF0"/>
    <w:lvl w:ilvl="0" w:tplc="F47034B4">
      <w:start w:val="1"/>
      <w:numFmt w:val="bullet"/>
      <w:pStyle w:val="Subbullets"/>
      <w:lvlText w:val="­"/>
      <w:lvlJc w:val="left"/>
      <w:pPr>
        <w:ind w:left="1588" w:hanging="454"/>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1FD5061"/>
    <w:multiLevelType w:val="hybridMultilevel"/>
    <w:tmpl w:val="D0C469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9C93D14"/>
    <w:multiLevelType w:val="hybridMultilevel"/>
    <w:tmpl w:val="4A20F9FA"/>
    <w:lvl w:ilvl="0" w:tplc="AA9A8AE4">
      <w:start w:val="1"/>
      <w:numFmt w:val="decimal"/>
      <w:pStyle w:val="Paragraph"/>
      <w:lvlText w:val="%1."/>
      <w:lvlJc w:val="left"/>
      <w:pPr>
        <w:ind w:left="851" w:hanging="851"/>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96F2189"/>
    <w:multiLevelType w:val="hybridMultilevel"/>
    <w:tmpl w:val="DD246504"/>
    <w:lvl w:ilvl="0" w:tplc="9418D3B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14"/>
  </w:num>
  <w:num w:numId="3">
    <w:abstractNumId w:val="14"/>
    <w:lvlOverride w:ilvl="0">
      <w:startOverride w:val="1"/>
    </w:lvlOverride>
  </w:num>
  <w:num w:numId="4">
    <w:abstractNumId w:val="14"/>
    <w:lvlOverride w:ilvl="0">
      <w:startOverride w:val="1"/>
    </w:lvlOverride>
  </w:num>
  <w:num w:numId="5">
    <w:abstractNumId w:val="14"/>
    <w:lvlOverride w:ilvl="0">
      <w:startOverride w:val="1"/>
    </w:lvlOverride>
  </w:num>
  <w:num w:numId="6">
    <w:abstractNumId w:val="14"/>
    <w:lvlOverride w:ilvl="0">
      <w:startOverride w:val="1"/>
    </w:lvlOverride>
  </w:num>
  <w:num w:numId="7">
    <w:abstractNumId w:val="14"/>
    <w:lvlOverride w:ilvl="0">
      <w:startOverride w:val="1"/>
    </w:lvlOverride>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1"/>
  </w:num>
  <w:num w:numId="19">
    <w:abstractNumId w:val="11"/>
    <w:lvlOverride w:ilvl="0">
      <w:startOverride w:val="1"/>
    </w:lvlOverride>
  </w:num>
  <w:num w:numId="20">
    <w:abstractNumId w:val="13"/>
    <w:lvlOverride w:ilvl="0">
      <w:startOverride w:val="1"/>
    </w:lvlOverride>
  </w:num>
  <w:num w:numId="21">
    <w:abstractNumId w:val="13"/>
    <w:lvlOverride w:ilvl="0">
      <w:startOverride w:val="1"/>
    </w:lvlOverride>
  </w:num>
  <w:num w:numId="22">
    <w:abstractNumId w:val="13"/>
    <w:lvlOverride w:ilvl="0">
      <w:startOverride w:val="1"/>
    </w:lvlOverride>
  </w:num>
  <w:num w:numId="23">
    <w:abstractNumId w:val="12"/>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8"/>
  <w:embedSystemFonts/>
  <w:proofState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8F4"/>
    <w:rsid w:val="00014CA6"/>
    <w:rsid w:val="00024D0A"/>
    <w:rsid w:val="00054AB0"/>
    <w:rsid w:val="0006094B"/>
    <w:rsid w:val="00070065"/>
    <w:rsid w:val="000B5939"/>
    <w:rsid w:val="000E679D"/>
    <w:rsid w:val="001134E7"/>
    <w:rsid w:val="00134FDA"/>
    <w:rsid w:val="00137841"/>
    <w:rsid w:val="001571C1"/>
    <w:rsid w:val="00163FB7"/>
    <w:rsid w:val="0017169E"/>
    <w:rsid w:val="00173760"/>
    <w:rsid w:val="001A23E4"/>
    <w:rsid w:val="001A25C9"/>
    <w:rsid w:val="001B65B3"/>
    <w:rsid w:val="001D3E14"/>
    <w:rsid w:val="001F2FE7"/>
    <w:rsid w:val="001F34B0"/>
    <w:rsid w:val="001F50BF"/>
    <w:rsid w:val="001F6FF5"/>
    <w:rsid w:val="002341D7"/>
    <w:rsid w:val="002408EA"/>
    <w:rsid w:val="00260A67"/>
    <w:rsid w:val="00267DE7"/>
    <w:rsid w:val="00270605"/>
    <w:rsid w:val="00290BBA"/>
    <w:rsid w:val="002B18F4"/>
    <w:rsid w:val="002C1A7E"/>
    <w:rsid w:val="002F143B"/>
    <w:rsid w:val="002F2EEF"/>
    <w:rsid w:val="0030425D"/>
    <w:rsid w:val="00311ED0"/>
    <w:rsid w:val="003722FA"/>
    <w:rsid w:val="00377277"/>
    <w:rsid w:val="003B1C33"/>
    <w:rsid w:val="003C7138"/>
    <w:rsid w:val="003C7AAF"/>
    <w:rsid w:val="003E12B1"/>
    <w:rsid w:val="003E4C4B"/>
    <w:rsid w:val="003F2EC0"/>
    <w:rsid w:val="004075B6"/>
    <w:rsid w:val="00420952"/>
    <w:rsid w:val="004234E3"/>
    <w:rsid w:val="00436BF6"/>
    <w:rsid w:val="00446BEE"/>
    <w:rsid w:val="004E52F4"/>
    <w:rsid w:val="005025A1"/>
    <w:rsid w:val="00502C4B"/>
    <w:rsid w:val="005105A6"/>
    <w:rsid w:val="00524CB5"/>
    <w:rsid w:val="00554E89"/>
    <w:rsid w:val="00587925"/>
    <w:rsid w:val="005A1027"/>
    <w:rsid w:val="005D5E17"/>
    <w:rsid w:val="00615C34"/>
    <w:rsid w:val="0065081E"/>
    <w:rsid w:val="00664889"/>
    <w:rsid w:val="00671BA1"/>
    <w:rsid w:val="00672F1C"/>
    <w:rsid w:val="006921E1"/>
    <w:rsid w:val="006D3E00"/>
    <w:rsid w:val="006D55A6"/>
    <w:rsid w:val="006D5D87"/>
    <w:rsid w:val="00736348"/>
    <w:rsid w:val="00770B9A"/>
    <w:rsid w:val="007C4753"/>
    <w:rsid w:val="00821D81"/>
    <w:rsid w:val="008401F8"/>
    <w:rsid w:val="008A71F7"/>
    <w:rsid w:val="008D2D4F"/>
    <w:rsid w:val="008F2B20"/>
    <w:rsid w:val="00925F15"/>
    <w:rsid w:val="0095492F"/>
    <w:rsid w:val="009A588B"/>
    <w:rsid w:val="009B6CB9"/>
    <w:rsid w:val="009D75FC"/>
    <w:rsid w:val="009E680B"/>
    <w:rsid w:val="009F7239"/>
    <w:rsid w:val="00A04BDE"/>
    <w:rsid w:val="00A11450"/>
    <w:rsid w:val="00A15A1F"/>
    <w:rsid w:val="00A3325A"/>
    <w:rsid w:val="00A40337"/>
    <w:rsid w:val="00A756BB"/>
    <w:rsid w:val="00AB68EA"/>
    <w:rsid w:val="00AE0417"/>
    <w:rsid w:val="00AF108A"/>
    <w:rsid w:val="00B02E55"/>
    <w:rsid w:val="00B525C5"/>
    <w:rsid w:val="00B572B7"/>
    <w:rsid w:val="00B6372C"/>
    <w:rsid w:val="00B72F60"/>
    <w:rsid w:val="00B730A7"/>
    <w:rsid w:val="00B8205D"/>
    <w:rsid w:val="00BA7708"/>
    <w:rsid w:val="00BE5835"/>
    <w:rsid w:val="00BF01A4"/>
    <w:rsid w:val="00BF7FE0"/>
    <w:rsid w:val="00C26E85"/>
    <w:rsid w:val="00C341B7"/>
    <w:rsid w:val="00C40886"/>
    <w:rsid w:val="00C47DDE"/>
    <w:rsid w:val="00C64931"/>
    <w:rsid w:val="00C75E16"/>
    <w:rsid w:val="00C8651C"/>
    <w:rsid w:val="00C879E6"/>
    <w:rsid w:val="00CC7938"/>
    <w:rsid w:val="00CE1FB3"/>
    <w:rsid w:val="00CE368D"/>
    <w:rsid w:val="00CF58B7"/>
    <w:rsid w:val="00D1402D"/>
    <w:rsid w:val="00D351C1"/>
    <w:rsid w:val="00D432B6"/>
    <w:rsid w:val="00D647E9"/>
    <w:rsid w:val="00D85018"/>
    <w:rsid w:val="00D86BF0"/>
    <w:rsid w:val="00D9694A"/>
    <w:rsid w:val="00DD012C"/>
    <w:rsid w:val="00E1298E"/>
    <w:rsid w:val="00E1677A"/>
    <w:rsid w:val="00E248C5"/>
    <w:rsid w:val="00E257B1"/>
    <w:rsid w:val="00E412AD"/>
    <w:rsid w:val="00E51920"/>
    <w:rsid w:val="00E64120"/>
    <w:rsid w:val="00EA1EC9"/>
    <w:rsid w:val="00EF009A"/>
    <w:rsid w:val="00F055F1"/>
    <w:rsid w:val="00F06919"/>
    <w:rsid w:val="00F17D8C"/>
    <w:rsid w:val="00F33821"/>
    <w:rsid w:val="00F376A3"/>
    <w:rsid w:val="00F6310E"/>
    <w:rsid w:val="00FC10ED"/>
    <w:rsid w:val="00FC2D11"/>
    <w:rsid w:val="00FC6230"/>
    <w:rsid w:val="00FD6D6B"/>
    <w:rsid w:val="00FD7367"/>
    <w:rsid w:val="00FF61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632495"/>
  <w15:docId w15:val="{F855C366-303E-4E60-8D17-C17788FE6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semiHidden="1" w:uiPriority="1" w:qFormat="1"/>
    <w:lsdException w:name="heading 2" w:semiHidden="1" w:qFormat="1"/>
    <w:lsdException w:name="heading 3" w:semiHidden="1" w:qFormat="1"/>
    <w:lsdException w:name="heading 4" w:semiHidden="1" w:qFormat="1"/>
    <w:lsdException w:name="heading 5" w:semiHidden="1" w:qFormat="1"/>
    <w:lsdException w:name="heading 6" w:semiHidden="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semiHidden/>
    <w:qFormat/>
    <w:rsid w:val="002F2EEF"/>
    <w:rPr>
      <w:sz w:val="24"/>
      <w:szCs w:val="24"/>
    </w:rPr>
  </w:style>
  <w:style w:type="paragraph" w:styleId="Heading1">
    <w:name w:val="heading 1"/>
    <w:basedOn w:val="Normal"/>
    <w:next w:val="Paragraph"/>
    <w:link w:val="Heading1Char"/>
    <w:uiPriority w:val="1"/>
    <w:qFormat/>
    <w:rsid w:val="00FC10ED"/>
    <w:pPr>
      <w:keepNext/>
      <w:spacing w:before="240" w:after="120"/>
      <w:outlineLvl w:val="0"/>
    </w:pPr>
    <w:rPr>
      <w:rFonts w:ascii="Arial" w:hAnsi="Arial"/>
      <w:b/>
      <w:bCs/>
      <w:kern w:val="32"/>
      <w:sz w:val="28"/>
      <w:szCs w:val="32"/>
    </w:rPr>
  </w:style>
  <w:style w:type="paragraph" w:styleId="Heading2">
    <w:name w:val="heading 2"/>
    <w:basedOn w:val="Normal"/>
    <w:next w:val="Paragraph"/>
    <w:link w:val="Heading2Char"/>
    <w:uiPriority w:val="2"/>
    <w:qFormat/>
    <w:rsid w:val="00A3325A"/>
    <w:pPr>
      <w:keepNext/>
      <w:spacing w:before="240" w:after="60"/>
      <w:outlineLvl w:val="1"/>
    </w:pPr>
    <w:rPr>
      <w:rFonts w:ascii="Arial" w:hAnsi="Arial"/>
      <w:b/>
      <w:bCs/>
      <w:i/>
      <w:iCs/>
      <w:sz w:val="28"/>
      <w:szCs w:val="28"/>
    </w:rPr>
  </w:style>
  <w:style w:type="paragraph" w:styleId="Heading3">
    <w:name w:val="heading 3"/>
    <w:basedOn w:val="Normal"/>
    <w:next w:val="Paragraph"/>
    <w:link w:val="Heading3Char"/>
    <w:uiPriority w:val="3"/>
    <w:qFormat/>
    <w:rsid w:val="00A3325A"/>
    <w:pPr>
      <w:keepNext/>
      <w:spacing w:before="240" w:after="60"/>
      <w:outlineLvl w:val="2"/>
    </w:pPr>
    <w:rPr>
      <w:rFonts w:ascii="Arial" w:hAnsi="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uiPriority w:val="4"/>
    <w:qFormat/>
    <w:rsid w:val="001A23E4"/>
    <w:pPr>
      <w:numPr>
        <w:numId w:val="1"/>
      </w:numPr>
      <w:spacing w:before="240" w:after="240" w:line="276" w:lineRule="auto"/>
      <w:ind w:left="709" w:hanging="709"/>
    </w:pPr>
    <w:rPr>
      <w:rFonts w:ascii="Arial" w:hAnsi="Arial"/>
    </w:rPr>
  </w:style>
  <w:style w:type="paragraph" w:styleId="Title">
    <w:name w:val="Title"/>
    <w:basedOn w:val="Normal"/>
    <w:next w:val="Heading1"/>
    <w:link w:val="TitleChar"/>
    <w:qFormat/>
    <w:rsid w:val="00FC10ED"/>
    <w:pPr>
      <w:spacing w:before="240" w:after="240"/>
      <w:jc w:val="center"/>
      <w:outlineLvl w:val="0"/>
    </w:pPr>
    <w:rPr>
      <w:rFonts w:ascii="Arial" w:hAnsi="Arial"/>
      <w:b/>
      <w:bCs/>
      <w:kern w:val="28"/>
      <w:sz w:val="32"/>
      <w:szCs w:val="32"/>
    </w:rPr>
  </w:style>
  <w:style w:type="character" w:customStyle="1" w:styleId="TitleChar">
    <w:name w:val="Title Char"/>
    <w:basedOn w:val="DefaultParagraphFont"/>
    <w:link w:val="Title"/>
    <w:rsid w:val="00FC10ED"/>
    <w:rPr>
      <w:rFonts w:ascii="Arial" w:hAnsi="Arial"/>
      <w:b/>
      <w:bCs/>
      <w:kern w:val="28"/>
      <w:sz w:val="32"/>
      <w:szCs w:val="32"/>
    </w:rPr>
  </w:style>
  <w:style w:type="character" w:customStyle="1" w:styleId="Heading1Char">
    <w:name w:val="Heading 1 Char"/>
    <w:basedOn w:val="DefaultParagraphFont"/>
    <w:link w:val="Heading1"/>
    <w:uiPriority w:val="1"/>
    <w:rsid w:val="00FC10ED"/>
    <w:rPr>
      <w:rFonts w:ascii="Arial" w:hAnsi="Arial"/>
      <w:b/>
      <w:bCs/>
      <w:kern w:val="32"/>
      <w:sz w:val="28"/>
      <w:szCs w:val="32"/>
    </w:rPr>
  </w:style>
  <w:style w:type="paragraph" w:customStyle="1" w:styleId="Bullets">
    <w:name w:val="Bullets"/>
    <w:basedOn w:val="Normal"/>
    <w:uiPriority w:val="5"/>
    <w:qFormat/>
    <w:rsid w:val="001A23E4"/>
    <w:pPr>
      <w:numPr>
        <w:numId w:val="2"/>
      </w:numPr>
      <w:spacing w:line="276" w:lineRule="auto"/>
    </w:pPr>
    <w:rPr>
      <w:rFonts w:ascii="Arial" w:hAnsi="Arial"/>
    </w:rPr>
  </w:style>
  <w:style w:type="paragraph" w:styleId="Header">
    <w:name w:val="header"/>
    <w:basedOn w:val="Normal"/>
    <w:link w:val="HeaderChar"/>
    <w:uiPriority w:val="99"/>
    <w:semiHidden/>
    <w:rsid w:val="0017169E"/>
    <w:pPr>
      <w:tabs>
        <w:tab w:val="center" w:pos="4513"/>
        <w:tab w:val="right" w:pos="9026"/>
      </w:tabs>
    </w:pPr>
    <w:rPr>
      <w:rFonts w:ascii="Arial" w:hAnsi="Arial"/>
    </w:rPr>
  </w:style>
  <w:style w:type="character" w:customStyle="1" w:styleId="HeaderChar">
    <w:name w:val="Header Char"/>
    <w:basedOn w:val="DefaultParagraphFont"/>
    <w:link w:val="Header"/>
    <w:uiPriority w:val="99"/>
    <w:semiHidden/>
    <w:rsid w:val="009E680B"/>
    <w:rPr>
      <w:rFonts w:ascii="Arial" w:hAnsi="Arial"/>
      <w:sz w:val="24"/>
      <w:szCs w:val="24"/>
    </w:rPr>
  </w:style>
  <w:style w:type="paragraph" w:styleId="Footer">
    <w:name w:val="footer"/>
    <w:basedOn w:val="Normal"/>
    <w:link w:val="FooterChar"/>
    <w:uiPriority w:val="99"/>
    <w:semiHidden/>
    <w:rsid w:val="00446BEE"/>
    <w:pPr>
      <w:tabs>
        <w:tab w:val="center" w:pos="4513"/>
        <w:tab w:val="right" w:pos="9026"/>
      </w:tabs>
    </w:pPr>
    <w:rPr>
      <w:rFonts w:ascii="Arial" w:hAnsi="Arial"/>
      <w:sz w:val="20"/>
    </w:rPr>
  </w:style>
  <w:style w:type="character" w:customStyle="1" w:styleId="FooterChar">
    <w:name w:val="Footer Char"/>
    <w:basedOn w:val="DefaultParagraphFont"/>
    <w:link w:val="Footer"/>
    <w:uiPriority w:val="99"/>
    <w:semiHidden/>
    <w:rsid w:val="0017169E"/>
    <w:rPr>
      <w:rFonts w:ascii="Arial" w:hAnsi="Arial"/>
      <w:szCs w:val="24"/>
    </w:rPr>
  </w:style>
  <w:style w:type="paragraph" w:styleId="BalloonText">
    <w:name w:val="Balloon Text"/>
    <w:basedOn w:val="Normal"/>
    <w:link w:val="BalloonTextChar"/>
    <w:semiHidden/>
    <w:rsid w:val="00446BEE"/>
    <w:rPr>
      <w:rFonts w:ascii="Tahoma" w:hAnsi="Tahoma" w:cs="Tahoma"/>
      <w:sz w:val="16"/>
      <w:szCs w:val="16"/>
    </w:rPr>
  </w:style>
  <w:style w:type="character" w:customStyle="1" w:styleId="BalloonTextChar">
    <w:name w:val="Balloon Text Char"/>
    <w:basedOn w:val="DefaultParagraphFont"/>
    <w:link w:val="BalloonText"/>
    <w:semiHidden/>
    <w:rsid w:val="00446BEE"/>
    <w:rPr>
      <w:rFonts w:ascii="Tahoma" w:hAnsi="Tahoma" w:cs="Tahoma"/>
      <w:sz w:val="16"/>
      <w:szCs w:val="16"/>
    </w:rPr>
  </w:style>
  <w:style w:type="character" w:customStyle="1" w:styleId="Heading2Char">
    <w:name w:val="Heading 2 Char"/>
    <w:basedOn w:val="DefaultParagraphFont"/>
    <w:link w:val="Heading2"/>
    <w:uiPriority w:val="2"/>
    <w:rsid w:val="006921E1"/>
    <w:rPr>
      <w:rFonts w:ascii="Arial" w:hAnsi="Arial"/>
      <w:b/>
      <w:bCs/>
      <w:i/>
      <w:iCs/>
      <w:sz w:val="28"/>
      <w:szCs w:val="28"/>
    </w:rPr>
  </w:style>
  <w:style w:type="character" w:customStyle="1" w:styleId="Heading3Char">
    <w:name w:val="Heading 3 Char"/>
    <w:basedOn w:val="DefaultParagraphFont"/>
    <w:link w:val="Heading3"/>
    <w:uiPriority w:val="3"/>
    <w:rsid w:val="006921E1"/>
    <w:rPr>
      <w:rFonts w:ascii="Arial" w:hAnsi="Arial"/>
      <w:b/>
      <w:bCs/>
      <w:sz w:val="24"/>
      <w:szCs w:val="26"/>
    </w:rPr>
  </w:style>
  <w:style w:type="paragraph" w:customStyle="1" w:styleId="Subbullets">
    <w:name w:val="Sub bullets"/>
    <w:basedOn w:val="Normal"/>
    <w:uiPriority w:val="6"/>
    <w:qFormat/>
    <w:rsid w:val="001A23E4"/>
    <w:pPr>
      <w:numPr>
        <w:numId w:val="18"/>
      </w:numPr>
      <w:spacing w:line="276" w:lineRule="auto"/>
      <w:ind w:left="1418" w:hanging="284"/>
    </w:pPr>
    <w:rPr>
      <w:rFonts w:ascii="Arial" w:hAnsi="Arial"/>
    </w:rPr>
  </w:style>
  <w:style w:type="paragraph" w:customStyle="1" w:styleId="Paragraphnonumbers">
    <w:name w:val="Paragraph no numbers"/>
    <w:basedOn w:val="Normal"/>
    <w:uiPriority w:val="99"/>
    <w:qFormat/>
    <w:rsid w:val="001A23E4"/>
    <w:pPr>
      <w:spacing w:before="240" w:after="240" w:line="276" w:lineRule="auto"/>
    </w:pPr>
    <w:rPr>
      <w:rFonts w:ascii="Arial" w:hAnsi="Arial"/>
    </w:rPr>
  </w:style>
  <w:style w:type="table" w:styleId="TableGrid">
    <w:name w:val="Table Grid"/>
    <w:basedOn w:val="TableNormal"/>
    <w:rsid w:val="003B1C3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basedOn w:val="DefaultParagraphFont"/>
    <w:semiHidden/>
    <w:rsid w:val="00163FB7"/>
    <w:rPr>
      <w:sz w:val="16"/>
      <w:szCs w:val="16"/>
    </w:rPr>
  </w:style>
  <w:style w:type="paragraph" w:styleId="CommentText">
    <w:name w:val="annotation text"/>
    <w:basedOn w:val="Normal"/>
    <w:link w:val="CommentTextChar"/>
    <w:semiHidden/>
    <w:rsid w:val="00163FB7"/>
    <w:rPr>
      <w:sz w:val="20"/>
      <w:szCs w:val="20"/>
    </w:rPr>
  </w:style>
  <w:style w:type="character" w:customStyle="1" w:styleId="CommentTextChar">
    <w:name w:val="Comment Text Char"/>
    <w:basedOn w:val="DefaultParagraphFont"/>
    <w:link w:val="CommentText"/>
    <w:semiHidden/>
    <w:rsid w:val="00163FB7"/>
  </w:style>
  <w:style w:type="paragraph" w:styleId="CommentSubject">
    <w:name w:val="annotation subject"/>
    <w:basedOn w:val="CommentText"/>
    <w:next w:val="CommentText"/>
    <w:link w:val="CommentSubjectChar"/>
    <w:semiHidden/>
    <w:rsid w:val="00163FB7"/>
    <w:rPr>
      <w:b/>
      <w:bCs/>
    </w:rPr>
  </w:style>
  <w:style w:type="character" w:customStyle="1" w:styleId="CommentSubjectChar">
    <w:name w:val="Comment Subject Char"/>
    <w:basedOn w:val="CommentTextChar"/>
    <w:link w:val="CommentSubject"/>
    <w:semiHidden/>
    <w:rsid w:val="00163FB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89022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707</Words>
  <Characters>3994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NICE</Company>
  <LinksUpToDate>false</LinksUpToDate>
  <CharactersWithSpaces>4692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Hughes</dc:creator>
  <cp:keywords/>
  <dc:description/>
  <cp:lastModifiedBy>Emma Douch</cp:lastModifiedBy>
  <cp:revision>4</cp:revision>
  <dcterms:created xsi:type="dcterms:W3CDTF">2021-06-17T13:23:00Z</dcterms:created>
  <dcterms:modified xsi:type="dcterms:W3CDTF">2021-07-08T14:08:00Z</dcterms:modified>
</cp:coreProperties>
</file>