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A7A8" w14:textId="6B156CFE" w:rsidR="00F91519" w:rsidRDefault="009A25CA">
      <w:pPr>
        <w:pStyle w:val="Heading2"/>
        <w:spacing w:before="171"/>
      </w:pPr>
      <w:r>
        <w:rPr>
          <w:noProof/>
        </w:rPr>
        <w:drawing>
          <wp:anchor distT="0" distB="0" distL="0" distR="0" simplePos="0" relativeHeight="251658240" behindDoc="0" locked="0" layoutInCell="1" allowOverlap="1" wp14:anchorId="1EEE34F3" wp14:editId="42122DEC">
            <wp:simplePos x="0" y="0"/>
            <wp:positionH relativeFrom="page">
              <wp:posOffset>5762625</wp:posOffset>
            </wp:positionH>
            <wp:positionV relativeFrom="paragraph">
              <wp:posOffset>-6021</wp:posOffset>
            </wp:positionV>
            <wp:extent cx="1439545" cy="579754"/>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439545" cy="579754"/>
                    </a:xfrm>
                    <a:prstGeom prst="rect">
                      <a:avLst/>
                    </a:prstGeom>
                  </pic:spPr>
                </pic:pic>
              </a:graphicData>
            </a:graphic>
          </wp:anchor>
        </w:drawing>
      </w:r>
    </w:p>
    <w:p w14:paraId="26AEAAD4" w14:textId="77777777" w:rsidR="00F91519" w:rsidRDefault="00F91519">
      <w:pPr>
        <w:pStyle w:val="BodyText"/>
        <w:ind w:left="0"/>
        <w:rPr>
          <w:b/>
          <w:sz w:val="26"/>
        </w:rPr>
      </w:pPr>
    </w:p>
    <w:p w14:paraId="15DC55D8" w14:textId="77777777" w:rsidR="00F91519" w:rsidRDefault="00F91519">
      <w:pPr>
        <w:pStyle w:val="BodyText"/>
        <w:ind w:left="0"/>
        <w:rPr>
          <w:b/>
          <w:sz w:val="26"/>
        </w:rPr>
      </w:pPr>
    </w:p>
    <w:p w14:paraId="40D5F63E" w14:textId="77777777" w:rsidR="00F91519" w:rsidRDefault="00F91519">
      <w:pPr>
        <w:pStyle w:val="BodyText"/>
        <w:ind w:left="0"/>
        <w:rPr>
          <w:b/>
          <w:sz w:val="26"/>
        </w:rPr>
      </w:pPr>
    </w:p>
    <w:p w14:paraId="6B5479E5" w14:textId="77777777" w:rsidR="00F91519" w:rsidRDefault="00F91519">
      <w:pPr>
        <w:pStyle w:val="BodyText"/>
        <w:ind w:left="0"/>
        <w:rPr>
          <w:b/>
          <w:sz w:val="26"/>
        </w:rPr>
      </w:pPr>
    </w:p>
    <w:p w14:paraId="22D52A13" w14:textId="77777777" w:rsidR="00F91519" w:rsidRDefault="00F91519">
      <w:pPr>
        <w:pStyle w:val="BodyText"/>
        <w:spacing w:before="10"/>
        <w:ind w:left="0"/>
        <w:rPr>
          <w:b/>
          <w:sz w:val="37"/>
        </w:rPr>
      </w:pPr>
    </w:p>
    <w:p w14:paraId="66BBD352" w14:textId="30034DD3" w:rsidR="00F91519" w:rsidRDefault="009A25CA">
      <w:pPr>
        <w:ind w:left="1020"/>
        <w:rPr>
          <w:sz w:val="28"/>
        </w:rPr>
      </w:pPr>
      <w:r>
        <w:rPr>
          <w:color w:val="005EB8"/>
          <w:sz w:val="28"/>
        </w:rPr>
        <w:t xml:space="preserve">Specialty guides for patient management during the </w:t>
      </w:r>
      <w:r w:rsidR="00BC2B64">
        <w:rPr>
          <w:color w:val="005EB8"/>
          <w:sz w:val="28"/>
        </w:rPr>
        <w:t xml:space="preserve">COVID-19 </w:t>
      </w:r>
      <w:r>
        <w:rPr>
          <w:color w:val="005EB8"/>
          <w:sz w:val="28"/>
        </w:rPr>
        <w:t>pandemic</w:t>
      </w:r>
    </w:p>
    <w:p w14:paraId="4EA6E860" w14:textId="77777777" w:rsidR="00F91519" w:rsidRDefault="00F91519">
      <w:pPr>
        <w:pStyle w:val="BodyText"/>
        <w:ind w:left="0"/>
        <w:rPr>
          <w:sz w:val="30"/>
        </w:rPr>
      </w:pPr>
    </w:p>
    <w:p w14:paraId="742D80D1" w14:textId="77777777" w:rsidR="00F91519" w:rsidRDefault="009A25CA">
      <w:pPr>
        <w:spacing w:before="209"/>
        <w:ind w:left="1020" w:right="1668"/>
        <w:rPr>
          <w:sz w:val="48"/>
        </w:rPr>
      </w:pPr>
      <w:r>
        <w:rPr>
          <w:color w:val="005EB8"/>
          <w:spacing w:val="-10"/>
          <w:sz w:val="48"/>
        </w:rPr>
        <w:t xml:space="preserve">Clinical </w:t>
      </w:r>
      <w:r>
        <w:rPr>
          <w:color w:val="005EB8"/>
          <w:spacing w:val="-9"/>
          <w:sz w:val="48"/>
        </w:rPr>
        <w:t xml:space="preserve">guide </w:t>
      </w:r>
      <w:r>
        <w:rPr>
          <w:color w:val="005EB8"/>
          <w:spacing w:val="-8"/>
          <w:sz w:val="48"/>
        </w:rPr>
        <w:t xml:space="preserve">for </w:t>
      </w:r>
      <w:r>
        <w:rPr>
          <w:color w:val="005EB8"/>
          <w:spacing w:val="-7"/>
          <w:sz w:val="48"/>
        </w:rPr>
        <w:t xml:space="preserve">the </w:t>
      </w:r>
      <w:r>
        <w:rPr>
          <w:color w:val="005EB8"/>
          <w:spacing w:val="-10"/>
          <w:sz w:val="48"/>
        </w:rPr>
        <w:t xml:space="preserve">management </w:t>
      </w:r>
      <w:r>
        <w:rPr>
          <w:color w:val="005EB8"/>
          <w:spacing w:val="-6"/>
          <w:sz w:val="48"/>
        </w:rPr>
        <w:t xml:space="preserve">of </w:t>
      </w:r>
      <w:r>
        <w:rPr>
          <w:color w:val="005EB8"/>
          <w:spacing w:val="-10"/>
          <w:sz w:val="48"/>
        </w:rPr>
        <w:t xml:space="preserve">anticoagulant services </w:t>
      </w:r>
      <w:r>
        <w:rPr>
          <w:color w:val="005EB8"/>
          <w:spacing w:val="-9"/>
          <w:sz w:val="48"/>
        </w:rPr>
        <w:t xml:space="preserve">during </w:t>
      </w:r>
      <w:r>
        <w:rPr>
          <w:color w:val="005EB8"/>
          <w:spacing w:val="-7"/>
          <w:sz w:val="48"/>
        </w:rPr>
        <w:t xml:space="preserve">the </w:t>
      </w:r>
      <w:r>
        <w:rPr>
          <w:color w:val="005EB8"/>
          <w:spacing w:val="-10"/>
          <w:sz w:val="48"/>
        </w:rPr>
        <w:t>coronavirus pandemic</w:t>
      </w:r>
    </w:p>
    <w:p w14:paraId="02CC2E98" w14:textId="77777777" w:rsidR="00BB5B1F" w:rsidRDefault="00FD391D">
      <w:pPr>
        <w:spacing w:before="258"/>
        <w:ind w:left="1020"/>
        <w:rPr>
          <w:color w:val="005EB8"/>
          <w:sz w:val="28"/>
        </w:rPr>
      </w:pPr>
      <w:r>
        <w:rPr>
          <w:color w:val="005EB8"/>
          <w:sz w:val="28"/>
        </w:rPr>
        <w:t>November</w:t>
      </w:r>
      <w:r w:rsidR="009A25CA">
        <w:rPr>
          <w:color w:val="005EB8"/>
          <w:sz w:val="28"/>
        </w:rPr>
        <w:t xml:space="preserve"> 2020</w:t>
      </w:r>
    </w:p>
    <w:p w14:paraId="10B3B8E1" w14:textId="39D1D766" w:rsidR="00F91519" w:rsidRDefault="00BB5B1F">
      <w:pPr>
        <w:spacing w:before="258"/>
        <w:ind w:left="1020"/>
        <w:rPr>
          <w:sz w:val="28"/>
        </w:rPr>
      </w:pPr>
      <w:r>
        <w:rPr>
          <w:color w:val="005EB8"/>
          <w:sz w:val="28"/>
        </w:rPr>
        <w:t xml:space="preserve">Updated </w:t>
      </w:r>
      <w:r w:rsidR="0079632E">
        <w:rPr>
          <w:color w:val="005EB8"/>
          <w:sz w:val="28"/>
        </w:rPr>
        <w:t>February 2021</w:t>
      </w:r>
      <w:r>
        <w:rPr>
          <w:color w:val="005EB8"/>
          <w:sz w:val="28"/>
        </w:rPr>
        <w:t xml:space="preserve">. See </w:t>
      </w:r>
      <w:hyperlink w:anchor="UpdateInfo" w:history="1">
        <w:r w:rsidRPr="00BB5B1F">
          <w:rPr>
            <w:rStyle w:val="Hyperlink"/>
            <w:sz w:val="28"/>
          </w:rPr>
          <w:t>update information</w:t>
        </w:r>
      </w:hyperlink>
      <w:r>
        <w:rPr>
          <w:color w:val="005EB8"/>
          <w:sz w:val="28"/>
        </w:rPr>
        <w:t xml:space="preserve"> for details</w:t>
      </w:r>
    </w:p>
    <w:p w14:paraId="59C85964" w14:textId="77777777" w:rsidR="00F91519" w:rsidRDefault="00F91519">
      <w:pPr>
        <w:pStyle w:val="BodyText"/>
        <w:ind w:left="0"/>
        <w:rPr>
          <w:sz w:val="37"/>
        </w:rPr>
      </w:pPr>
    </w:p>
    <w:p w14:paraId="761A405E" w14:textId="1F6AB852" w:rsidR="00F91519" w:rsidRDefault="009A25CA">
      <w:pPr>
        <w:pStyle w:val="BodyText"/>
        <w:spacing w:line="312" w:lineRule="auto"/>
        <w:ind w:left="1020" w:right="1382"/>
      </w:pPr>
      <w:r>
        <w:rPr>
          <w:color w:val="221F1F"/>
        </w:rPr>
        <w:t>As healthcare professionals we all have general responsibilities in relation to coronavirus and for these we should seek and act on national and local guidelines. We also have a specific responsibility to ensure that anticoagulant care continues with the minimum burden on the NHS. We must engage with management and clinical teams planning the local response in our hospitals and across primary care.</w:t>
      </w:r>
    </w:p>
    <w:p w14:paraId="68245DB1" w14:textId="77777777" w:rsidR="00F91519" w:rsidRDefault="00F91519">
      <w:pPr>
        <w:pStyle w:val="BodyText"/>
        <w:ind w:left="0"/>
        <w:rPr>
          <w:sz w:val="25"/>
        </w:rPr>
      </w:pPr>
    </w:p>
    <w:p w14:paraId="562B3FC4" w14:textId="77777777" w:rsidR="00F91519" w:rsidRDefault="009A25CA">
      <w:pPr>
        <w:pStyle w:val="BodyText"/>
        <w:spacing w:line="312" w:lineRule="auto"/>
        <w:ind w:left="1020" w:right="1504"/>
      </w:pPr>
      <w:r>
        <w:rPr>
          <w:color w:val="221F1F"/>
        </w:rPr>
        <w:t xml:space="preserve">Anticoagulant services may not seem to be in the frontline with </w:t>
      </w:r>
      <w:proofErr w:type="gramStart"/>
      <w:r>
        <w:rPr>
          <w:color w:val="221F1F"/>
        </w:rPr>
        <w:t>coronavirus</w:t>
      </w:r>
      <w:proofErr w:type="gramEnd"/>
      <w:r>
        <w:rPr>
          <w:color w:val="221F1F"/>
        </w:rPr>
        <w:t xml:space="preserve"> but we do have a key role in continuing to keep patients on anticoagulants as safe as possible; this must be planned. In response to pressures on the NHS, the way we deliver anticoagulants may need to change. We should seek the best local solutions to continue the safe management of patients on anticoagulation while protecting resources for the response to coronavirus.</w:t>
      </w:r>
    </w:p>
    <w:p w14:paraId="543A34B1" w14:textId="77777777" w:rsidR="00F91519" w:rsidRDefault="00F91519">
      <w:pPr>
        <w:pStyle w:val="BodyText"/>
        <w:ind w:left="0"/>
        <w:rPr>
          <w:sz w:val="35"/>
        </w:rPr>
      </w:pPr>
    </w:p>
    <w:p w14:paraId="5804591E" w14:textId="77777777" w:rsidR="00F91519" w:rsidRDefault="009A25CA">
      <w:pPr>
        <w:pStyle w:val="Heading1"/>
      </w:pPr>
      <w:r>
        <w:t>Categories of patients to consider:</w:t>
      </w:r>
    </w:p>
    <w:p w14:paraId="39DBC68A" w14:textId="6099816F" w:rsidR="00F91519" w:rsidRDefault="009A25CA">
      <w:pPr>
        <w:pStyle w:val="ListParagraph"/>
        <w:numPr>
          <w:ilvl w:val="0"/>
          <w:numId w:val="7"/>
        </w:numPr>
        <w:tabs>
          <w:tab w:val="left" w:pos="1873"/>
        </w:tabs>
        <w:spacing w:before="10" w:line="283" w:lineRule="auto"/>
        <w:ind w:right="1387"/>
        <w:rPr>
          <w:sz w:val="24"/>
        </w:rPr>
      </w:pPr>
      <w:r>
        <w:rPr>
          <w:b/>
          <w:color w:val="221F1F"/>
          <w:sz w:val="24"/>
        </w:rPr>
        <w:t xml:space="preserve">Obligatory inpatients: </w:t>
      </w:r>
      <w:r>
        <w:rPr>
          <w:color w:val="221F1F"/>
          <w:sz w:val="24"/>
        </w:rPr>
        <w:t xml:space="preserve">a small proportion of patients on anticoagulation will need acute inpatient care, </w:t>
      </w:r>
      <w:r w:rsidR="00FD391D">
        <w:rPr>
          <w:color w:val="221F1F"/>
          <w:sz w:val="24"/>
        </w:rPr>
        <w:t>for example</w:t>
      </w:r>
      <w:r>
        <w:rPr>
          <w:color w:val="221F1F"/>
          <w:sz w:val="24"/>
        </w:rPr>
        <w:t xml:space="preserve"> due to major bleeding or</w:t>
      </w:r>
      <w:r>
        <w:rPr>
          <w:color w:val="221F1F"/>
          <w:spacing w:val="-6"/>
          <w:sz w:val="24"/>
        </w:rPr>
        <w:t xml:space="preserve"> </w:t>
      </w:r>
      <w:r>
        <w:rPr>
          <w:color w:val="221F1F"/>
          <w:sz w:val="24"/>
        </w:rPr>
        <w:t>stroke.</w:t>
      </w:r>
    </w:p>
    <w:p w14:paraId="3F5C7287" w14:textId="77777777" w:rsidR="00F91519" w:rsidRDefault="009A25CA">
      <w:pPr>
        <w:pStyle w:val="Heading2"/>
        <w:numPr>
          <w:ilvl w:val="0"/>
          <w:numId w:val="7"/>
        </w:numPr>
        <w:tabs>
          <w:tab w:val="left" w:pos="1873"/>
        </w:tabs>
        <w:spacing w:before="11"/>
      </w:pPr>
      <w:r>
        <w:rPr>
          <w:color w:val="221F1F"/>
        </w:rPr>
        <w:t>Patients requiring initiation of oral</w:t>
      </w:r>
      <w:r>
        <w:rPr>
          <w:color w:val="221F1F"/>
          <w:spacing w:val="-3"/>
        </w:rPr>
        <w:t xml:space="preserve"> </w:t>
      </w:r>
      <w:r>
        <w:rPr>
          <w:color w:val="221F1F"/>
        </w:rPr>
        <w:t>anticoagulation.</w:t>
      </w:r>
    </w:p>
    <w:p w14:paraId="58A26914" w14:textId="77777777" w:rsidR="00F91519" w:rsidRDefault="009A25CA">
      <w:pPr>
        <w:pStyle w:val="ListParagraph"/>
        <w:numPr>
          <w:ilvl w:val="0"/>
          <w:numId w:val="7"/>
        </w:numPr>
        <w:tabs>
          <w:tab w:val="left" w:pos="1873"/>
        </w:tabs>
        <w:spacing w:before="42" w:line="297" w:lineRule="auto"/>
        <w:ind w:right="1306"/>
        <w:jc w:val="both"/>
        <w:rPr>
          <w:sz w:val="24"/>
        </w:rPr>
      </w:pPr>
      <w:r>
        <w:rPr>
          <w:b/>
          <w:color w:val="221F1F"/>
          <w:sz w:val="24"/>
        </w:rPr>
        <w:t xml:space="preserve">Patients already receiving warfarin </w:t>
      </w:r>
      <w:r>
        <w:rPr>
          <w:color w:val="221F1F"/>
          <w:sz w:val="24"/>
        </w:rPr>
        <w:t>who are not self-managing and are currently being managed in outpatient or community settings: aim to minimise attendances, where</w:t>
      </w:r>
      <w:r>
        <w:rPr>
          <w:color w:val="221F1F"/>
          <w:spacing w:val="-1"/>
          <w:sz w:val="24"/>
        </w:rPr>
        <w:t xml:space="preserve"> </w:t>
      </w:r>
      <w:r>
        <w:rPr>
          <w:color w:val="221F1F"/>
          <w:sz w:val="24"/>
        </w:rPr>
        <w:t>possible.</w:t>
      </w:r>
    </w:p>
    <w:p w14:paraId="69A5FB68" w14:textId="77777777" w:rsidR="00F91519" w:rsidRDefault="009A25CA">
      <w:pPr>
        <w:pStyle w:val="ListParagraph"/>
        <w:numPr>
          <w:ilvl w:val="0"/>
          <w:numId w:val="7"/>
        </w:numPr>
        <w:tabs>
          <w:tab w:val="left" w:pos="1873"/>
        </w:tabs>
        <w:spacing w:line="283" w:lineRule="auto"/>
        <w:ind w:right="1145"/>
        <w:rPr>
          <w:sz w:val="24"/>
        </w:rPr>
      </w:pPr>
      <w:r>
        <w:rPr>
          <w:b/>
          <w:color w:val="221F1F"/>
          <w:sz w:val="24"/>
        </w:rPr>
        <w:t xml:space="preserve">Patients already receiving direct oral anticoagulants (DOACs) </w:t>
      </w:r>
      <w:r>
        <w:rPr>
          <w:color w:val="221F1F"/>
          <w:sz w:val="24"/>
        </w:rPr>
        <w:t>who should have appropriate primary care-based monitoring in</w:t>
      </w:r>
      <w:r>
        <w:rPr>
          <w:color w:val="221F1F"/>
          <w:spacing w:val="-12"/>
          <w:sz w:val="24"/>
        </w:rPr>
        <w:t xml:space="preserve"> </w:t>
      </w:r>
      <w:r>
        <w:rPr>
          <w:color w:val="221F1F"/>
          <w:sz w:val="24"/>
        </w:rPr>
        <w:t>place.</w:t>
      </w:r>
    </w:p>
    <w:p w14:paraId="1FAAA823" w14:textId="77777777" w:rsidR="00F91519" w:rsidRDefault="00F91519">
      <w:pPr>
        <w:pStyle w:val="BodyText"/>
        <w:ind w:left="0"/>
        <w:rPr>
          <w:sz w:val="20"/>
        </w:rPr>
      </w:pPr>
    </w:p>
    <w:p w14:paraId="71011B02" w14:textId="77777777" w:rsidR="00F91519" w:rsidRDefault="00F91519">
      <w:pPr>
        <w:pStyle w:val="BodyText"/>
        <w:ind w:left="0"/>
        <w:rPr>
          <w:sz w:val="20"/>
        </w:rPr>
      </w:pPr>
    </w:p>
    <w:p w14:paraId="527602D4" w14:textId="77777777" w:rsidR="00F91519" w:rsidRDefault="00F91519">
      <w:pPr>
        <w:pStyle w:val="BodyText"/>
        <w:ind w:left="0"/>
        <w:rPr>
          <w:sz w:val="20"/>
        </w:rPr>
      </w:pPr>
    </w:p>
    <w:p w14:paraId="14575676" w14:textId="77777777" w:rsidR="00F91519" w:rsidRDefault="00F91519">
      <w:pPr>
        <w:pStyle w:val="BodyText"/>
        <w:ind w:left="0"/>
        <w:rPr>
          <w:sz w:val="20"/>
        </w:rPr>
      </w:pPr>
    </w:p>
    <w:p w14:paraId="759C9F5E" w14:textId="77777777" w:rsidR="00F91519" w:rsidRDefault="00F91519">
      <w:pPr>
        <w:pStyle w:val="BodyText"/>
        <w:spacing w:before="7"/>
        <w:ind w:left="0"/>
        <w:rPr>
          <w:sz w:val="20"/>
        </w:rPr>
      </w:pPr>
    </w:p>
    <w:p w14:paraId="149AC353" w14:textId="77777777" w:rsidR="00F91519" w:rsidRDefault="009A25CA">
      <w:pPr>
        <w:pStyle w:val="Heading2"/>
        <w:spacing w:before="92"/>
        <w:ind w:left="3872"/>
      </w:pPr>
      <w:r>
        <w:rPr>
          <w:noProof/>
        </w:rPr>
        <w:drawing>
          <wp:anchor distT="0" distB="0" distL="0" distR="0" simplePos="0" relativeHeight="1048" behindDoc="0" locked="0" layoutInCell="1" allowOverlap="1" wp14:anchorId="37FC37D0" wp14:editId="6EB121FB">
            <wp:simplePos x="0" y="0"/>
            <wp:positionH relativeFrom="page">
              <wp:posOffset>0</wp:posOffset>
            </wp:positionH>
            <wp:positionV relativeFrom="paragraph">
              <wp:posOffset>263090</wp:posOffset>
            </wp:positionV>
            <wp:extent cx="7550150" cy="472440"/>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550150" cy="472440"/>
                    </a:xfrm>
                    <a:prstGeom prst="rect">
                      <a:avLst/>
                    </a:prstGeom>
                  </pic:spPr>
                </pic:pic>
              </a:graphicData>
            </a:graphic>
          </wp:anchor>
        </w:drawing>
      </w:r>
      <w:r>
        <w:t>NHS England and NHS Improvement</w:t>
      </w:r>
    </w:p>
    <w:p w14:paraId="10440978" w14:textId="77777777" w:rsidR="00F91519" w:rsidRDefault="00F91519">
      <w:pPr>
        <w:sectPr w:rsidR="00F91519">
          <w:type w:val="continuous"/>
          <w:pgSz w:w="11910" w:h="16850"/>
          <w:pgMar w:top="680" w:right="0" w:bottom="0" w:left="0" w:header="720" w:footer="720" w:gutter="0"/>
          <w:cols w:space="720"/>
        </w:sectPr>
      </w:pPr>
    </w:p>
    <w:p w14:paraId="1D2BEA8E" w14:textId="77777777" w:rsidR="00F91519" w:rsidRDefault="009A25CA">
      <w:pPr>
        <w:spacing w:before="68"/>
        <w:ind w:left="1020"/>
        <w:rPr>
          <w:b/>
          <w:sz w:val="28"/>
        </w:rPr>
      </w:pPr>
      <w:r>
        <w:rPr>
          <w:b/>
          <w:sz w:val="28"/>
        </w:rPr>
        <w:lastRenderedPageBreak/>
        <w:t>When planning your local response, please consider the following:</w:t>
      </w:r>
    </w:p>
    <w:p w14:paraId="38D218A3" w14:textId="77777777" w:rsidR="00F91519" w:rsidRDefault="00F91519">
      <w:pPr>
        <w:pStyle w:val="BodyText"/>
        <w:spacing w:before="3"/>
        <w:ind w:left="0"/>
        <w:rPr>
          <w:b/>
          <w:sz w:val="26"/>
        </w:rPr>
      </w:pPr>
    </w:p>
    <w:p w14:paraId="6F07F0E4" w14:textId="77777777" w:rsidR="00F91519" w:rsidRDefault="009A25CA">
      <w:pPr>
        <w:ind w:left="1020"/>
        <w:rPr>
          <w:b/>
          <w:sz w:val="24"/>
        </w:rPr>
      </w:pPr>
      <w:r>
        <w:rPr>
          <w:b/>
          <w:sz w:val="24"/>
        </w:rPr>
        <w:t>Obligatory inpatients</w:t>
      </w:r>
    </w:p>
    <w:p w14:paraId="1EB14634" w14:textId="77777777" w:rsidR="00F91519" w:rsidRDefault="009A25CA">
      <w:pPr>
        <w:pStyle w:val="ListParagraph"/>
        <w:numPr>
          <w:ilvl w:val="0"/>
          <w:numId w:val="7"/>
        </w:numPr>
        <w:tabs>
          <w:tab w:val="left" w:pos="1873"/>
        </w:tabs>
        <w:spacing w:before="9" w:line="283" w:lineRule="auto"/>
        <w:ind w:right="1432"/>
        <w:rPr>
          <w:sz w:val="24"/>
        </w:rPr>
      </w:pPr>
      <w:r>
        <w:rPr>
          <w:color w:val="221F1F"/>
          <w:sz w:val="24"/>
        </w:rPr>
        <w:t>Anticoagulant specialist support will be required for patients experiencing a</w:t>
      </w:r>
      <w:r>
        <w:rPr>
          <w:color w:val="221F1F"/>
          <w:spacing w:val="-32"/>
          <w:sz w:val="24"/>
        </w:rPr>
        <w:t xml:space="preserve"> </w:t>
      </w:r>
      <w:r>
        <w:rPr>
          <w:color w:val="221F1F"/>
          <w:sz w:val="24"/>
        </w:rPr>
        <w:t>major bleed during therapy or a stroke while on anticoagulant</w:t>
      </w:r>
      <w:r>
        <w:rPr>
          <w:color w:val="221F1F"/>
          <w:spacing w:val="-12"/>
          <w:sz w:val="24"/>
        </w:rPr>
        <w:t xml:space="preserve"> </w:t>
      </w:r>
      <w:r>
        <w:rPr>
          <w:color w:val="221F1F"/>
          <w:sz w:val="24"/>
        </w:rPr>
        <w:t>therapy.</w:t>
      </w:r>
    </w:p>
    <w:p w14:paraId="11DEF79C" w14:textId="77777777" w:rsidR="00F91519" w:rsidRDefault="009A25CA">
      <w:pPr>
        <w:pStyle w:val="ListParagraph"/>
        <w:numPr>
          <w:ilvl w:val="0"/>
          <w:numId w:val="7"/>
        </w:numPr>
        <w:tabs>
          <w:tab w:val="left" w:pos="1873"/>
        </w:tabs>
        <w:spacing w:before="10" w:line="283" w:lineRule="auto"/>
        <w:ind w:right="1571"/>
        <w:rPr>
          <w:sz w:val="24"/>
        </w:rPr>
      </w:pPr>
      <w:r>
        <w:rPr>
          <w:color w:val="221F1F"/>
          <w:sz w:val="24"/>
        </w:rPr>
        <w:t>Haematologist support may be needed for patients with COVID-19 who develop coagulopathies.</w:t>
      </w:r>
    </w:p>
    <w:p w14:paraId="31CDD06C" w14:textId="7A6109B7" w:rsidR="00F91519" w:rsidRDefault="009A25CA">
      <w:pPr>
        <w:pStyle w:val="ListParagraph"/>
        <w:numPr>
          <w:ilvl w:val="0"/>
          <w:numId w:val="7"/>
        </w:numPr>
        <w:tabs>
          <w:tab w:val="left" w:pos="1873"/>
        </w:tabs>
        <w:spacing w:before="11" w:line="283" w:lineRule="auto"/>
        <w:ind w:right="2104"/>
        <w:rPr>
          <w:sz w:val="24"/>
        </w:rPr>
      </w:pPr>
      <w:r>
        <w:rPr>
          <w:color w:val="221F1F"/>
          <w:sz w:val="24"/>
        </w:rPr>
        <w:t>Specialist anticoagulant staff should be available to address anticoagulant-related queries from secondary and primary</w:t>
      </w:r>
      <w:r>
        <w:rPr>
          <w:color w:val="221F1F"/>
          <w:spacing w:val="-11"/>
          <w:sz w:val="24"/>
        </w:rPr>
        <w:t xml:space="preserve"> </w:t>
      </w:r>
      <w:r>
        <w:rPr>
          <w:color w:val="221F1F"/>
          <w:sz w:val="24"/>
        </w:rPr>
        <w:t>care.</w:t>
      </w:r>
    </w:p>
    <w:p w14:paraId="3FC19447" w14:textId="77BEA71D" w:rsidR="00F91519" w:rsidRDefault="009A25CA">
      <w:pPr>
        <w:pStyle w:val="ListParagraph"/>
        <w:numPr>
          <w:ilvl w:val="0"/>
          <w:numId w:val="7"/>
        </w:numPr>
        <w:tabs>
          <w:tab w:val="left" w:pos="1873"/>
        </w:tabs>
        <w:spacing w:before="11" w:line="283" w:lineRule="auto"/>
        <w:ind w:right="2375"/>
        <w:rPr>
          <w:sz w:val="24"/>
        </w:rPr>
      </w:pPr>
      <w:r>
        <w:rPr>
          <w:color w:val="221F1F"/>
          <w:sz w:val="24"/>
        </w:rPr>
        <w:t>It can be very stressful during a crisis. Support each other and share the workload. Do not expect the clinical director to do all the</w:t>
      </w:r>
      <w:r>
        <w:rPr>
          <w:color w:val="221F1F"/>
          <w:spacing w:val="-19"/>
          <w:sz w:val="24"/>
        </w:rPr>
        <w:t xml:space="preserve"> </w:t>
      </w:r>
      <w:r>
        <w:rPr>
          <w:color w:val="221F1F"/>
          <w:sz w:val="24"/>
        </w:rPr>
        <w:t>coordination!</w:t>
      </w:r>
    </w:p>
    <w:p w14:paraId="006247DB" w14:textId="77777777" w:rsidR="00F91519" w:rsidRDefault="00F91519">
      <w:pPr>
        <w:pStyle w:val="BodyText"/>
        <w:spacing w:before="10"/>
        <w:ind w:left="0"/>
        <w:rPr>
          <w:sz w:val="21"/>
        </w:rPr>
      </w:pPr>
    </w:p>
    <w:p w14:paraId="556B4ACA" w14:textId="77777777" w:rsidR="00F91519" w:rsidRDefault="009A25CA">
      <w:pPr>
        <w:pStyle w:val="Heading2"/>
      </w:pPr>
      <w:r>
        <w:t>Patients requiring initiation of oral anticoagulation</w:t>
      </w:r>
    </w:p>
    <w:p w14:paraId="10210400" w14:textId="77777777" w:rsidR="00F91519" w:rsidRDefault="009A25CA">
      <w:pPr>
        <w:pStyle w:val="ListParagraph"/>
        <w:numPr>
          <w:ilvl w:val="0"/>
          <w:numId w:val="7"/>
        </w:numPr>
        <w:tabs>
          <w:tab w:val="left" w:pos="1873"/>
        </w:tabs>
        <w:spacing w:before="9" w:line="283" w:lineRule="auto"/>
        <w:ind w:right="1420"/>
        <w:rPr>
          <w:sz w:val="24"/>
        </w:rPr>
      </w:pPr>
      <w:r>
        <w:rPr>
          <w:color w:val="221F1F"/>
          <w:sz w:val="24"/>
        </w:rPr>
        <w:t>Anticoagulation should only be initiated by clinicians in primary or secondary</w:t>
      </w:r>
      <w:r>
        <w:rPr>
          <w:color w:val="221F1F"/>
          <w:spacing w:val="-31"/>
          <w:sz w:val="24"/>
        </w:rPr>
        <w:t xml:space="preserve"> </w:t>
      </w:r>
      <w:r>
        <w:rPr>
          <w:color w:val="221F1F"/>
          <w:sz w:val="24"/>
        </w:rPr>
        <w:t>care with experience in managing</w:t>
      </w:r>
      <w:r>
        <w:rPr>
          <w:color w:val="221F1F"/>
          <w:spacing w:val="-2"/>
          <w:sz w:val="24"/>
        </w:rPr>
        <w:t xml:space="preserve"> </w:t>
      </w:r>
      <w:r>
        <w:rPr>
          <w:color w:val="221F1F"/>
          <w:sz w:val="24"/>
        </w:rPr>
        <w:t>anticoagulation.</w:t>
      </w:r>
    </w:p>
    <w:p w14:paraId="5DA322FB" w14:textId="77777777" w:rsidR="00F91519" w:rsidRDefault="009A25CA">
      <w:pPr>
        <w:pStyle w:val="ListParagraph"/>
        <w:numPr>
          <w:ilvl w:val="0"/>
          <w:numId w:val="7"/>
        </w:numPr>
        <w:tabs>
          <w:tab w:val="left" w:pos="1873"/>
        </w:tabs>
        <w:spacing w:before="10" w:line="297" w:lineRule="auto"/>
        <w:ind w:right="1928"/>
        <w:rPr>
          <w:sz w:val="24"/>
        </w:rPr>
      </w:pPr>
      <w:r>
        <w:rPr>
          <w:color w:val="221F1F"/>
          <w:sz w:val="24"/>
        </w:rPr>
        <w:t>DOACs should be initiated, if possible, instead of warfarin to minimise the monitoring burden and need for regular INR (International Normalised Ratio) monitoring.</w:t>
      </w:r>
    </w:p>
    <w:p w14:paraId="5681CCC0" w14:textId="681E0AA1" w:rsidR="00F91519" w:rsidRDefault="009A25CA">
      <w:pPr>
        <w:pStyle w:val="ListParagraph"/>
        <w:numPr>
          <w:ilvl w:val="0"/>
          <w:numId w:val="7"/>
        </w:numPr>
        <w:tabs>
          <w:tab w:val="left" w:pos="1873"/>
        </w:tabs>
        <w:spacing w:line="283" w:lineRule="auto"/>
        <w:ind w:right="1946"/>
        <w:rPr>
          <w:sz w:val="24"/>
        </w:rPr>
      </w:pPr>
      <w:r>
        <w:rPr>
          <w:color w:val="221F1F"/>
          <w:sz w:val="24"/>
        </w:rPr>
        <w:t xml:space="preserve">In line with NICE guidance, where more than </w:t>
      </w:r>
      <w:r w:rsidR="00441D59">
        <w:rPr>
          <w:color w:val="221F1F"/>
          <w:sz w:val="24"/>
        </w:rPr>
        <w:t xml:space="preserve">1 </w:t>
      </w:r>
      <w:r>
        <w:rPr>
          <w:color w:val="221F1F"/>
          <w:sz w:val="24"/>
        </w:rPr>
        <w:t>product is available for the indication, the product with the lowest acquisition cost should be</w:t>
      </w:r>
      <w:r>
        <w:rPr>
          <w:color w:val="221F1F"/>
          <w:spacing w:val="-16"/>
          <w:sz w:val="24"/>
        </w:rPr>
        <w:t xml:space="preserve"> </w:t>
      </w:r>
      <w:r>
        <w:rPr>
          <w:color w:val="221F1F"/>
          <w:sz w:val="24"/>
        </w:rPr>
        <w:t>used.</w:t>
      </w:r>
    </w:p>
    <w:p w14:paraId="4C98CC39" w14:textId="3631A6D5" w:rsidR="00F91519" w:rsidRDefault="009A25CA">
      <w:pPr>
        <w:pStyle w:val="ListParagraph"/>
        <w:numPr>
          <w:ilvl w:val="0"/>
          <w:numId w:val="7"/>
        </w:numPr>
        <w:tabs>
          <w:tab w:val="left" w:pos="1873"/>
        </w:tabs>
        <w:spacing w:line="302" w:lineRule="auto"/>
        <w:ind w:right="1529"/>
        <w:rPr>
          <w:sz w:val="24"/>
        </w:rPr>
      </w:pPr>
      <w:r>
        <w:rPr>
          <w:color w:val="221F1F"/>
          <w:sz w:val="24"/>
        </w:rPr>
        <w:t xml:space="preserve">Patients with mechanical heart valves should be initiated on warfarin. </w:t>
      </w:r>
    </w:p>
    <w:p w14:paraId="1CDF84D2" w14:textId="77777777" w:rsidR="00F91519" w:rsidRDefault="009A25CA">
      <w:pPr>
        <w:pStyle w:val="ListParagraph"/>
        <w:numPr>
          <w:ilvl w:val="0"/>
          <w:numId w:val="7"/>
        </w:numPr>
        <w:tabs>
          <w:tab w:val="left" w:pos="1873"/>
        </w:tabs>
        <w:spacing w:line="352" w:lineRule="exact"/>
        <w:rPr>
          <w:sz w:val="24"/>
        </w:rPr>
      </w:pPr>
      <w:r>
        <w:rPr>
          <w:color w:val="221F1F"/>
          <w:sz w:val="24"/>
        </w:rPr>
        <w:t>For other patients in whom DOACs are not an option, consider a LMWH if</w:t>
      </w:r>
      <w:r>
        <w:rPr>
          <w:color w:val="221F1F"/>
          <w:spacing w:val="-14"/>
          <w:sz w:val="24"/>
        </w:rPr>
        <w:t xml:space="preserve"> </w:t>
      </w:r>
      <w:r>
        <w:rPr>
          <w:color w:val="221F1F"/>
          <w:sz w:val="24"/>
        </w:rPr>
        <w:t>the</w:t>
      </w:r>
    </w:p>
    <w:p w14:paraId="45F72529" w14:textId="77777777" w:rsidR="00F91519" w:rsidRDefault="009A25CA">
      <w:pPr>
        <w:pStyle w:val="BodyText"/>
        <w:spacing w:before="66" w:line="314" w:lineRule="auto"/>
        <w:ind w:right="2147"/>
      </w:pPr>
      <w:r>
        <w:rPr>
          <w:color w:val="221F1F"/>
        </w:rPr>
        <w:t>patient can be taught to self-inject or a family member living with them can administer the injection.</w:t>
      </w:r>
    </w:p>
    <w:p w14:paraId="35596A91" w14:textId="77777777" w:rsidR="00F91519" w:rsidRDefault="009A25CA">
      <w:pPr>
        <w:pStyle w:val="Heading2"/>
        <w:numPr>
          <w:ilvl w:val="0"/>
          <w:numId w:val="7"/>
        </w:numPr>
        <w:tabs>
          <w:tab w:val="left" w:pos="1873"/>
        </w:tabs>
        <w:spacing w:line="341" w:lineRule="exact"/>
      </w:pPr>
      <w:r>
        <w:rPr>
          <w:color w:val="221F1F"/>
        </w:rPr>
        <w:t>In view of recognised supply issues with LMWH, these should only be</w:t>
      </w:r>
      <w:r>
        <w:rPr>
          <w:color w:val="221F1F"/>
          <w:spacing w:val="-18"/>
        </w:rPr>
        <w:t xml:space="preserve"> </w:t>
      </w:r>
      <w:r>
        <w:rPr>
          <w:color w:val="221F1F"/>
        </w:rPr>
        <w:t>used</w:t>
      </w:r>
    </w:p>
    <w:p w14:paraId="4259F9E4" w14:textId="77777777" w:rsidR="00F91519" w:rsidRDefault="009A25CA">
      <w:pPr>
        <w:spacing w:before="67"/>
        <w:ind w:left="1872"/>
        <w:rPr>
          <w:b/>
          <w:sz w:val="24"/>
        </w:rPr>
      </w:pPr>
      <w:r>
        <w:rPr>
          <w:b/>
          <w:color w:val="221F1F"/>
          <w:sz w:val="24"/>
        </w:rPr>
        <w:t>if there are no other appropriate options.</w:t>
      </w:r>
    </w:p>
    <w:p w14:paraId="10D48908" w14:textId="77777777" w:rsidR="00F91519" w:rsidRDefault="009A25CA">
      <w:pPr>
        <w:pStyle w:val="ListParagraph"/>
        <w:numPr>
          <w:ilvl w:val="0"/>
          <w:numId w:val="7"/>
        </w:numPr>
        <w:tabs>
          <w:tab w:val="left" w:pos="1873"/>
        </w:tabs>
        <w:spacing w:before="59" w:line="297" w:lineRule="auto"/>
        <w:ind w:right="1621"/>
        <w:jc w:val="both"/>
        <w:rPr>
          <w:sz w:val="24"/>
        </w:rPr>
      </w:pPr>
      <w:r>
        <w:rPr>
          <w:color w:val="221F1F"/>
          <w:sz w:val="24"/>
        </w:rPr>
        <w:t>If a patient must have warfarin, can they or a family member living with them</w:t>
      </w:r>
      <w:r>
        <w:rPr>
          <w:color w:val="221F1F"/>
          <w:spacing w:val="-33"/>
          <w:sz w:val="24"/>
        </w:rPr>
        <w:t xml:space="preserve"> </w:t>
      </w:r>
      <w:r>
        <w:rPr>
          <w:color w:val="221F1F"/>
          <w:sz w:val="24"/>
        </w:rPr>
        <w:t xml:space="preserve">be taught to self-test their INR using a </w:t>
      </w:r>
      <w:proofErr w:type="spellStart"/>
      <w:r>
        <w:rPr>
          <w:color w:val="221F1F"/>
          <w:sz w:val="24"/>
        </w:rPr>
        <w:t>CoaguChek</w:t>
      </w:r>
      <w:proofErr w:type="spellEnd"/>
      <w:r>
        <w:rPr>
          <w:color w:val="221F1F"/>
          <w:sz w:val="24"/>
        </w:rPr>
        <w:t xml:space="preserve"> machine (providing this can be secured), and then phone in the results for dose</w:t>
      </w:r>
      <w:r>
        <w:rPr>
          <w:color w:val="221F1F"/>
          <w:spacing w:val="-12"/>
          <w:sz w:val="24"/>
        </w:rPr>
        <w:t xml:space="preserve"> </w:t>
      </w:r>
      <w:r>
        <w:rPr>
          <w:color w:val="221F1F"/>
          <w:sz w:val="24"/>
        </w:rPr>
        <w:t>adjustment?</w:t>
      </w:r>
    </w:p>
    <w:p w14:paraId="4499AC48" w14:textId="77777777" w:rsidR="00F91519" w:rsidRDefault="009A25CA">
      <w:pPr>
        <w:pStyle w:val="ListParagraph"/>
        <w:numPr>
          <w:ilvl w:val="0"/>
          <w:numId w:val="7"/>
        </w:numPr>
        <w:tabs>
          <w:tab w:val="left" w:pos="1873"/>
        </w:tabs>
        <w:spacing w:line="283" w:lineRule="auto"/>
        <w:ind w:right="1722"/>
        <w:rPr>
          <w:sz w:val="24"/>
        </w:rPr>
      </w:pPr>
      <w:r>
        <w:rPr>
          <w:color w:val="221F1F"/>
          <w:sz w:val="24"/>
        </w:rPr>
        <w:t>Where possible, move to remote consultations to initiate anticoagulant therapy and provide follow-up by</w:t>
      </w:r>
      <w:r>
        <w:rPr>
          <w:color w:val="221F1F"/>
          <w:spacing w:val="-7"/>
          <w:sz w:val="24"/>
        </w:rPr>
        <w:t xml:space="preserve"> </w:t>
      </w:r>
      <w:r>
        <w:rPr>
          <w:color w:val="221F1F"/>
          <w:sz w:val="24"/>
        </w:rPr>
        <w:t>telephone.</w:t>
      </w:r>
    </w:p>
    <w:p w14:paraId="56731EB8" w14:textId="77777777" w:rsidR="00F91519" w:rsidRDefault="009A25CA">
      <w:pPr>
        <w:pStyle w:val="ListParagraph"/>
        <w:numPr>
          <w:ilvl w:val="0"/>
          <w:numId w:val="7"/>
        </w:numPr>
        <w:tabs>
          <w:tab w:val="left" w:pos="1873"/>
        </w:tabs>
        <w:spacing w:before="1"/>
        <w:rPr>
          <w:sz w:val="24"/>
        </w:rPr>
      </w:pPr>
      <w:r>
        <w:rPr>
          <w:color w:val="221F1F"/>
          <w:sz w:val="24"/>
        </w:rPr>
        <w:t>Provide patients with written information to support any</w:t>
      </w:r>
      <w:r>
        <w:rPr>
          <w:color w:val="221F1F"/>
          <w:spacing w:val="-3"/>
          <w:sz w:val="24"/>
        </w:rPr>
        <w:t xml:space="preserve"> </w:t>
      </w:r>
      <w:r>
        <w:rPr>
          <w:color w:val="221F1F"/>
          <w:sz w:val="24"/>
        </w:rPr>
        <w:t>discussions.</w:t>
      </w:r>
    </w:p>
    <w:p w14:paraId="196E6D83" w14:textId="77777777" w:rsidR="00F91519" w:rsidRDefault="009A25CA">
      <w:pPr>
        <w:pStyle w:val="ListParagraph"/>
        <w:numPr>
          <w:ilvl w:val="0"/>
          <w:numId w:val="7"/>
        </w:numPr>
        <w:tabs>
          <w:tab w:val="left" w:pos="1873"/>
        </w:tabs>
        <w:spacing w:before="40"/>
        <w:rPr>
          <w:sz w:val="24"/>
        </w:rPr>
      </w:pPr>
      <w:r>
        <w:rPr>
          <w:color w:val="221F1F"/>
          <w:sz w:val="24"/>
        </w:rPr>
        <w:t>Ensure systems are in place for provision of medicines in a timely</w:t>
      </w:r>
      <w:r>
        <w:rPr>
          <w:color w:val="221F1F"/>
          <w:spacing w:val="-14"/>
          <w:sz w:val="24"/>
        </w:rPr>
        <w:t xml:space="preserve"> </w:t>
      </w:r>
      <w:r>
        <w:rPr>
          <w:color w:val="221F1F"/>
          <w:sz w:val="24"/>
        </w:rPr>
        <w:t>manner.</w:t>
      </w:r>
    </w:p>
    <w:p w14:paraId="3C6BE6F3" w14:textId="77777777" w:rsidR="00F91519" w:rsidRDefault="009A25CA">
      <w:pPr>
        <w:pStyle w:val="ListParagraph"/>
        <w:numPr>
          <w:ilvl w:val="0"/>
          <w:numId w:val="7"/>
        </w:numPr>
        <w:tabs>
          <w:tab w:val="left" w:pos="1873"/>
        </w:tabs>
        <w:spacing w:before="42" w:line="297" w:lineRule="auto"/>
        <w:ind w:right="1467"/>
        <w:rPr>
          <w:sz w:val="24"/>
        </w:rPr>
      </w:pPr>
      <w:r>
        <w:rPr>
          <w:color w:val="221F1F"/>
          <w:sz w:val="24"/>
        </w:rPr>
        <w:t>Provide accurate information to primary care concerning indication, INR range if applicable, baseline tests and monitoring requirements, to allow its safe takeover of prescribing</w:t>
      </w:r>
      <w:r>
        <w:rPr>
          <w:color w:val="221F1F"/>
          <w:spacing w:val="1"/>
          <w:sz w:val="24"/>
        </w:rPr>
        <w:t xml:space="preserve"> </w:t>
      </w:r>
      <w:r>
        <w:rPr>
          <w:color w:val="221F1F"/>
          <w:sz w:val="24"/>
        </w:rPr>
        <w:t>responsibility.</w:t>
      </w:r>
    </w:p>
    <w:p w14:paraId="7CE2B99B" w14:textId="77777777" w:rsidR="00F91519" w:rsidRDefault="009A25CA">
      <w:pPr>
        <w:pStyle w:val="ListParagraph"/>
        <w:numPr>
          <w:ilvl w:val="0"/>
          <w:numId w:val="7"/>
        </w:numPr>
        <w:tabs>
          <w:tab w:val="left" w:pos="1873"/>
        </w:tabs>
        <w:spacing w:before="59"/>
        <w:rPr>
          <w:sz w:val="24"/>
        </w:rPr>
      </w:pPr>
      <w:r>
        <w:rPr>
          <w:color w:val="221F1F"/>
          <w:sz w:val="24"/>
        </w:rPr>
        <w:t>Issue 28-day quantities and, where possible, use repeat electronic</w:t>
      </w:r>
      <w:r>
        <w:rPr>
          <w:color w:val="221F1F"/>
          <w:spacing w:val="-11"/>
          <w:sz w:val="24"/>
        </w:rPr>
        <w:t xml:space="preserve"> </w:t>
      </w:r>
      <w:r>
        <w:rPr>
          <w:color w:val="221F1F"/>
          <w:sz w:val="24"/>
        </w:rPr>
        <w:t>prescribing.</w:t>
      </w:r>
    </w:p>
    <w:p w14:paraId="20F766AC" w14:textId="77777777" w:rsidR="00F91519" w:rsidRDefault="009A25CA">
      <w:pPr>
        <w:pStyle w:val="ListParagraph"/>
        <w:numPr>
          <w:ilvl w:val="0"/>
          <w:numId w:val="7"/>
        </w:numPr>
        <w:tabs>
          <w:tab w:val="left" w:pos="1873"/>
        </w:tabs>
        <w:spacing w:before="43"/>
        <w:rPr>
          <w:sz w:val="24"/>
        </w:rPr>
      </w:pPr>
      <w:r>
        <w:rPr>
          <w:color w:val="221F1F"/>
          <w:sz w:val="24"/>
        </w:rPr>
        <w:t>Do not provide larger quantities as these may compromise the supply</w:t>
      </w:r>
      <w:r>
        <w:rPr>
          <w:color w:val="221F1F"/>
          <w:spacing w:val="-16"/>
          <w:sz w:val="24"/>
        </w:rPr>
        <w:t xml:space="preserve"> </w:t>
      </w:r>
      <w:r>
        <w:rPr>
          <w:color w:val="221F1F"/>
          <w:sz w:val="24"/>
        </w:rPr>
        <w:t>chain.</w:t>
      </w:r>
    </w:p>
    <w:p w14:paraId="4E2A9599" w14:textId="2116C8AD" w:rsidR="00F91519" w:rsidRPr="007907DC" w:rsidRDefault="009A25CA">
      <w:pPr>
        <w:pStyle w:val="ListParagraph"/>
        <w:numPr>
          <w:ilvl w:val="0"/>
          <w:numId w:val="7"/>
        </w:numPr>
        <w:tabs>
          <w:tab w:val="left" w:pos="1873"/>
        </w:tabs>
        <w:spacing w:before="42"/>
        <w:rPr>
          <w:sz w:val="24"/>
        </w:rPr>
      </w:pPr>
      <w:r>
        <w:rPr>
          <w:color w:val="221F1F"/>
          <w:sz w:val="24"/>
        </w:rPr>
        <w:t>Hospitals should work to provide prescriptions directly to community</w:t>
      </w:r>
      <w:r>
        <w:rPr>
          <w:color w:val="221F1F"/>
          <w:spacing w:val="-7"/>
          <w:sz w:val="24"/>
        </w:rPr>
        <w:t xml:space="preserve"> </w:t>
      </w:r>
      <w:r>
        <w:rPr>
          <w:color w:val="221F1F"/>
          <w:sz w:val="24"/>
        </w:rPr>
        <w:t>pharmacies.</w:t>
      </w:r>
    </w:p>
    <w:p w14:paraId="021D6447" w14:textId="77777777" w:rsidR="007907DC" w:rsidRDefault="007907DC" w:rsidP="007907DC">
      <w:pPr>
        <w:pStyle w:val="ListParagraph"/>
        <w:tabs>
          <w:tab w:val="left" w:pos="1873"/>
        </w:tabs>
        <w:spacing w:before="42"/>
        <w:ind w:firstLine="0"/>
        <w:rPr>
          <w:sz w:val="24"/>
        </w:rPr>
      </w:pPr>
    </w:p>
    <w:p w14:paraId="52B9E280" w14:textId="77777777" w:rsidR="00F91519" w:rsidRDefault="009A25CA">
      <w:pPr>
        <w:pStyle w:val="Heading2"/>
        <w:spacing w:before="283"/>
        <w:ind w:right="2001"/>
      </w:pPr>
      <w:r>
        <w:lastRenderedPageBreak/>
        <w:t>Patients receiving warfarin requiring management in outpatient or community settings</w:t>
      </w:r>
    </w:p>
    <w:p w14:paraId="40333320" w14:textId="7839D89C" w:rsidR="00F91519" w:rsidRDefault="009A25CA">
      <w:pPr>
        <w:pStyle w:val="ListParagraph"/>
        <w:numPr>
          <w:ilvl w:val="0"/>
          <w:numId w:val="7"/>
        </w:numPr>
        <w:tabs>
          <w:tab w:val="left" w:pos="1873"/>
        </w:tabs>
        <w:spacing w:before="9"/>
        <w:rPr>
          <w:sz w:val="24"/>
        </w:rPr>
      </w:pPr>
      <w:r>
        <w:rPr>
          <w:color w:val="221F1F"/>
          <w:sz w:val="24"/>
        </w:rPr>
        <w:t xml:space="preserve">400,000 people have been prescribed warfarin in the past </w:t>
      </w:r>
      <w:r w:rsidR="000E29A5">
        <w:rPr>
          <w:color w:val="221F1F"/>
          <w:sz w:val="24"/>
        </w:rPr>
        <w:t>9</w:t>
      </w:r>
      <w:r w:rsidR="000E29A5">
        <w:rPr>
          <w:color w:val="221F1F"/>
          <w:spacing w:val="-9"/>
          <w:sz w:val="24"/>
        </w:rPr>
        <w:t xml:space="preserve"> </w:t>
      </w:r>
      <w:r>
        <w:rPr>
          <w:color w:val="221F1F"/>
          <w:sz w:val="24"/>
        </w:rPr>
        <w:t>months.</w:t>
      </w:r>
    </w:p>
    <w:p w14:paraId="073D1850" w14:textId="77777777" w:rsidR="00F91519" w:rsidRDefault="009A25CA">
      <w:pPr>
        <w:pStyle w:val="ListParagraph"/>
        <w:numPr>
          <w:ilvl w:val="0"/>
          <w:numId w:val="7"/>
        </w:numPr>
        <w:tabs>
          <w:tab w:val="left" w:pos="1873"/>
        </w:tabs>
        <w:spacing w:before="43"/>
        <w:rPr>
          <w:sz w:val="24"/>
        </w:rPr>
      </w:pPr>
      <w:r>
        <w:rPr>
          <w:color w:val="221F1F"/>
          <w:sz w:val="24"/>
        </w:rPr>
        <w:t>Dosing for patients on warfarin is often done</w:t>
      </w:r>
      <w:r>
        <w:rPr>
          <w:color w:val="221F1F"/>
          <w:spacing w:val="-4"/>
          <w:sz w:val="24"/>
        </w:rPr>
        <w:t xml:space="preserve"> </w:t>
      </w:r>
      <w:r>
        <w:rPr>
          <w:color w:val="221F1F"/>
          <w:sz w:val="24"/>
        </w:rPr>
        <w:t>remotely.</w:t>
      </w:r>
    </w:p>
    <w:p w14:paraId="4DDA65B1" w14:textId="77777777" w:rsidR="00F91519" w:rsidRDefault="009A25CA">
      <w:pPr>
        <w:pStyle w:val="ListParagraph"/>
        <w:numPr>
          <w:ilvl w:val="0"/>
          <w:numId w:val="7"/>
        </w:numPr>
        <w:tabs>
          <w:tab w:val="left" w:pos="1873"/>
        </w:tabs>
        <w:spacing w:before="42" w:line="283" w:lineRule="auto"/>
        <w:ind w:right="1714"/>
        <w:rPr>
          <w:sz w:val="24"/>
        </w:rPr>
      </w:pPr>
      <w:r>
        <w:rPr>
          <w:color w:val="221F1F"/>
          <w:sz w:val="24"/>
        </w:rPr>
        <w:t>Patients prescribed warfarin require regular blood tests for INR monitoring – at least every 12 weeks if their INR is stable and more frequently if</w:t>
      </w:r>
      <w:r>
        <w:rPr>
          <w:color w:val="221F1F"/>
          <w:spacing w:val="-18"/>
          <w:sz w:val="24"/>
        </w:rPr>
        <w:t xml:space="preserve"> </w:t>
      </w:r>
      <w:r>
        <w:rPr>
          <w:color w:val="221F1F"/>
          <w:sz w:val="24"/>
        </w:rPr>
        <w:t>not.</w:t>
      </w:r>
    </w:p>
    <w:p w14:paraId="4E7C0CB8" w14:textId="77777777" w:rsidR="00F91519" w:rsidRDefault="009A25CA">
      <w:pPr>
        <w:pStyle w:val="ListParagraph"/>
        <w:numPr>
          <w:ilvl w:val="0"/>
          <w:numId w:val="7"/>
        </w:numPr>
        <w:tabs>
          <w:tab w:val="left" w:pos="1873"/>
        </w:tabs>
        <w:spacing w:before="9" w:line="297" w:lineRule="auto"/>
        <w:ind w:right="1425"/>
        <w:rPr>
          <w:sz w:val="24"/>
        </w:rPr>
      </w:pPr>
      <w:r>
        <w:rPr>
          <w:color w:val="221F1F"/>
          <w:sz w:val="24"/>
        </w:rPr>
        <w:t>Monitoring may be carried out in general practices, hospitals or other community- based settings, such as clinical hubs, community pharmacies and in patients’ own</w:t>
      </w:r>
      <w:r>
        <w:rPr>
          <w:color w:val="221F1F"/>
          <w:spacing w:val="-1"/>
          <w:sz w:val="24"/>
        </w:rPr>
        <w:t xml:space="preserve"> </w:t>
      </w:r>
      <w:r>
        <w:rPr>
          <w:color w:val="221F1F"/>
          <w:sz w:val="24"/>
        </w:rPr>
        <w:t>homes.</w:t>
      </w:r>
    </w:p>
    <w:p w14:paraId="0800CB62" w14:textId="77777777" w:rsidR="00F91519" w:rsidRDefault="009A25CA">
      <w:pPr>
        <w:pStyle w:val="Heading1"/>
        <w:spacing w:before="229"/>
      </w:pPr>
      <w:r>
        <w:t>Issues</w:t>
      </w:r>
    </w:p>
    <w:p w14:paraId="21872E98" w14:textId="77777777" w:rsidR="00F91519" w:rsidRDefault="009A25CA">
      <w:pPr>
        <w:pStyle w:val="ListParagraph"/>
        <w:numPr>
          <w:ilvl w:val="0"/>
          <w:numId w:val="7"/>
        </w:numPr>
        <w:tabs>
          <w:tab w:val="left" w:pos="1873"/>
        </w:tabs>
        <w:spacing w:before="12"/>
        <w:rPr>
          <w:sz w:val="24"/>
        </w:rPr>
      </w:pPr>
      <w:r>
        <w:rPr>
          <w:color w:val="221F1F"/>
          <w:sz w:val="24"/>
        </w:rPr>
        <w:t>General workload related to INR monitoring in the current context of</w:t>
      </w:r>
      <w:r>
        <w:rPr>
          <w:color w:val="221F1F"/>
          <w:spacing w:val="-26"/>
          <w:sz w:val="24"/>
        </w:rPr>
        <w:t xml:space="preserve"> </w:t>
      </w:r>
      <w:r>
        <w:rPr>
          <w:color w:val="221F1F"/>
          <w:sz w:val="24"/>
        </w:rPr>
        <w:t>COVID-19.</w:t>
      </w:r>
    </w:p>
    <w:p w14:paraId="5A133557" w14:textId="77777777" w:rsidR="00F91519" w:rsidRDefault="009A25CA">
      <w:pPr>
        <w:pStyle w:val="ListParagraph"/>
        <w:numPr>
          <w:ilvl w:val="0"/>
          <w:numId w:val="7"/>
        </w:numPr>
        <w:tabs>
          <w:tab w:val="left" w:pos="1873"/>
        </w:tabs>
        <w:spacing w:before="40"/>
        <w:rPr>
          <w:sz w:val="24"/>
        </w:rPr>
      </w:pPr>
      <w:r>
        <w:rPr>
          <w:color w:val="221F1F"/>
          <w:sz w:val="24"/>
        </w:rPr>
        <w:t>Risks to patients and staff from attending anticoagulant hubs for INR</w:t>
      </w:r>
      <w:r>
        <w:rPr>
          <w:color w:val="221F1F"/>
          <w:spacing w:val="-24"/>
          <w:sz w:val="24"/>
        </w:rPr>
        <w:t xml:space="preserve"> </w:t>
      </w:r>
      <w:r>
        <w:rPr>
          <w:color w:val="221F1F"/>
          <w:sz w:val="24"/>
        </w:rPr>
        <w:t>monitoring.</w:t>
      </w:r>
    </w:p>
    <w:p w14:paraId="2DF22652" w14:textId="77777777" w:rsidR="00F91519" w:rsidRDefault="009A25CA">
      <w:pPr>
        <w:pStyle w:val="ListParagraph"/>
        <w:numPr>
          <w:ilvl w:val="0"/>
          <w:numId w:val="7"/>
        </w:numPr>
        <w:tabs>
          <w:tab w:val="left" w:pos="1873"/>
        </w:tabs>
        <w:spacing w:before="43" w:line="297" w:lineRule="auto"/>
        <w:ind w:right="1678"/>
        <w:rPr>
          <w:sz w:val="24"/>
        </w:rPr>
      </w:pPr>
      <w:r>
        <w:rPr>
          <w:color w:val="221F1F"/>
          <w:sz w:val="24"/>
        </w:rPr>
        <w:t>Increasing numbers of patients infected with COVID-19, self-isolating with their household or socially distancing could pass the burden of INR testing to community nursing teams who will not have the capacity to</w:t>
      </w:r>
      <w:r>
        <w:rPr>
          <w:color w:val="221F1F"/>
          <w:spacing w:val="-11"/>
          <w:sz w:val="24"/>
        </w:rPr>
        <w:t xml:space="preserve"> </w:t>
      </w:r>
      <w:r>
        <w:rPr>
          <w:color w:val="221F1F"/>
          <w:sz w:val="24"/>
        </w:rPr>
        <w:t>respond.</w:t>
      </w:r>
    </w:p>
    <w:p w14:paraId="3DB4D7DA" w14:textId="77777777" w:rsidR="00F91519" w:rsidRDefault="009A25CA">
      <w:pPr>
        <w:pStyle w:val="ListParagraph"/>
        <w:numPr>
          <w:ilvl w:val="0"/>
          <w:numId w:val="7"/>
        </w:numPr>
        <w:tabs>
          <w:tab w:val="left" w:pos="1873"/>
        </w:tabs>
        <w:spacing w:line="358" w:lineRule="exact"/>
        <w:rPr>
          <w:sz w:val="24"/>
        </w:rPr>
      </w:pPr>
      <w:r>
        <w:rPr>
          <w:color w:val="221F1F"/>
          <w:sz w:val="24"/>
        </w:rPr>
        <w:t>Infection with COVID-19 is likely to have a detrimental effect on warfarin</w:t>
      </w:r>
      <w:r>
        <w:rPr>
          <w:color w:val="221F1F"/>
          <w:spacing w:val="-14"/>
          <w:sz w:val="24"/>
        </w:rPr>
        <w:t xml:space="preserve"> </w:t>
      </w:r>
      <w:r>
        <w:rPr>
          <w:color w:val="221F1F"/>
          <w:sz w:val="24"/>
        </w:rPr>
        <w:t>control.</w:t>
      </w:r>
    </w:p>
    <w:p w14:paraId="5DC9ABA6" w14:textId="77777777" w:rsidR="00F91519" w:rsidRDefault="009A25CA">
      <w:pPr>
        <w:pStyle w:val="ListParagraph"/>
        <w:numPr>
          <w:ilvl w:val="0"/>
          <w:numId w:val="7"/>
        </w:numPr>
        <w:tabs>
          <w:tab w:val="left" w:pos="1873"/>
        </w:tabs>
        <w:spacing w:before="42" w:line="283" w:lineRule="auto"/>
        <w:ind w:right="2311"/>
        <w:rPr>
          <w:sz w:val="24"/>
        </w:rPr>
      </w:pPr>
      <w:r>
        <w:rPr>
          <w:color w:val="221F1F"/>
          <w:sz w:val="24"/>
        </w:rPr>
        <w:t>Increased number of calls to anticoagulation clinics may mean that some patients’ queries are not answered in a timely</w:t>
      </w:r>
      <w:r>
        <w:rPr>
          <w:color w:val="221F1F"/>
          <w:spacing w:val="-9"/>
          <w:sz w:val="24"/>
        </w:rPr>
        <w:t xml:space="preserve"> </w:t>
      </w:r>
      <w:r>
        <w:rPr>
          <w:color w:val="221F1F"/>
          <w:sz w:val="24"/>
        </w:rPr>
        <w:t>manner.</w:t>
      </w:r>
    </w:p>
    <w:p w14:paraId="1CCAD6E6" w14:textId="77777777" w:rsidR="00F91519" w:rsidRDefault="00F91519">
      <w:pPr>
        <w:pStyle w:val="BodyText"/>
        <w:spacing w:before="8"/>
        <w:ind w:left="0"/>
        <w:rPr>
          <w:sz w:val="21"/>
        </w:rPr>
      </w:pPr>
    </w:p>
    <w:p w14:paraId="2CA2F5FF" w14:textId="77777777" w:rsidR="00F91519" w:rsidRDefault="009A25CA">
      <w:pPr>
        <w:pStyle w:val="Heading1"/>
      </w:pPr>
      <w:r>
        <w:t>Anticoagulation service provision should consider the following:</w:t>
      </w:r>
    </w:p>
    <w:p w14:paraId="02C3F335" w14:textId="77777777" w:rsidR="00F91519" w:rsidRDefault="009A25CA">
      <w:pPr>
        <w:pStyle w:val="Heading2"/>
        <w:numPr>
          <w:ilvl w:val="0"/>
          <w:numId w:val="6"/>
        </w:numPr>
        <w:tabs>
          <w:tab w:val="left" w:pos="1304"/>
        </w:tabs>
        <w:spacing w:before="86"/>
        <w:ind w:hanging="283"/>
      </w:pPr>
      <w:r>
        <w:t>Is warfarin still</w:t>
      </w:r>
      <w:r>
        <w:rPr>
          <w:spacing w:val="-2"/>
        </w:rPr>
        <w:t xml:space="preserve"> </w:t>
      </w:r>
      <w:r>
        <w:t>required?</w:t>
      </w:r>
    </w:p>
    <w:p w14:paraId="3255FB3E" w14:textId="32F948EA" w:rsidR="00F91519" w:rsidRDefault="009A25CA">
      <w:pPr>
        <w:pStyle w:val="BodyText"/>
        <w:spacing w:before="84" w:line="312" w:lineRule="auto"/>
        <w:ind w:left="1303" w:right="1490"/>
      </w:pPr>
      <w:r>
        <w:t xml:space="preserve">This is an opportunity to review if long-term warfarin therapy is still indicated, </w:t>
      </w:r>
      <w:r w:rsidR="00FD391D">
        <w:t>for example</w:t>
      </w:r>
      <w:r>
        <w:t xml:space="preserve"> in patients with prior deep vein thrombosis (DVT) or pulmonary embolism (PE) for whom the risk of recurrence is now considered low.</w:t>
      </w:r>
    </w:p>
    <w:p w14:paraId="27943BD7" w14:textId="77777777" w:rsidR="00F91519" w:rsidRDefault="009A25CA">
      <w:pPr>
        <w:pStyle w:val="Heading2"/>
        <w:numPr>
          <w:ilvl w:val="0"/>
          <w:numId w:val="6"/>
        </w:numPr>
        <w:tabs>
          <w:tab w:val="left" w:pos="1304"/>
        </w:tabs>
        <w:spacing w:before="124" w:line="312" w:lineRule="auto"/>
        <w:ind w:right="1625" w:hanging="283"/>
      </w:pPr>
      <w:r>
        <w:t>Can patients on warfarin be switched to an alternative oral anticoagulant, such as a</w:t>
      </w:r>
      <w:r>
        <w:rPr>
          <w:spacing w:val="-2"/>
        </w:rPr>
        <w:t xml:space="preserve"> </w:t>
      </w:r>
      <w:r>
        <w:t>DOAC?</w:t>
      </w:r>
    </w:p>
    <w:p w14:paraId="7CC86811" w14:textId="77777777" w:rsidR="00F91519" w:rsidRDefault="009A25CA">
      <w:pPr>
        <w:pStyle w:val="BodyText"/>
        <w:spacing w:before="2" w:line="312" w:lineRule="auto"/>
        <w:ind w:left="1303" w:right="1382"/>
      </w:pPr>
      <w:r>
        <w:t>While DOACs do require blood tests to assess renal function throughout treatment, the monitoring is predictable, less rigorous than INR testing with warfarin and routinely carried out in primary care.</w:t>
      </w:r>
    </w:p>
    <w:p w14:paraId="2F4D4086" w14:textId="77777777" w:rsidR="00F91519" w:rsidRDefault="00F91519">
      <w:pPr>
        <w:pStyle w:val="BodyText"/>
        <w:spacing w:before="9"/>
        <w:ind w:left="0"/>
      </w:pPr>
    </w:p>
    <w:p w14:paraId="41B12155" w14:textId="52FC04B3" w:rsidR="00F91519" w:rsidRDefault="009A25CA">
      <w:pPr>
        <w:pStyle w:val="BodyText"/>
        <w:spacing w:line="312" w:lineRule="auto"/>
        <w:ind w:left="1303" w:right="1650"/>
      </w:pPr>
      <w:r>
        <w:t>Patients should only be switched from warfarin to a DOAC by clinicians in primary or secondary care with experience in managing anticoagulation.</w:t>
      </w:r>
    </w:p>
    <w:p w14:paraId="371C778B" w14:textId="77777777" w:rsidR="00F91519" w:rsidRDefault="009A25CA">
      <w:pPr>
        <w:spacing w:before="74" w:line="312" w:lineRule="auto"/>
        <w:ind w:left="1303" w:right="1581"/>
        <w:rPr>
          <w:sz w:val="24"/>
        </w:rPr>
      </w:pPr>
      <w:r>
        <w:rPr>
          <w:b/>
          <w:sz w:val="24"/>
        </w:rPr>
        <w:t xml:space="preserve">To protect the supply chain for all patients – take a phased approach over the 12-week cycle of INR monitoring. </w:t>
      </w:r>
      <w:r>
        <w:rPr>
          <w:sz w:val="24"/>
        </w:rPr>
        <w:t>Consider prioritising patients with poor control of INR as this cohort will need the most frequent INR checks. Address non-adherence if this an underlying reason for poor INR control.</w:t>
      </w:r>
    </w:p>
    <w:p w14:paraId="5A22E882" w14:textId="77777777" w:rsidR="00F91519" w:rsidRDefault="00F91519">
      <w:pPr>
        <w:pStyle w:val="BodyText"/>
        <w:spacing w:before="10"/>
        <w:ind w:left="0"/>
      </w:pPr>
    </w:p>
    <w:p w14:paraId="083EBB57" w14:textId="77777777" w:rsidR="00F91519" w:rsidRDefault="009A25CA">
      <w:pPr>
        <w:pStyle w:val="BodyText"/>
        <w:ind w:left="1303"/>
      </w:pPr>
      <w:r>
        <w:t>All DOACs are licensed for the prevention of:</w:t>
      </w:r>
    </w:p>
    <w:p w14:paraId="69A5B299" w14:textId="77777777" w:rsidR="00F91519" w:rsidRDefault="009A25CA">
      <w:pPr>
        <w:pStyle w:val="ListParagraph"/>
        <w:numPr>
          <w:ilvl w:val="1"/>
          <w:numId w:val="6"/>
        </w:numPr>
        <w:tabs>
          <w:tab w:val="left" w:pos="1873"/>
        </w:tabs>
        <w:spacing w:before="129"/>
        <w:rPr>
          <w:sz w:val="24"/>
        </w:rPr>
      </w:pPr>
      <w:r>
        <w:rPr>
          <w:color w:val="221F1F"/>
          <w:sz w:val="24"/>
        </w:rPr>
        <w:t>atrial fibrillation (AF)-related stroke in people with non-valvular</w:t>
      </w:r>
      <w:r>
        <w:rPr>
          <w:color w:val="221F1F"/>
          <w:spacing w:val="-12"/>
          <w:sz w:val="24"/>
        </w:rPr>
        <w:t xml:space="preserve"> </w:t>
      </w:r>
      <w:r>
        <w:rPr>
          <w:color w:val="221F1F"/>
          <w:sz w:val="24"/>
        </w:rPr>
        <w:t>AF</w:t>
      </w:r>
    </w:p>
    <w:p w14:paraId="14C1880D" w14:textId="77777777" w:rsidR="00F91519" w:rsidRDefault="009A25CA">
      <w:pPr>
        <w:pStyle w:val="ListParagraph"/>
        <w:numPr>
          <w:ilvl w:val="1"/>
          <w:numId w:val="6"/>
        </w:numPr>
        <w:tabs>
          <w:tab w:val="left" w:pos="1873"/>
        </w:tabs>
        <w:spacing w:before="42"/>
        <w:rPr>
          <w:sz w:val="24"/>
        </w:rPr>
      </w:pPr>
      <w:r>
        <w:rPr>
          <w:color w:val="221F1F"/>
          <w:sz w:val="24"/>
        </w:rPr>
        <w:t>treatment and secondary prevention of</w:t>
      </w:r>
      <w:r>
        <w:rPr>
          <w:color w:val="221F1F"/>
          <w:spacing w:val="-5"/>
          <w:sz w:val="24"/>
        </w:rPr>
        <w:t xml:space="preserve"> </w:t>
      </w:r>
      <w:r>
        <w:rPr>
          <w:color w:val="221F1F"/>
          <w:sz w:val="24"/>
        </w:rPr>
        <w:t>DVT/PE</w:t>
      </w:r>
    </w:p>
    <w:p w14:paraId="5F8D26D9" w14:textId="77777777" w:rsidR="00F91519" w:rsidRDefault="009A25CA">
      <w:pPr>
        <w:pStyle w:val="ListParagraph"/>
        <w:numPr>
          <w:ilvl w:val="1"/>
          <w:numId w:val="6"/>
        </w:numPr>
        <w:tabs>
          <w:tab w:val="left" w:pos="1873"/>
        </w:tabs>
        <w:spacing w:before="43"/>
        <w:rPr>
          <w:sz w:val="24"/>
        </w:rPr>
      </w:pPr>
      <w:r>
        <w:rPr>
          <w:color w:val="221F1F"/>
          <w:sz w:val="24"/>
        </w:rPr>
        <w:lastRenderedPageBreak/>
        <w:t>prevention of DVT/PE post-hip and knee</w:t>
      </w:r>
      <w:r>
        <w:rPr>
          <w:color w:val="221F1F"/>
          <w:spacing w:val="-6"/>
          <w:sz w:val="24"/>
        </w:rPr>
        <w:t xml:space="preserve"> </w:t>
      </w:r>
      <w:r>
        <w:rPr>
          <w:color w:val="221F1F"/>
          <w:sz w:val="24"/>
        </w:rPr>
        <w:t>surgery.</w:t>
      </w:r>
    </w:p>
    <w:p w14:paraId="451841A7" w14:textId="77777777" w:rsidR="00F91519" w:rsidRDefault="00F91519">
      <w:pPr>
        <w:pStyle w:val="BodyText"/>
        <w:spacing w:before="1"/>
        <w:ind w:left="0"/>
        <w:rPr>
          <w:sz w:val="30"/>
        </w:rPr>
      </w:pPr>
    </w:p>
    <w:p w14:paraId="4E9B6FF2" w14:textId="77777777" w:rsidR="00F91519" w:rsidRDefault="009A25CA">
      <w:pPr>
        <w:pStyle w:val="BodyText"/>
        <w:ind w:left="1303"/>
      </w:pPr>
      <w:r>
        <w:t>Low-dose rivaroxaban is also licensed for:</w:t>
      </w:r>
    </w:p>
    <w:p w14:paraId="3C226D4F" w14:textId="77777777" w:rsidR="00F91519" w:rsidRDefault="009A25CA">
      <w:pPr>
        <w:pStyle w:val="ListParagraph"/>
        <w:numPr>
          <w:ilvl w:val="1"/>
          <w:numId w:val="6"/>
        </w:numPr>
        <w:tabs>
          <w:tab w:val="left" w:pos="1873"/>
        </w:tabs>
        <w:spacing w:before="129"/>
        <w:rPr>
          <w:sz w:val="24"/>
        </w:rPr>
      </w:pPr>
      <w:r>
        <w:rPr>
          <w:color w:val="221F1F"/>
          <w:sz w:val="24"/>
        </w:rPr>
        <w:t>acute coronary</w:t>
      </w:r>
      <w:r>
        <w:rPr>
          <w:color w:val="221F1F"/>
          <w:spacing w:val="-6"/>
          <w:sz w:val="24"/>
        </w:rPr>
        <w:t xml:space="preserve"> </w:t>
      </w:r>
      <w:r>
        <w:rPr>
          <w:color w:val="221F1F"/>
          <w:sz w:val="24"/>
        </w:rPr>
        <w:t>syndrome</w:t>
      </w:r>
    </w:p>
    <w:p w14:paraId="0FC833BD" w14:textId="77777777" w:rsidR="00F91519" w:rsidRDefault="009A25CA">
      <w:pPr>
        <w:pStyle w:val="ListParagraph"/>
        <w:numPr>
          <w:ilvl w:val="1"/>
          <w:numId w:val="6"/>
        </w:numPr>
        <w:tabs>
          <w:tab w:val="left" w:pos="1873"/>
        </w:tabs>
        <w:spacing w:before="42"/>
        <w:rPr>
          <w:sz w:val="24"/>
        </w:rPr>
      </w:pPr>
      <w:r>
        <w:rPr>
          <w:color w:val="221F1F"/>
          <w:sz w:val="24"/>
        </w:rPr>
        <w:t>stable coronary artery</w:t>
      </w:r>
      <w:r>
        <w:rPr>
          <w:color w:val="221F1F"/>
          <w:spacing w:val="-6"/>
          <w:sz w:val="24"/>
        </w:rPr>
        <w:t xml:space="preserve"> </w:t>
      </w:r>
      <w:r>
        <w:rPr>
          <w:color w:val="221F1F"/>
          <w:sz w:val="24"/>
        </w:rPr>
        <w:t>disease</w:t>
      </w:r>
    </w:p>
    <w:p w14:paraId="0E758A71" w14:textId="77777777" w:rsidR="00F91519" w:rsidRDefault="009A25CA">
      <w:pPr>
        <w:pStyle w:val="ListParagraph"/>
        <w:numPr>
          <w:ilvl w:val="1"/>
          <w:numId w:val="6"/>
        </w:numPr>
        <w:tabs>
          <w:tab w:val="left" w:pos="1873"/>
        </w:tabs>
        <w:spacing w:before="43"/>
        <w:rPr>
          <w:sz w:val="24"/>
        </w:rPr>
      </w:pPr>
      <w:r>
        <w:rPr>
          <w:color w:val="221F1F"/>
          <w:sz w:val="24"/>
        </w:rPr>
        <w:t>symptomatic peripheral arterial</w:t>
      </w:r>
      <w:r>
        <w:rPr>
          <w:color w:val="221F1F"/>
          <w:spacing w:val="-1"/>
          <w:sz w:val="24"/>
        </w:rPr>
        <w:t xml:space="preserve"> </w:t>
      </w:r>
      <w:r>
        <w:rPr>
          <w:color w:val="221F1F"/>
          <w:sz w:val="24"/>
        </w:rPr>
        <w:t>disease.</w:t>
      </w:r>
    </w:p>
    <w:p w14:paraId="4E4CCE0B" w14:textId="77777777" w:rsidR="00F91519" w:rsidRDefault="00F91519">
      <w:pPr>
        <w:pStyle w:val="BodyText"/>
        <w:spacing w:before="2"/>
        <w:ind w:left="0"/>
        <w:rPr>
          <w:sz w:val="30"/>
        </w:rPr>
      </w:pPr>
    </w:p>
    <w:p w14:paraId="7389504A" w14:textId="7998D7A1" w:rsidR="00F91519" w:rsidRDefault="009A25CA">
      <w:pPr>
        <w:pStyle w:val="BodyText"/>
        <w:spacing w:before="1" w:line="312" w:lineRule="auto"/>
        <w:ind w:left="1303" w:right="2502"/>
      </w:pPr>
      <w:r>
        <w:t xml:space="preserve">In line with NICE guidance, where more than </w:t>
      </w:r>
      <w:r w:rsidR="00056DB8">
        <w:t xml:space="preserve">1 </w:t>
      </w:r>
      <w:r>
        <w:t>product is available for the indication, the product with the lowest acquisition cost should be used.</w:t>
      </w:r>
    </w:p>
    <w:p w14:paraId="75DA0DFB" w14:textId="77777777" w:rsidR="00F91519" w:rsidRDefault="00F91519">
      <w:pPr>
        <w:pStyle w:val="BodyText"/>
        <w:spacing w:before="5"/>
        <w:ind w:left="0"/>
      </w:pPr>
    </w:p>
    <w:p w14:paraId="495753FD" w14:textId="77777777" w:rsidR="00F91519" w:rsidRDefault="009A25CA">
      <w:pPr>
        <w:pStyle w:val="BodyText"/>
        <w:ind w:left="1303"/>
      </w:pPr>
      <w:r>
        <w:rPr>
          <w:color w:val="221F1F"/>
        </w:rPr>
        <w:t xml:space="preserve">A switch from warfarin to a DOAC </w:t>
      </w:r>
      <w:r>
        <w:rPr>
          <w:b/>
          <w:color w:val="221F1F"/>
        </w:rPr>
        <w:t xml:space="preserve">should not </w:t>
      </w:r>
      <w:r>
        <w:rPr>
          <w:color w:val="221F1F"/>
        </w:rPr>
        <w:t>be considered for patients:</w:t>
      </w:r>
    </w:p>
    <w:p w14:paraId="363DE9DA" w14:textId="77777777" w:rsidR="00F91519" w:rsidRDefault="009A25CA">
      <w:pPr>
        <w:pStyle w:val="ListParagraph"/>
        <w:numPr>
          <w:ilvl w:val="1"/>
          <w:numId w:val="6"/>
        </w:numPr>
        <w:tabs>
          <w:tab w:val="left" w:pos="1873"/>
        </w:tabs>
        <w:spacing w:before="129"/>
        <w:rPr>
          <w:sz w:val="24"/>
        </w:rPr>
      </w:pPr>
      <w:r>
        <w:rPr>
          <w:color w:val="221F1F"/>
          <w:sz w:val="24"/>
        </w:rPr>
        <w:t>with a prosthetic mechanical valve</w:t>
      </w:r>
    </w:p>
    <w:p w14:paraId="00411AFA" w14:textId="77777777" w:rsidR="00F91519" w:rsidRDefault="009A25CA">
      <w:pPr>
        <w:pStyle w:val="ListParagraph"/>
        <w:numPr>
          <w:ilvl w:val="1"/>
          <w:numId w:val="6"/>
        </w:numPr>
        <w:tabs>
          <w:tab w:val="left" w:pos="1873"/>
        </w:tabs>
        <w:spacing w:before="42"/>
        <w:rPr>
          <w:sz w:val="24"/>
        </w:rPr>
      </w:pPr>
      <w:r>
        <w:rPr>
          <w:color w:val="221F1F"/>
          <w:sz w:val="24"/>
        </w:rPr>
        <w:t>with moderate-to-severe mitral</w:t>
      </w:r>
      <w:r>
        <w:rPr>
          <w:color w:val="221F1F"/>
          <w:spacing w:val="-1"/>
          <w:sz w:val="24"/>
        </w:rPr>
        <w:t xml:space="preserve"> </w:t>
      </w:r>
      <w:r>
        <w:rPr>
          <w:color w:val="221F1F"/>
          <w:sz w:val="24"/>
        </w:rPr>
        <w:t>stenosis</w:t>
      </w:r>
    </w:p>
    <w:p w14:paraId="5CB4A6EF" w14:textId="77777777" w:rsidR="00F91519" w:rsidRDefault="009A25CA">
      <w:pPr>
        <w:pStyle w:val="ListParagraph"/>
        <w:numPr>
          <w:ilvl w:val="1"/>
          <w:numId w:val="6"/>
        </w:numPr>
        <w:tabs>
          <w:tab w:val="left" w:pos="1873"/>
        </w:tabs>
        <w:spacing w:before="43"/>
        <w:rPr>
          <w:sz w:val="24"/>
        </w:rPr>
      </w:pPr>
      <w:r>
        <w:rPr>
          <w:color w:val="221F1F"/>
          <w:sz w:val="24"/>
        </w:rPr>
        <w:t>with antiphospholipid</w:t>
      </w:r>
      <w:r>
        <w:rPr>
          <w:color w:val="221F1F"/>
          <w:spacing w:val="-1"/>
          <w:sz w:val="24"/>
        </w:rPr>
        <w:t xml:space="preserve"> </w:t>
      </w:r>
      <w:r>
        <w:rPr>
          <w:color w:val="221F1F"/>
          <w:sz w:val="24"/>
        </w:rPr>
        <w:t>antibodies</w:t>
      </w:r>
    </w:p>
    <w:p w14:paraId="19750EEC" w14:textId="77777777" w:rsidR="00F91519" w:rsidRDefault="009A25CA">
      <w:pPr>
        <w:pStyle w:val="ListParagraph"/>
        <w:numPr>
          <w:ilvl w:val="1"/>
          <w:numId w:val="6"/>
        </w:numPr>
        <w:tabs>
          <w:tab w:val="left" w:pos="1873"/>
        </w:tabs>
        <w:spacing w:before="42"/>
        <w:rPr>
          <w:sz w:val="24"/>
        </w:rPr>
      </w:pPr>
      <w:r>
        <w:rPr>
          <w:color w:val="221F1F"/>
          <w:sz w:val="24"/>
        </w:rPr>
        <w:t>who are pregnant, breastfeeding or planning a</w:t>
      </w:r>
      <w:r>
        <w:rPr>
          <w:color w:val="221F1F"/>
          <w:spacing w:val="-6"/>
          <w:sz w:val="24"/>
        </w:rPr>
        <w:t xml:space="preserve"> </w:t>
      </w:r>
      <w:proofErr w:type="gramStart"/>
      <w:r>
        <w:rPr>
          <w:color w:val="221F1F"/>
          <w:sz w:val="24"/>
        </w:rPr>
        <w:t>pregnancy</w:t>
      </w:r>
      <w:proofErr w:type="gramEnd"/>
    </w:p>
    <w:p w14:paraId="3ACA2B68" w14:textId="77777777" w:rsidR="00F91519" w:rsidRDefault="009A25CA">
      <w:pPr>
        <w:pStyle w:val="ListParagraph"/>
        <w:numPr>
          <w:ilvl w:val="1"/>
          <w:numId w:val="6"/>
        </w:numPr>
        <w:tabs>
          <w:tab w:val="left" w:pos="1873"/>
        </w:tabs>
        <w:spacing w:before="43"/>
        <w:rPr>
          <w:sz w:val="24"/>
        </w:rPr>
      </w:pPr>
      <w:r>
        <w:rPr>
          <w:color w:val="221F1F"/>
          <w:sz w:val="24"/>
        </w:rPr>
        <w:t>requiring a higher than standard INR range of</w:t>
      </w:r>
      <w:r>
        <w:rPr>
          <w:color w:val="221F1F"/>
          <w:spacing w:val="-5"/>
          <w:sz w:val="24"/>
        </w:rPr>
        <w:t xml:space="preserve"> </w:t>
      </w:r>
      <w:r>
        <w:rPr>
          <w:color w:val="221F1F"/>
          <w:sz w:val="24"/>
        </w:rPr>
        <w:t>2.0–3.0</w:t>
      </w:r>
    </w:p>
    <w:p w14:paraId="78F00D0B" w14:textId="185C6B2D" w:rsidR="00F91519" w:rsidRPr="00C32130" w:rsidRDefault="009A25CA">
      <w:pPr>
        <w:pStyle w:val="ListParagraph"/>
        <w:numPr>
          <w:ilvl w:val="1"/>
          <w:numId w:val="6"/>
        </w:numPr>
        <w:tabs>
          <w:tab w:val="left" w:pos="1873"/>
        </w:tabs>
        <w:spacing w:before="40"/>
        <w:rPr>
          <w:sz w:val="24"/>
        </w:rPr>
      </w:pPr>
      <w:r>
        <w:rPr>
          <w:color w:val="221F1F"/>
          <w:sz w:val="24"/>
        </w:rPr>
        <w:t xml:space="preserve">with severe renal impairment (creatinine </w:t>
      </w:r>
      <w:r w:rsidRPr="00C32130">
        <w:rPr>
          <w:color w:val="221F1F"/>
          <w:sz w:val="24"/>
        </w:rPr>
        <w:t xml:space="preserve">clearance </w:t>
      </w:r>
      <w:r w:rsidR="001A0914">
        <w:rPr>
          <w:color w:val="221F1F"/>
          <w:sz w:val="24"/>
        </w:rPr>
        <w:t>[</w:t>
      </w:r>
      <w:proofErr w:type="spellStart"/>
      <w:r w:rsidRPr="00C32130">
        <w:rPr>
          <w:color w:val="221F1F"/>
          <w:sz w:val="24"/>
        </w:rPr>
        <w:t>CrCl</w:t>
      </w:r>
      <w:proofErr w:type="spellEnd"/>
      <w:r w:rsidR="001A0914">
        <w:rPr>
          <w:color w:val="221F1F"/>
          <w:sz w:val="24"/>
        </w:rPr>
        <w:t>]</w:t>
      </w:r>
      <w:r w:rsidRPr="00C32130">
        <w:rPr>
          <w:color w:val="221F1F"/>
          <w:spacing w:val="-26"/>
          <w:sz w:val="24"/>
        </w:rPr>
        <w:t xml:space="preserve"> </w:t>
      </w:r>
      <w:r w:rsidR="00C32130" w:rsidRPr="009A25CA">
        <w:t>less than</w:t>
      </w:r>
      <w:r w:rsidR="00C32130" w:rsidRPr="00C32130">
        <w:rPr>
          <w:color w:val="221F1F"/>
          <w:spacing w:val="-26"/>
          <w:sz w:val="24"/>
        </w:rPr>
        <w:t xml:space="preserve"> </w:t>
      </w:r>
      <w:r w:rsidRPr="00C32130">
        <w:rPr>
          <w:color w:val="221F1F"/>
          <w:sz w:val="24"/>
        </w:rPr>
        <w:t>15mL/min)</w:t>
      </w:r>
    </w:p>
    <w:p w14:paraId="2C315E27" w14:textId="77777777" w:rsidR="00F91519" w:rsidRDefault="009A25CA">
      <w:pPr>
        <w:pStyle w:val="ListParagraph"/>
        <w:numPr>
          <w:ilvl w:val="1"/>
          <w:numId w:val="6"/>
        </w:numPr>
        <w:tabs>
          <w:tab w:val="left" w:pos="1873"/>
        </w:tabs>
        <w:spacing w:before="43"/>
        <w:rPr>
          <w:sz w:val="24"/>
        </w:rPr>
      </w:pPr>
      <w:r w:rsidRPr="00C32130">
        <w:rPr>
          <w:color w:val="221F1F"/>
          <w:sz w:val="24"/>
        </w:rPr>
        <w:t>with active malignancy/chemotherapy (unless advised by a</w:t>
      </w:r>
      <w:r w:rsidRPr="00C32130">
        <w:rPr>
          <w:color w:val="221F1F"/>
          <w:spacing w:val="-19"/>
          <w:sz w:val="24"/>
        </w:rPr>
        <w:t xml:space="preserve"> </w:t>
      </w:r>
      <w:r w:rsidRPr="00C32130">
        <w:rPr>
          <w:color w:val="221F1F"/>
          <w:sz w:val="24"/>
        </w:rPr>
        <w:t>specialist</w:t>
      </w:r>
      <w:r>
        <w:rPr>
          <w:color w:val="221F1F"/>
          <w:sz w:val="24"/>
        </w:rPr>
        <w:t>)</w:t>
      </w:r>
    </w:p>
    <w:p w14:paraId="7CF5BB15" w14:textId="2DC60926" w:rsidR="00F91519" w:rsidRDefault="009A25CA">
      <w:pPr>
        <w:pStyle w:val="ListParagraph"/>
        <w:numPr>
          <w:ilvl w:val="1"/>
          <w:numId w:val="6"/>
        </w:numPr>
        <w:tabs>
          <w:tab w:val="left" w:pos="1873"/>
        </w:tabs>
        <w:spacing w:before="42" w:line="283" w:lineRule="auto"/>
        <w:ind w:right="1532"/>
        <w:rPr>
          <w:sz w:val="24"/>
        </w:rPr>
      </w:pPr>
      <w:r>
        <w:rPr>
          <w:color w:val="221F1F"/>
          <w:sz w:val="24"/>
        </w:rPr>
        <w:t xml:space="preserve">prescribed some HIV antiretrovirals and hepatitis antivirals – check the </w:t>
      </w:r>
      <w:hyperlink r:id="rId9" w:history="1">
        <w:r w:rsidRPr="00C32130">
          <w:rPr>
            <w:rStyle w:val="Hyperlink"/>
            <w:sz w:val="24"/>
          </w:rPr>
          <w:t>HIV drug interactions website</w:t>
        </w:r>
      </w:hyperlink>
    </w:p>
    <w:p w14:paraId="7A170851" w14:textId="77777777" w:rsidR="00F91519" w:rsidRDefault="009A25CA">
      <w:pPr>
        <w:pStyle w:val="ListParagraph"/>
        <w:numPr>
          <w:ilvl w:val="1"/>
          <w:numId w:val="6"/>
        </w:numPr>
        <w:tabs>
          <w:tab w:val="left" w:pos="1873"/>
        </w:tabs>
        <w:spacing w:before="11" w:line="297" w:lineRule="auto"/>
        <w:ind w:right="1670"/>
        <w:jc w:val="both"/>
        <w:rPr>
          <w:sz w:val="24"/>
        </w:rPr>
      </w:pPr>
      <w:r>
        <w:rPr>
          <w:color w:val="221F1F"/>
          <w:sz w:val="24"/>
        </w:rPr>
        <w:t>on phenytoin, carbamazepine, phenobarbitone or rifampicin; these patients are likely to have low DOAC levels so should be discussed with an anticoagulation specialist</w:t>
      </w:r>
    </w:p>
    <w:p w14:paraId="60A6F6A6" w14:textId="77777777" w:rsidR="00F91519" w:rsidRDefault="009A25CA">
      <w:pPr>
        <w:pStyle w:val="ListParagraph"/>
        <w:numPr>
          <w:ilvl w:val="1"/>
          <w:numId w:val="6"/>
        </w:numPr>
        <w:tabs>
          <w:tab w:val="left" w:pos="1873"/>
        </w:tabs>
        <w:spacing w:line="283" w:lineRule="auto"/>
        <w:ind w:right="1435"/>
        <w:rPr>
          <w:sz w:val="24"/>
        </w:rPr>
      </w:pPr>
      <w:r>
        <w:rPr>
          <w:color w:val="221F1F"/>
          <w:sz w:val="24"/>
        </w:rPr>
        <w:t>there is little data on DOACs for patients with venous thrombosis at unusual sites and they should be discussed with an anticoagulation</w:t>
      </w:r>
      <w:r>
        <w:rPr>
          <w:color w:val="221F1F"/>
          <w:spacing w:val="-9"/>
          <w:sz w:val="24"/>
        </w:rPr>
        <w:t xml:space="preserve"> </w:t>
      </w:r>
      <w:r>
        <w:rPr>
          <w:color w:val="221F1F"/>
          <w:sz w:val="24"/>
        </w:rPr>
        <w:t>specialist</w:t>
      </w:r>
    </w:p>
    <w:p w14:paraId="00511573" w14:textId="77777777" w:rsidR="00F91519" w:rsidRDefault="009A25CA">
      <w:pPr>
        <w:pStyle w:val="ListParagraph"/>
        <w:numPr>
          <w:ilvl w:val="1"/>
          <w:numId w:val="6"/>
        </w:numPr>
        <w:tabs>
          <w:tab w:val="left" w:pos="1873"/>
        </w:tabs>
        <w:spacing w:line="283" w:lineRule="auto"/>
        <w:ind w:right="1524"/>
        <w:rPr>
          <w:sz w:val="24"/>
        </w:rPr>
      </w:pPr>
      <w:r>
        <w:rPr>
          <w:color w:val="221F1F"/>
          <w:sz w:val="24"/>
        </w:rPr>
        <w:t>on triple therapy (dual antiplatelet plus warfarin); switching these patients should be discussed with an anticoagulation specialist or</w:t>
      </w:r>
      <w:r>
        <w:rPr>
          <w:color w:val="221F1F"/>
          <w:spacing w:val="-1"/>
          <w:sz w:val="24"/>
        </w:rPr>
        <w:t xml:space="preserve"> </w:t>
      </w:r>
      <w:r>
        <w:rPr>
          <w:color w:val="221F1F"/>
          <w:sz w:val="24"/>
        </w:rPr>
        <w:t>cardiologist.</w:t>
      </w:r>
    </w:p>
    <w:p w14:paraId="41B099C5" w14:textId="77777777" w:rsidR="00F91519" w:rsidRDefault="00F91519">
      <w:pPr>
        <w:pStyle w:val="BodyText"/>
        <w:spacing w:before="3"/>
        <w:ind w:left="0"/>
        <w:rPr>
          <w:sz w:val="27"/>
        </w:rPr>
      </w:pPr>
    </w:p>
    <w:p w14:paraId="2F07EEDD" w14:textId="77777777" w:rsidR="00F91519" w:rsidRDefault="009A25CA">
      <w:pPr>
        <w:pStyle w:val="BodyText"/>
        <w:ind w:left="1020"/>
      </w:pPr>
      <w:r>
        <w:rPr>
          <w:color w:val="221F1F"/>
        </w:rPr>
        <w:t>Recommendations for switching to a DOAC are given in Appendix 1.</w:t>
      </w:r>
    </w:p>
    <w:p w14:paraId="19F18138" w14:textId="77777777" w:rsidR="00F91519" w:rsidRDefault="00F91519"/>
    <w:p w14:paraId="25E985CB" w14:textId="77777777" w:rsidR="00F91519" w:rsidRDefault="009A25CA">
      <w:pPr>
        <w:pStyle w:val="Heading2"/>
        <w:numPr>
          <w:ilvl w:val="0"/>
          <w:numId w:val="6"/>
        </w:numPr>
        <w:tabs>
          <w:tab w:val="left" w:pos="1304"/>
        </w:tabs>
        <w:spacing w:before="74"/>
        <w:ind w:hanging="283"/>
      </w:pPr>
      <w:r>
        <w:t>Could patients be trained to self-test INR in their own</w:t>
      </w:r>
      <w:r>
        <w:rPr>
          <w:spacing w:val="-2"/>
        </w:rPr>
        <w:t xml:space="preserve"> </w:t>
      </w:r>
      <w:r>
        <w:t>homes?</w:t>
      </w:r>
    </w:p>
    <w:p w14:paraId="0ABE7DA3" w14:textId="4887536C" w:rsidR="00F91519" w:rsidRDefault="009A25CA">
      <w:pPr>
        <w:pStyle w:val="BodyText"/>
        <w:spacing w:before="84" w:line="312" w:lineRule="auto"/>
        <w:ind w:left="1303" w:right="1542"/>
      </w:pPr>
      <w:r>
        <w:t xml:space="preserve">NICE guidance recommends self-testing of INR using </w:t>
      </w:r>
      <w:proofErr w:type="spellStart"/>
      <w:r>
        <w:t>CoaguChek</w:t>
      </w:r>
      <w:proofErr w:type="spellEnd"/>
      <w:r>
        <w:t xml:space="preserve"> self-testing meters for patients with prosthetic mechanical valves and for those with AF. </w:t>
      </w:r>
      <w:hyperlink r:id="rId10">
        <w:r>
          <w:rPr>
            <w:color w:val="006FC0"/>
            <w:u w:val="single" w:color="006FC0"/>
          </w:rPr>
          <w:t>See the NICE diagnostics guidance on atrial fibrillation and heart valve disease: self-monitoring coagulation status using point-of-care coagulometers</w:t>
        </w:r>
      </w:hyperlink>
      <w:r>
        <w:t>.</w:t>
      </w:r>
    </w:p>
    <w:p w14:paraId="48E6953B" w14:textId="77777777" w:rsidR="00F91519" w:rsidRDefault="00F91519">
      <w:pPr>
        <w:pStyle w:val="BodyText"/>
        <w:spacing w:before="8"/>
        <w:ind w:left="0"/>
        <w:rPr>
          <w:sz w:val="16"/>
        </w:rPr>
      </w:pPr>
    </w:p>
    <w:p w14:paraId="50F7C90E" w14:textId="72F23A80" w:rsidR="00F91519" w:rsidRDefault="009A25CA">
      <w:pPr>
        <w:pStyle w:val="BodyText"/>
        <w:spacing w:before="93" w:line="312" w:lineRule="auto"/>
        <w:ind w:left="1303" w:right="1432"/>
        <w:jc w:val="both"/>
      </w:pPr>
      <w:r>
        <w:t xml:space="preserve">Roche Diagnostics reports that supplies of </w:t>
      </w:r>
      <w:proofErr w:type="spellStart"/>
      <w:r>
        <w:t>CoaguChek</w:t>
      </w:r>
      <w:proofErr w:type="spellEnd"/>
      <w:r>
        <w:t xml:space="preserve"> monitors are currently low due to increased demand. It is working to increase availability in the UK. When devices are available, these should be prioritised for patients at highest risk of COVID-19 infection.</w:t>
      </w:r>
    </w:p>
    <w:p w14:paraId="4CE90902" w14:textId="77777777" w:rsidR="00F91519" w:rsidRDefault="00F91519">
      <w:pPr>
        <w:pStyle w:val="BodyText"/>
        <w:spacing w:before="10"/>
        <w:ind w:left="0"/>
      </w:pPr>
    </w:p>
    <w:p w14:paraId="230B7349" w14:textId="77777777" w:rsidR="00F91519" w:rsidRDefault="009A25CA">
      <w:pPr>
        <w:pStyle w:val="BodyText"/>
        <w:spacing w:line="312" w:lineRule="auto"/>
        <w:ind w:left="1303" w:right="1394"/>
      </w:pPr>
      <w:r>
        <w:rPr>
          <w:color w:val="221F1F"/>
        </w:rPr>
        <w:t xml:space="preserve">While a move towards patient self-testing will present challenges in terms of </w:t>
      </w:r>
      <w:r>
        <w:rPr>
          <w:color w:val="221F1F"/>
        </w:rPr>
        <w:lastRenderedPageBreak/>
        <w:t>purchasing equipment, provision of test strips, training patients and undertaking quality assurance checks, self-testing should be considered for patients/carers capable of doing this to minimise INR monitoring workload across the system.</w:t>
      </w:r>
    </w:p>
    <w:p w14:paraId="09527E08" w14:textId="77777777" w:rsidR="00F91519" w:rsidRDefault="00F91519">
      <w:pPr>
        <w:pStyle w:val="BodyText"/>
        <w:spacing w:before="7"/>
        <w:ind w:left="0"/>
      </w:pPr>
    </w:p>
    <w:p w14:paraId="3CB9A976" w14:textId="77777777" w:rsidR="00F91519" w:rsidRDefault="009A25CA">
      <w:pPr>
        <w:pStyle w:val="BodyText"/>
        <w:spacing w:line="312" w:lineRule="auto"/>
        <w:ind w:left="1303" w:right="1382"/>
      </w:pPr>
      <w:r>
        <w:rPr>
          <w:color w:val="221F1F"/>
        </w:rPr>
        <w:t xml:space="preserve">Patients or carers need to be carefully selected for use of </w:t>
      </w:r>
      <w:proofErr w:type="spellStart"/>
      <w:r>
        <w:rPr>
          <w:color w:val="221F1F"/>
        </w:rPr>
        <w:t>CoaguChek</w:t>
      </w:r>
      <w:proofErr w:type="spellEnd"/>
      <w:r>
        <w:rPr>
          <w:color w:val="221F1F"/>
        </w:rPr>
        <w:t xml:space="preserve">, </w:t>
      </w:r>
      <w:proofErr w:type="gramStart"/>
      <w:r>
        <w:rPr>
          <w:color w:val="221F1F"/>
        </w:rPr>
        <w:t>taking into account</w:t>
      </w:r>
      <w:proofErr w:type="gramEnd"/>
      <w:r>
        <w:rPr>
          <w:color w:val="221F1F"/>
        </w:rPr>
        <w:t xml:space="preserve"> their manual dexterity, cognitive function, vision and ability to use technology.</w:t>
      </w:r>
    </w:p>
    <w:p w14:paraId="39A6E251" w14:textId="77777777" w:rsidR="00F91519" w:rsidRDefault="00F91519">
      <w:pPr>
        <w:pStyle w:val="BodyText"/>
        <w:spacing w:before="8"/>
        <w:ind w:left="0"/>
      </w:pPr>
    </w:p>
    <w:p w14:paraId="52451E15" w14:textId="77777777" w:rsidR="00F91519" w:rsidRDefault="009A25CA">
      <w:pPr>
        <w:pStyle w:val="BodyText"/>
        <w:spacing w:line="312" w:lineRule="auto"/>
        <w:ind w:left="1303" w:right="1369"/>
      </w:pPr>
      <w:r>
        <w:rPr>
          <w:color w:val="221F1F"/>
        </w:rPr>
        <w:t xml:space="preserve">Dosing recommendations should be provided by the patient’s current anticoagulation service by phone or electronically. Digital solutions to facilitate the electronic transfer of data are available through, for example, </w:t>
      </w:r>
      <w:proofErr w:type="spellStart"/>
      <w:r>
        <w:rPr>
          <w:color w:val="221F1F"/>
        </w:rPr>
        <w:t>LumiraDX</w:t>
      </w:r>
      <w:proofErr w:type="spellEnd"/>
      <w:r>
        <w:rPr>
          <w:color w:val="221F1F"/>
        </w:rPr>
        <w:t xml:space="preserve">, </w:t>
      </w:r>
      <w:proofErr w:type="spellStart"/>
      <w:r>
        <w:rPr>
          <w:color w:val="221F1F"/>
        </w:rPr>
        <w:t>InHealthcare</w:t>
      </w:r>
      <w:proofErr w:type="spellEnd"/>
      <w:r>
        <w:rPr>
          <w:color w:val="221F1F"/>
        </w:rPr>
        <w:t xml:space="preserve"> and INR Star Engage Platform.</w:t>
      </w:r>
    </w:p>
    <w:p w14:paraId="409FF19B" w14:textId="77777777" w:rsidR="00F91519" w:rsidRDefault="00F91519">
      <w:pPr>
        <w:pStyle w:val="BodyText"/>
        <w:spacing w:before="10"/>
        <w:ind w:left="0"/>
      </w:pPr>
    </w:p>
    <w:p w14:paraId="5304A950" w14:textId="77777777" w:rsidR="00F91519" w:rsidRDefault="009A25CA">
      <w:pPr>
        <w:pStyle w:val="BodyText"/>
        <w:spacing w:line="312" w:lineRule="auto"/>
        <w:ind w:left="1303" w:right="1408"/>
      </w:pPr>
      <w:r>
        <w:rPr>
          <w:color w:val="221F1F"/>
        </w:rPr>
        <w:t>Processes covering what to do when results are out of range should be in place locally to support patients who are self-testing their INR.</w:t>
      </w:r>
    </w:p>
    <w:p w14:paraId="74E05261" w14:textId="77777777" w:rsidR="00F91519" w:rsidRDefault="00F91519">
      <w:pPr>
        <w:pStyle w:val="BodyText"/>
        <w:spacing w:before="5"/>
        <w:ind w:left="0"/>
      </w:pPr>
    </w:p>
    <w:p w14:paraId="5CC537CA" w14:textId="77777777" w:rsidR="00F91519" w:rsidRDefault="009A25CA">
      <w:pPr>
        <w:pStyle w:val="BodyText"/>
        <w:ind w:left="1303"/>
      </w:pPr>
      <w:r>
        <w:rPr>
          <w:color w:val="221F1F"/>
        </w:rPr>
        <w:t xml:space="preserve">Ensure systems are in place for timely provision of </w:t>
      </w:r>
      <w:proofErr w:type="spellStart"/>
      <w:r>
        <w:rPr>
          <w:color w:val="221F1F"/>
        </w:rPr>
        <w:t>CoaguChek</w:t>
      </w:r>
      <w:proofErr w:type="spellEnd"/>
      <w:r>
        <w:rPr>
          <w:color w:val="221F1F"/>
        </w:rPr>
        <w:t xml:space="preserve"> test strips.</w:t>
      </w:r>
    </w:p>
    <w:p w14:paraId="14FA3799" w14:textId="77777777" w:rsidR="00F91519" w:rsidRDefault="00F91519">
      <w:pPr>
        <w:pStyle w:val="BodyText"/>
        <w:spacing w:before="8"/>
        <w:ind w:left="0"/>
        <w:rPr>
          <w:sz w:val="31"/>
        </w:rPr>
      </w:pPr>
    </w:p>
    <w:p w14:paraId="5E339BAE" w14:textId="77777777" w:rsidR="00F91519" w:rsidRDefault="009A25CA">
      <w:pPr>
        <w:pStyle w:val="Heading2"/>
        <w:numPr>
          <w:ilvl w:val="0"/>
          <w:numId w:val="6"/>
        </w:numPr>
        <w:tabs>
          <w:tab w:val="left" w:pos="1304"/>
        </w:tabs>
        <w:spacing w:before="1"/>
        <w:ind w:hanging="283"/>
      </w:pPr>
      <w:r>
        <w:t>Have blood testing facilities been optimised to reduce risk of</w:t>
      </w:r>
      <w:r>
        <w:rPr>
          <w:spacing w:val="-5"/>
        </w:rPr>
        <w:t xml:space="preserve"> </w:t>
      </w:r>
      <w:r>
        <w:t>infection?</w:t>
      </w:r>
    </w:p>
    <w:p w14:paraId="7CE85DC4" w14:textId="77777777" w:rsidR="00F91519" w:rsidRDefault="009A25CA">
      <w:pPr>
        <w:pStyle w:val="ListParagraph"/>
        <w:numPr>
          <w:ilvl w:val="1"/>
          <w:numId w:val="6"/>
        </w:numPr>
        <w:tabs>
          <w:tab w:val="left" w:pos="1873"/>
        </w:tabs>
        <w:spacing w:before="9" w:line="302" w:lineRule="auto"/>
        <w:ind w:right="1577"/>
        <w:rPr>
          <w:sz w:val="24"/>
        </w:rPr>
      </w:pPr>
      <w:r>
        <w:rPr>
          <w:color w:val="221F1F"/>
          <w:sz w:val="24"/>
        </w:rPr>
        <w:t>Could the frequency of INR monitoring be reduced for stable patients on warfarin? Keep to a maximum of 12 weeks between INR checks. For those who cancel their 12-week check due to symptoms of coronavirus, extend the interval to 14 weeks if safe to do</w:t>
      </w:r>
      <w:r>
        <w:rPr>
          <w:color w:val="221F1F"/>
          <w:spacing w:val="2"/>
          <w:sz w:val="24"/>
        </w:rPr>
        <w:t xml:space="preserve"> </w:t>
      </w:r>
      <w:r>
        <w:rPr>
          <w:color w:val="221F1F"/>
          <w:sz w:val="24"/>
        </w:rPr>
        <w:t>so.</w:t>
      </w:r>
    </w:p>
    <w:p w14:paraId="79621632" w14:textId="77777777" w:rsidR="00F91519" w:rsidRDefault="009A25CA">
      <w:pPr>
        <w:pStyle w:val="ListParagraph"/>
        <w:numPr>
          <w:ilvl w:val="1"/>
          <w:numId w:val="6"/>
        </w:numPr>
        <w:tabs>
          <w:tab w:val="left" w:pos="1873"/>
        </w:tabs>
        <w:spacing w:line="352" w:lineRule="exact"/>
        <w:rPr>
          <w:sz w:val="24"/>
        </w:rPr>
      </w:pPr>
      <w:r>
        <w:rPr>
          <w:color w:val="221F1F"/>
          <w:sz w:val="24"/>
        </w:rPr>
        <w:t>Have patients been advised to avoid public transport where possible?</w:t>
      </w:r>
      <w:r>
        <w:rPr>
          <w:color w:val="221F1F"/>
          <w:spacing w:val="-4"/>
          <w:sz w:val="24"/>
        </w:rPr>
        <w:t xml:space="preserve"> </w:t>
      </w:r>
      <w:r>
        <w:rPr>
          <w:color w:val="221F1F"/>
          <w:sz w:val="24"/>
        </w:rPr>
        <w:t>Can</w:t>
      </w:r>
    </w:p>
    <w:p w14:paraId="42FA6EE1" w14:textId="77777777" w:rsidR="00F91519" w:rsidRDefault="009A25CA">
      <w:pPr>
        <w:pStyle w:val="BodyText"/>
        <w:spacing w:before="67"/>
      </w:pPr>
      <w:r>
        <w:rPr>
          <w:color w:val="221F1F"/>
        </w:rPr>
        <w:t xml:space="preserve">transport by taxi be offered to these </w:t>
      </w:r>
      <w:proofErr w:type="gramStart"/>
      <w:r>
        <w:rPr>
          <w:color w:val="221F1F"/>
        </w:rPr>
        <w:t>patients?</w:t>
      </w:r>
      <w:proofErr w:type="gramEnd"/>
    </w:p>
    <w:p w14:paraId="1C7C8B2D" w14:textId="77777777" w:rsidR="00F91519" w:rsidRDefault="009A25CA">
      <w:pPr>
        <w:pStyle w:val="ListParagraph"/>
        <w:numPr>
          <w:ilvl w:val="1"/>
          <w:numId w:val="6"/>
        </w:numPr>
        <w:tabs>
          <w:tab w:val="left" w:pos="1873"/>
        </w:tabs>
        <w:spacing w:before="60"/>
        <w:rPr>
          <w:sz w:val="24"/>
        </w:rPr>
      </w:pPr>
      <w:r>
        <w:rPr>
          <w:color w:val="221F1F"/>
          <w:sz w:val="24"/>
        </w:rPr>
        <w:t>Could a drive-through INR testing model be employed to minimise</w:t>
      </w:r>
      <w:r>
        <w:rPr>
          <w:color w:val="221F1F"/>
          <w:spacing w:val="-17"/>
          <w:sz w:val="24"/>
        </w:rPr>
        <w:t xml:space="preserve"> </w:t>
      </w:r>
      <w:r>
        <w:rPr>
          <w:color w:val="221F1F"/>
          <w:sz w:val="24"/>
        </w:rPr>
        <w:t>exposure?</w:t>
      </w:r>
    </w:p>
    <w:p w14:paraId="70F4043A" w14:textId="64F85BC6" w:rsidR="00F91519" w:rsidRDefault="009A25CA">
      <w:pPr>
        <w:pStyle w:val="ListParagraph"/>
        <w:numPr>
          <w:ilvl w:val="1"/>
          <w:numId w:val="6"/>
        </w:numPr>
        <w:tabs>
          <w:tab w:val="left" w:pos="1873"/>
        </w:tabs>
        <w:spacing w:before="40" w:line="283" w:lineRule="auto"/>
        <w:ind w:right="2470"/>
        <w:rPr>
          <w:sz w:val="24"/>
        </w:rPr>
      </w:pPr>
      <w:r>
        <w:rPr>
          <w:color w:val="221F1F"/>
          <w:sz w:val="24"/>
        </w:rPr>
        <w:t>Are facilities for handwashing available? If not, is alcohol hand sanitiser available?</w:t>
      </w:r>
    </w:p>
    <w:p w14:paraId="5C531ED4" w14:textId="6BCDBD2F" w:rsidR="00F91519" w:rsidRPr="008E1C86" w:rsidRDefault="009A25CA">
      <w:pPr>
        <w:pStyle w:val="ListParagraph"/>
        <w:numPr>
          <w:ilvl w:val="1"/>
          <w:numId w:val="6"/>
        </w:numPr>
        <w:tabs>
          <w:tab w:val="left" w:pos="1873"/>
        </w:tabs>
        <w:spacing w:before="10" w:line="283" w:lineRule="auto"/>
        <w:ind w:right="1556"/>
        <w:rPr>
          <w:sz w:val="24"/>
        </w:rPr>
      </w:pPr>
      <w:r>
        <w:rPr>
          <w:color w:val="221F1F"/>
          <w:sz w:val="24"/>
        </w:rPr>
        <w:t>Have appointments been spaced out as far as possible? Take a ‘1 in 1 out’ approach, group low-risk patients together and respect social distancing</w:t>
      </w:r>
      <w:r>
        <w:rPr>
          <w:color w:val="221F1F"/>
          <w:spacing w:val="-30"/>
          <w:sz w:val="24"/>
        </w:rPr>
        <w:t xml:space="preserve"> </w:t>
      </w:r>
      <w:r>
        <w:rPr>
          <w:color w:val="221F1F"/>
          <w:sz w:val="24"/>
        </w:rPr>
        <w:t>advice.</w:t>
      </w:r>
    </w:p>
    <w:p w14:paraId="5736CC1B" w14:textId="7CC799C7" w:rsidR="00F91519" w:rsidRDefault="009A25CA">
      <w:pPr>
        <w:pStyle w:val="ListParagraph"/>
        <w:numPr>
          <w:ilvl w:val="1"/>
          <w:numId w:val="6"/>
        </w:numPr>
        <w:tabs>
          <w:tab w:val="left" w:pos="1873"/>
        </w:tabs>
        <w:spacing w:before="59" w:line="283" w:lineRule="auto"/>
        <w:ind w:right="1792"/>
        <w:rPr>
          <w:sz w:val="24"/>
        </w:rPr>
      </w:pPr>
      <w:r>
        <w:rPr>
          <w:color w:val="221F1F"/>
          <w:sz w:val="24"/>
        </w:rPr>
        <w:t>Are waiting rooms set up to reduce risk of infection (</w:t>
      </w:r>
      <w:r w:rsidR="00FD391D">
        <w:rPr>
          <w:color w:val="221F1F"/>
          <w:sz w:val="24"/>
        </w:rPr>
        <w:t>for example</w:t>
      </w:r>
      <w:r>
        <w:rPr>
          <w:color w:val="221F1F"/>
          <w:sz w:val="24"/>
        </w:rPr>
        <w:t xml:space="preserve"> space between</w:t>
      </w:r>
      <w:r>
        <w:rPr>
          <w:color w:val="221F1F"/>
          <w:spacing w:val="-26"/>
          <w:sz w:val="24"/>
        </w:rPr>
        <w:t xml:space="preserve"> </w:t>
      </w:r>
      <w:r>
        <w:rPr>
          <w:color w:val="221F1F"/>
          <w:sz w:val="24"/>
        </w:rPr>
        <w:t>chairs, regular cleaning, etc).</w:t>
      </w:r>
    </w:p>
    <w:p w14:paraId="6C411E6B" w14:textId="77777777" w:rsidR="00F91519" w:rsidRDefault="009A25CA">
      <w:pPr>
        <w:pStyle w:val="ListParagraph"/>
        <w:numPr>
          <w:ilvl w:val="1"/>
          <w:numId w:val="6"/>
        </w:numPr>
        <w:tabs>
          <w:tab w:val="left" w:pos="1873"/>
        </w:tabs>
        <w:spacing w:before="11"/>
        <w:rPr>
          <w:sz w:val="24"/>
        </w:rPr>
      </w:pPr>
      <w:r>
        <w:rPr>
          <w:color w:val="221F1F"/>
          <w:sz w:val="24"/>
        </w:rPr>
        <w:t>Can patients write the result and dose in their own yellow</w:t>
      </w:r>
      <w:r>
        <w:rPr>
          <w:color w:val="221F1F"/>
          <w:spacing w:val="-9"/>
          <w:sz w:val="24"/>
        </w:rPr>
        <w:t xml:space="preserve"> </w:t>
      </w:r>
      <w:r>
        <w:rPr>
          <w:color w:val="221F1F"/>
          <w:sz w:val="24"/>
        </w:rPr>
        <w:t>book?</w:t>
      </w:r>
    </w:p>
    <w:p w14:paraId="1938DD51" w14:textId="77777777" w:rsidR="00F91519" w:rsidRDefault="009A25CA">
      <w:pPr>
        <w:pStyle w:val="ListParagraph"/>
        <w:numPr>
          <w:ilvl w:val="1"/>
          <w:numId w:val="6"/>
        </w:numPr>
        <w:tabs>
          <w:tab w:val="left" w:pos="1873"/>
        </w:tabs>
        <w:spacing w:before="42"/>
        <w:rPr>
          <w:sz w:val="24"/>
        </w:rPr>
      </w:pPr>
      <w:r>
        <w:rPr>
          <w:color w:val="221F1F"/>
          <w:sz w:val="24"/>
        </w:rPr>
        <w:t>Have patients at most risk been advised to attend at a quieter</w:t>
      </w:r>
      <w:r>
        <w:rPr>
          <w:color w:val="221F1F"/>
          <w:spacing w:val="-16"/>
          <w:sz w:val="24"/>
        </w:rPr>
        <w:t xml:space="preserve"> </w:t>
      </w:r>
      <w:r>
        <w:rPr>
          <w:color w:val="221F1F"/>
          <w:sz w:val="24"/>
        </w:rPr>
        <w:t>time?</w:t>
      </w:r>
    </w:p>
    <w:p w14:paraId="358F3C60" w14:textId="77777777" w:rsidR="00F91519" w:rsidRDefault="009A25CA">
      <w:pPr>
        <w:pStyle w:val="ListParagraph"/>
        <w:numPr>
          <w:ilvl w:val="1"/>
          <w:numId w:val="6"/>
        </w:numPr>
        <w:tabs>
          <w:tab w:val="left" w:pos="1873"/>
        </w:tabs>
        <w:spacing w:before="43" w:line="283" w:lineRule="auto"/>
        <w:ind w:right="2407"/>
        <w:rPr>
          <w:sz w:val="24"/>
        </w:rPr>
      </w:pPr>
      <w:r>
        <w:rPr>
          <w:color w:val="221F1F"/>
          <w:sz w:val="24"/>
        </w:rPr>
        <w:t>Has enough personal protective equipment (PPE) been supplied to</w:t>
      </w:r>
      <w:r>
        <w:rPr>
          <w:color w:val="221F1F"/>
          <w:spacing w:val="-30"/>
          <w:sz w:val="24"/>
        </w:rPr>
        <w:t xml:space="preserve"> </w:t>
      </w:r>
      <w:r>
        <w:rPr>
          <w:color w:val="221F1F"/>
          <w:sz w:val="24"/>
        </w:rPr>
        <w:t>staff members working in anticoagulation/blood testing</w:t>
      </w:r>
      <w:r>
        <w:rPr>
          <w:color w:val="221F1F"/>
          <w:spacing w:val="-8"/>
          <w:sz w:val="24"/>
        </w:rPr>
        <w:t xml:space="preserve"> </w:t>
      </w:r>
      <w:r>
        <w:rPr>
          <w:color w:val="221F1F"/>
          <w:sz w:val="24"/>
        </w:rPr>
        <w:t>services?</w:t>
      </w:r>
    </w:p>
    <w:p w14:paraId="530C0172" w14:textId="77777777" w:rsidR="00F91519" w:rsidRDefault="00F91519">
      <w:pPr>
        <w:pStyle w:val="BodyText"/>
        <w:spacing w:before="2"/>
        <w:ind w:left="0"/>
        <w:rPr>
          <w:sz w:val="27"/>
        </w:rPr>
      </w:pPr>
    </w:p>
    <w:p w14:paraId="0EA052B3" w14:textId="77777777" w:rsidR="00F91519" w:rsidRDefault="009A25CA">
      <w:pPr>
        <w:pStyle w:val="Heading2"/>
        <w:numPr>
          <w:ilvl w:val="0"/>
          <w:numId w:val="6"/>
        </w:numPr>
        <w:tabs>
          <w:tab w:val="left" w:pos="1304"/>
        </w:tabs>
        <w:spacing w:before="1" w:line="312" w:lineRule="auto"/>
        <w:ind w:right="1532" w:hanging="283"/>
      </w:pPr>
      <w:r>
        <w:t>Strategies to minimise the impact on community nursing services over the next weeks/months</w:t>
      </w:r>
    </w:p>
    <w:p w14:paraId="3791602A" w14:textId="77777777" w:rsidR="00F91519" w:rsidRDefault="009A25CA">
      <w:pPr>
        <w:pStyle w:val="BodyText"/>
        <w:spacing w:before="3" w:line="312" w:lineRule="auto"/>
        <w:ind w:left="1303" w:right="1475"/>
      </w:pPr>
      <w:r>
        <w:rPr>
          <w:color w:val="221F1F"/>
        </w:rPr>
        <w:t>Local community nursing teams are unlikely to have the capacity to take on INR monitoring for large numbers of patients who become housebound through COVID-19 infection, self-isolation of the household or social distancing strategies.</w:t>
      </w:r>
    </w:p>
    <w:p w14:paraId="5F22FB81" w14:textId="4A24766D" w:rsidR="00F91519" w:rsidRDefault="009A25CA">
      <w:pPr>
        <w:pStyle w:val="ListParagraph"/>
        <w:numPr>
          <w:ilvl w:val="1"/>
          <w:numId w:val="6"/>
        </w:numPr>
        <w:tabs>
          <w:tab w:val="left" w:pos="1873"/>
        </w:tabs>
        <w:spacing w:before="48" w:line="297" w:lineRule="auto"/>
        <w:ind w:right="1588"/>
        <w:rPr>
          <w:sz w:val="24"/>
        </w:rPr>
      </w:pPr>
      <w:r>
        <w:rPr>
          <w:color w:val="221F1F"/>
          <w:sz w:val="24"/>
        </w:rPr>
        <w:t xml:space="preserve">Would provision of healthcare professional </w:t>
      </w:r>
      <w:proofErr w:type="spellStart"/>
      <w:r>
        <w:rPr>
          <w:color w:val="221F1F"/>
          <w:sz w:val="24"/>
        </w:rPr>
        <w:t>CoaguChek</w:t>
      </w:r>
      <w:proofErr w:type="spellEnd"/>
      <w:r>
        <w:rPr>
          <w:color w:val="221F1F"/>
          <w:sz w:val="24"/>
        </w:rPr>
        <w:t xml:space="preserve"> machines to community </w:t>
      </w:r>
      <w:r>
        <w:rPr>
          <w:color w:val="221F1F"/>
          <w:sz w:val="24"/>
        </w:rPr>
        <w:lastRenderedPageBreak/>
        <w:t>nursing services, to facilitate point of care testing, reduce their workload (</w:t>
      </w:r>
      <w:r w:rsidR="00FD391D">
        <w:rPr>
          <w:color w:val="221F1F"/>
          <w:sz w:val="24"/>
        </w:rPr>
        <w:t>for example</w:t>
      </w:r>
      <w:r>
        <w:rPr>
          <w:color w:val="221F1F"/>
          <w:sz w:val="24"/>
        </w:rPr>
        <w:t xml:space="preserve"> by reducing the need to transport blood samples to</w:t>
      </w:r>
      <w:r>
        <w:rPr>
          <w:color w:val="221F1F"/>
          <w:spacing w:val="-10"/>
          <w:sz w:val="24"/>
        </w:rPr>
        <w:t xml:space="preserve"> </w:t>
      </w:r>
      <w:r>
        <w:rPr>
          <w:color w:val="221F1F"/>
          <w:sz w:val="24"/>
        </w:rPr>
        <w:t>laboratories)?</w:t>
      </w:r>
    </w:p>
    <w:p w14:paraId="5C17724E" w14:textId="0F4A9E85" w:rsidR="00F91519" w:rsidRDefault="009A25CA">
      <w:pPr>
        <w:pStyle w:val="ListParagraph"/>
        <w:numPr>
          <w:ilvl w:val="1"/>
          <w:numId w:val="6"/>
        </w:numPr>
        <w:tabs>
          <w:tab w:val="left" w:pos="1873"/>
        </w:tabs>
        <w:spacing w:line="297" w:lineRule="auto"/>
        <w:ind w:right="1638"/>
        <w:rPr>
          <w:sz w:val="24"/>
        </w:rPr>
      </w:pPr>
      <w:r>
        <w:rPr>
          <w:color w:val="221F1F"/>
          <w:sz w:val="24"/>
        </w:rPr>
        <w:t xml:space="preserve">Could small community INR testing hubs be set up, </w:t>
      </w:r>
      <w:r w:rsidR="00FD391D">
        <w:rPr>
          <w:color w:val="221F1F"/>
          <w:sz w:val="24"/>
        </w:rPr>
        <w:t>for example</w:t>
      </w:r>
      <w:r>
        <w:rPr>
          <w:color w:val="221F1F"/>
          <w:sz w:val="24"/>
        </w:rPr>
        <w:t xml:space="preserve"> within primary care networks (PCNs) or in local community pharmacies? Note: these strategies still carry infection risk but do reduce the need for hospital/GP practice</w:t>
      </w:r>
      <w:r>
        <w:rPr>
          <w:color w:val="221F1F"/>
          <w:spacing w:val="-29"/>
          <w:sz w:val="24"/>
        </w:rPr>
        <w:t xml:space="preserve"> </w:t>
      </w:r>
      <w:r>
        <w:rPr>
          <w:color w:val="221F1F"/>
          <w:sz w:val="24"/>
        </w:rPr>
        <w:t>attendance.</w:t>
      </w:r>
    </w:p>
    <w:p w14:paraId="0A891080" w14:textId="77777777" w:rsidR="00F91519" w:rsidRDefault="009A25CA">
      <w:pPr>
        <w:pStyle w:val="ListParagraph"/>
        <w:numPr>
          <w:ilvl w:val="1"/>
          <w:numId w:val="6"/>
        </w:numPr>
        <w:tabs>
          <w:tab w:val="left" w:pos="1873"/>
        </w:tabs>
        <w:spacing w:line="283" w:lineRule="auto"/>
        <w:ind w:right="2072"/>
        <w:rPr>
          <w:sz w:val="24"/>
        </w:rPr>
      </w:pPr>
      <w:r>
        <w:rPr>
          <w:color w:val="221F1F"/>
          <w:sz w:val="24"/>
        </w:rPr>
        <w:t>Could other teams be deployed in the community to take blood samples</w:t>
      </w:r>
      <w:r>
        <w:rPr>
          <w:color w:val="221F1F"/>
          <w:spacing w:val="-29"/>
          <w:sz w:val="24"/>
        </w:rPr>
        <w:t xml:space="preserve"> </w:t>
      </w:r>
      <w:r>
        <w:rPr>
          <w:color w:val="221F1F"/>
          <w:sz w:val="24"/>
        </w:rPr>
        <w:t>for patients at</w:t>
      </w:r>
      <w:r>
        <w:rPr>
          <w:color w:val="221F1F"/>
          <w:spacing w:val="-1"/>
          <w:sz w:val="24"/>
        </w:rPr>
        <w:t xml:space="preserve"> </w:t>
      </w:r>
      <w:r>
        <w:rPr>
          <w:color w:val="221F1F"/>
          <w:sz w:val="24"/>
        </w:rPr>
        <w:t>home?</w:t>
      </w:r>
    </w:p>
    <w:p w14:paraId="474AC322" w14:textId="77777777" w:rsidR="00F91519" w:rsidRDefault="009A25CA">
      <w:pPr>
        <w:pStyle w:val="ListParagraph"/>
        <w:numPr>
          <w:ilvl w:val="1"/>
          <w:numId w:val="6"/>
        </w:numPr>
        <w:tabs>
          <w:tab w:val="left" w:pos="1873"/>
        </w:tabs>
        <w:rPr>
          <w:sz w:val="24"/>
        </w:rPr>
      </w:pPr>
      <w:r>
        <w:rPr>
          <w:color w:val="221F1F"/>
          <w:sz w:val="24"/>
        </w:rPr>
        <w:t>Could anticoagulation service staff support INR testing in patients’ own</w:t>
      </w:r>
      <w:r>
        <w:rPr>
          <w:color w:val="221F1F"/>
          <w:spacing w:val="-11"/>
          <w:sz w:val="24"/>
        </w:rPr>
        <w:t xml:space="preserve"> </w:t>
      </w:r>
      <w:r>
        <w:rPr>
          <w:color w:val="221F1F"/>
          <w:sz w:val="24"/>
        </w:rPr>
        <w:t>homes?</w:t>
      </w:r>
    </w:p>
    <w:p w14:paraId="1A2CD7E1" w14:textId="77777777" w:rsidR="00F91519" w:rsidRDefault="00F91519">
      <w:pPr>
        <w:pStyle w:val="BodyText"/>
        <w:spacing w:before="5"/>
        <w:ind w:left="0"/>
        <w:rPr>
          <w:sz w:val="29"/>
        </w:rPr>
      </w:pPr>
    </w:p>
    <w:p w14:paraId="45629520" w14:textId="77777777" w:rsidR="00F91519" w:rsidRDefault="009A25CA">
      <w:pPr>
        <w:pStyle w:val="Heading2"/>
        <w:numPr>
          <w:ilvl w:val="0"/>
          <w:numId w:val="6"/>
        </w:numPr>
        <w:tabs>
          <w:tab w:val="left" w:pos="1304"/>
        </w:tabs>
        <w:spacing w:line="312" w:lineRule="auto"/>
        <w:ind w:right="1732" w:hanging="295"/>
        <w:rPr>
          <w:color w:val="221F1F"/>
        </w:rPr>
      </w:pPr>
      <w:r>
        <w:rPr>
          <w:color w:val="221F1F"/>
        </w:rPr>
        <w:t>Suspend warfarin treatment temporarily in selected patients (in whom DOACs and LMWH are not</w:t>
      </w:r>
      <w:r>
        <w:rPr>
          <w:color w:val="221F1F"/>
          <w:spacing w:val="-3"/>
        </w:rPr>
        <w:t xml:space="preserve"> </w:t>
      </w:r>
      <w:r>
        <w:rPr>
          <w:color w:val="221F1F"/>
        </w:rPr>
        <w:t>suitable)</w:t>
      </w:r>
    </w:p>
    <w:p w14:paraId="71FFC3EA" w14:textId="77777777" w:rsidR="00F91519" w:rsidRDefault="009A25CA">
      <w:pPr>
        <w:pStyle w:val="BodyText"/>
        <w:spacing w:before="51" w:line="314" w:lineRule="auto"/>
        <w:ind w:left="1303" w:right="1502"/>
      </w:pPr>
      <w:r>
        <w:rPr>
          <w:color w:val="221F1F"/>
        </w:rPr>
        <w:t>As a last resort, for individual patients for whom INR testing is not possible and therefore warfarin cannot be dosed safely, warfarin therapy could be temporarily stopped after weighing the benefit and risk and discussion with the patient. Regular review should be undertaken with a view to restarting warfarin therapy as soon as it is safe to do so.</w:t>
      </w:r>
    </w:p>
    <w:p w14:paraId="7C0BD94C" w14:textId="77777777" w:rsidR="00F91519" w:rsidRDefault="00F91519">
      <w:pPr>
        <w:pStyle w:val="BodyText"/>
        <w:spacing w:before="9"/>
        <w:ind w:left="0"/>
        <w:rPr>
          <w:sz w:val="23"/>
        </w:rPr>
      </w:pPr>
    </w:p>
    <w:p w14:paraId="6D9C2B06" w14:textId="77777777" w:rsidR="00F91519" w:rsidRDefault="009A25CA">
      <w:pPr>
        <w:pStyle w:val="Heading2"/>
        <w:spacing w:line="312" w:lineRule="auto"/>
        <w:ind w:left="1303" w:right="1584"/>
      </w:pPr>
      <w:r>
        <w:rPr>
          <w:color w:val="221F1F"/>
        </w:rPr>
        <w:t xml:space="preserve">Patients with mechanical valves in situ must </w:t>
      </w:r>
      <w:proofErr w:type="gramStart"/>
      <w:r>
        <w:rPr>
          <w:color w:val="221F1F"/>
        </w:rPr>
        <w:t>continue on warfarin at all times</w:t>
      </w:r>
      <w:proofErr w:type="gramEnd"/>
      <w:r>
        <w:rPr>
          <w:color w:val="221F1F"/>
        </w:rPr>
        <w:t xml:space="preserve"> – seek advice from a cardiologist.</w:t>
      </w:r>
    </w:p>
    <w:p w14:paraId="1B2B6D1C" w14:textId="77777777" w:rsidR="00F91519" w:rsidRDefault="00F91519">
      <w:pPr>
        <w:pStyle w:val="BodyText"/>
        <w:spacing w:before="1"/>
        <w:ind w:left="0"/>
        <w:rPr>
          <w:b/>
        </w:rPr>
      </w:pPr>
    </w:p>
    <w:p w14:paraId="6C057C3F" w14:textId="77777777" w:rsidR="00F91519" w:rsidRDefault="009A25CA">
      <w:pPr>
        <w:ind w:left="1020" w:right="1424"/>
        <w:rPr>
          <w:b/>
          <w:sz w:val="28"/>
        </w:rPr>
      </w:pPr>
      <w:r>
        <w:rPr>
          <w:b/>
          <w:sz w:val="28"/>
        </w:rPr>
        <w:t>Patients receiving DOACs should have appropriate primary care-based prescribing and monitoring in place</w:t>
      </w:r>
    </w:p>
    <w:p w14:paraId="297C7C1E" w14:textId="2265EDBC" w:rsidR="00F91519" w:rsidRDefault="009A25CA">
      <w:pPr>
        <w:pStyle w:val="ListParagraph"/>
        <w:numPr>
          <w:ilvl w:val="1"/>
          <w:numId w:val="6"/>
        </w:numPr>
        <w:tabs>
          <w:tab w:val="left" w:pos="1873"/>
        </w:tabs>
        <w:spacing w:before="10" w:line="283" w:lineRule="auto"/>
        <w:ind w:right="1639"/>
        <w:rPr>
          <w:sz w:val="24"/>
        </w:rPr>
      </w:pPr>
      <w:r>
        <w:rPr>
          <w:color w:val="221F1F"/>
          <w:sz w:val="24"/>
        </w:rPr>
        <w:t xml:space="preserve">Telephone triage, instead of face-to-face consultations, should be in place to support patients, </w:t>
      </w:r>
      <w:r w:rsidR="00FD391D">
        <w:rPr>
          <w:color w:val="221F1F"/>
          <w:sz w:val="24"/>
        </w:rPr>
        <w:t>for example</w:t>
      </w:r>
      <w:r>
        <w:rPr>
          <w:color w:val="221F1F"/>
          <w:sz w:val="24"/>
        </w:rPr>
        <w:t xml:space="preserve"> for those experiencing bleeding symptoms in primary</w:t>
      </w:r>
      <w:r>
        <w:rPr>
          <w:color w:val="221F1F"/>
          <w:spacing w:val="-28"/>
          <w:sz w:val="24"/>
        </w:rPr>
        <w:t xml:space="preserve"> </w:t>
      </w:r>
      <w:r>
        <w:rPr>
          <w:color w:val="221F1F"/>
          <w:sz w:val="24"/>
        </w:rPr>
        <w:t>care.</w:t>
      </w:r>
    </w:p>
    <w:p w14:paraId="7E881E17" w14:textId="77777777" w:rsidR="00F91519" w:rsidRDefault="009A25CA">
      <w:pPr>
        <w:pStyle w:val="ListParagraph"/>
        <w:numPr>
          <w:ilvl w:val="1"/>
          <w:numId w:val="6"/>
        </w:numPr>
        <w:tabs>
          <w:tab w:val="left" w:pos="1873"/>
        </w:tabs>
        <w:spacing w:before="59" w:line="297" w:lineRule="auto"/>
        <w:ind w:right="1770"/>
        <w:rPr>
          <w:sz w:val="24"/>
        </w:rPr>
      </w:pPr>
      <w:r>
        <w:rPr>
          <w:color w:val="221F1F"/>
          <w:sz w:val="24"/>
        </w:rPr>
        <w:t>Standard renal monitoring should be undertaken at least annually, and more regularly in people with renal dysfunction, over the age of 75 years or who are frail.</w:t>
      </w:r>
    </w:p>
    <w:p w14:paraId="46F76632" w14:textId="77777777" w:rsidR="00F91519" w:rsidRDefault="009A25CA">
      <w:pPr>
        <w:pStyle w:val="ListParagraph"/>
        <w:numPr>
          <w:ilvl w:val="1"/>
          <w:numId w:val="6"/>
        </w:numPr>
        <w:tabs>
          <w:tab w:val="left" w:pos="1873"/>
        </w:tabs>
        <w:spacing w:line="283" w:lineRule="auto"/>
        <w:ind w:right="1501"/>
        <w:rPr>
          <w:sz w:val="24"/>
        </w:rPr>
      </w:pPr>
      <w:r>
        <w:rPr>
          <w:color w:val="221F1F"/>
          <w:sz w:val="24"/>
        </w:rPr>
        <w:t>Specialist support for primary care prescribers should be available should</w:t>
      </w:r>
      <w:r>
        <w:rPr>
          <w:color w:val="221F1F"/>
          <w:spacing w:val="-32"/>
          <w:sz w:val="24"/>
        </w:rPr>
        <w:t xml:space="preserve"> </w:t>
      </w:r>
      <w:r>
        <w:rPr>
          <w:color w:val="221F1F"/>
          <w:sz w:val="24"/>
        </w:rPr>
        <w:t>issues arise during DOAC</w:t>
      </w:r>
      <w:r>
        <w:rPr>
          <w:color w:val="221F1F"/>
          <w:spacing w:val="-2"/>
          <w:sz w:val="24"/>
        </w:rPr>
        <w:t xml:space="preserve"> </w:t>
      </w:r>
      <w:r>
        <w:rPr>
          <w:color w:val="221F1F"/>
          <w:sz w:val="24"/>
        </w:rPr>
        <w:t>treatment.</w:t>
      </w:r>
    </w:p>
    <w:p w14:paraId="1C186029" w14:textId="77777777" w:rsidR="00F91519" w:rsidRDefault="00F91519">
      <w:pPr>
        <w:pStyle w:val="BodyText"/>
        <w:ind w:left="0"/>
        <w:rPr>
          <w:sz w:val="26"/>
        </w:rPr>
      </w:pPr>
    </w:p>
    <w:p w14:paraId="6E2DD01F" w14:textId="77777777" w:rsidR="00F91519" w:rsidRDefault="009A25CA">
      <w:pPr>
        <w:pStyle w:val="Heading1"/>
        <w:spacing w:before="1"/>
      </w:pPr>
      <w:r>
        <w:t>Information and support for patients</w:t>
      </w:r>
    </w:p>
    <w:p w14:paraId="6E961D2F" w14:textId="46175B4D" w:rsidR="00F91519" w:rsidRDefault="00D71CC8">
      <w:pPr>
        <w:pStyle w:val="ListParagraph"/>
        <w:numPr>
          <w:ilvl w:val="1"/>
          <w:numId w:val="6"/>
        </w:numPr>
        <w:tabs>
          <w:tab w:val="left" w:pos="1873"/>
        </w:tabs>
        <w:spacing w:before="10"/>
        <w:rPr>
          <w:sz w:val="24"/>
        </w:rPr>
      </w:pPr>
      <w:hyperlink r:id="rId11" w:history="1">
        <w:r w:rsidR="009A25CA" w:rsidRPr="009A25CA">
          <w:rPr>
            <w:rStyle w:val="Hyperlink"/>
            <w:sz w:val="24"/>
          </w:rPr>
          <w:t>Anticoagulation UK</w:t>
        </w:r>
      </w:hyperlink>
    </w:p>
    <w:p w14:paraId="0FEA91E2" w14:textId="4EC6FB3B" w:rsidR="00F91519" w:rsidRDefault="00D71CC8">
      <w:pPr>
        <w:pStyle w:val="ListParagraph"/>
        <w:numPr>
          <w:ilvl w:val="1"/>
          <w:numId w:val="6"/>
        </w:numPr>
        <w:tabs>
          <w:tab w:val="left" w:pos="1873"/>
        </w:tabs>
        <w:spacing w:before="42"/>
        <w:rPr>
          <w:sz w:val="24"/>
        </w:rPr>
      </w:pPr>
      <w:hyperlink r:id="rId12" w:history="1">
        <w:r w:rsidR="009A25CA" w:rsidRPr="009A25CA">
          <w:rPr>
            <w:rStyle w:val="Hyperlink"/>
            <w:sz w:val="24"/>
          </w:rPr>
          <w:t>Atrial Fibrillation Association</w:t>
        </w:r>
      </w:hyperlink>
    </w:p>
    <w:p w14:paraId="0A781DAD" w14:textId="74FDA680" w:rsidR="00F42E9C" w:rsidRPr="00F42E9C" w:rsidRDefault="00D71CC8" w:rsidP="009A25CA">
      <w:pPr>
        <w:pStyle w:val="ListParagraph"/>
        <w:numPr>
          <w:ilvl w:val="1"/>
          <w:numId w:val="6"/>
        </w:numPr>
        <w:tabs>
          <w:tab w:val="left" w:pos="1873"/>
        </w:tabs>
        <w:spacing w:before="43"/>
        <w:rPr>
          <w:sz w:val="24"/>
        </w:rPr>
      </w:pPr>
      <w:hyperlink r:id="rId13" w:history="1">
        <w:r w:rsidR="009A25CA" w:rsidRPr="009A25CA">
          <w:rPr>
            <w:rStyle w:val="Hyperlink"/>
            <w:sz w:val="24"/>
          </w:rPr>
          <w:t>British Heart Foundation</w:t>
        </w:r>
      </w:hyperlink>
      <w:r w:rsidR="009A25CA" w:rsidRPr="009A25CA">
        <w:rPr>
          <w:color w:val="221F1F"/>
          <w:sz w:val="24"/>
        </w:rPr>
        <w:t xml:space="preserve"> </w:t>
      </w:r>
    </w:p>
    <w:p w14:paraId="3F4209F5" w14:textId="77777777" w:rsidR="00F42E9C" w:rsidRPr="00F42E9C" w:rsidRDefault="00F42E9C" w:rsidP="00F42E9C">
      <w:pPr>
        <w:tabs>
          <w:tab w:val="left" w:pos="1873"/>
        </w:tabs>
        <w:spacing w:before="43"/>
        <w:ind w:left="1586"/>
        <w:rPr>
          <w:sz w:val="24"/>
        </w:rPr>
      </w:pPr>
    </w:p>
    <w:p w14:paraId="3FAA06FD" w14:textId="77777777" w:rsidR="00F91519" w:rsidRPr="009A25CA" w:rsidRDefault="00F91519" w:rsidP="009A25CA">
      <w:pPr>
        <w:pStyle w:val="ListParagraph"/>
        <w:numPr>
          <w:ilvl w:val="1"/>
          <w:numId w:val="6"/>
        </w:numPr>
        <w:tabs>
          <w:tab w:val="left" w:pos="1873"/>
        </w:tabs>
        <w:spacing w:before="43"/>
        <w:rPr>
          <w:sz w:val="24"/>
        </w:rPr>
        <w:sectPr w:rsidR="00F91519" w:rsidRPr="009A25CA">
          <w:footerReference w:type="default" r:id="rId14"/>
          <w:pgSz w:w="11910" w:h="16850"/>
          <w:pgMar w:top="1140" w:right="0" w:bottom="800" w:left="0" w:header="0" w:footer="609" w:gutter="0"/>
          <w:cols w:space="720"/>
        </w:sectPr>
      </w:pPr>
    </w:p>
    <w:p w14:paraId="78DAFC63" w14:textId="77777777" w:rsidR="00F91519" w:rsidRDefault="009A25CA">
      <w:pPr>
        <w:ind w:left="1021"/>
        <w:rPr>
          <w:sz w:val="20"/>
        </w:rPr>
      </w:pPr>
      <w:r>
        <w:rPr>
          <w:noProof/>
          <w:position w:val="1"/>
          <w:sz w:val="20"/>
        </w:rPr>
        <w:lastRenderedPageBreak/>
        <w:drawing>
          <wp:inline distT="0" distB="0" distL="0" distR="0" wp14:anchorId="32B44109" wp14:editId="662BFEB7">
            <wp:extent cx="1718673" cy="509873"/>
            <wp:effectExtent l="0" t="0" r="0" b="0"/>
            <wp:docPr id="5" name="image3.png" descr="Royal Pharmaceutical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Royal Pharmaceutical Society logo"/>
                    <pic:cNvPicPr/>
                  </pic:nvPicPr>
                  <pic:blipFill>
                    <a:blip r:embed="rId15" cstate="print"/>
                    <a:stretch>
                      <a:fillRect/>
                    </a:stretch>
                  </pic:blipFill>
                  <pic:spPr>
                    <a:xfrm>
                      <a:off x="0" y="0"/>
                      <a:ext cx="1718673" cy="509873"/>
                    </a:xfrm>
                    <a:prstGeom prst="rect">
                      <a:avLst/>
                    </a:prstGeom>
                  </pic:spPr>
                </pic:pic>
              </a:graphicData>
            </a:graphic>
          </wp:inline>
        </w:drawing>
      </w:r>
      <w:r>
        <w:rPr>
          <w:rFonts w:ascii="Times New Roman"/>
          <w:spacing w:val="110"/>
          <w:position w:val="1"/>
          <w:sz w:val="20"/>
        </w:rPr>
        <w:t xml:space="preserve"> </w:t>
      </w:r>
      <w:r>
        <w:rPr>
          <w:noProof/>
          <w:spacing w:val="110"/>
          <w:position w:val="1"/>
          <w:sz w:val="20"/>
        </w:rPr>
        <w:drawing>
          <wp:inline distT="0" distB="0" distL="0" distR="0" wp14:anchorId="6A8F5387" wp14:editId="6EF95E86">
            <wp:extent cx="1623946" cy="509873"/>
            <wp:effectExtent l="0" t="0" r="0" b="0"/>
            <wp:docPr id="7" name="image4.png" descr="UKC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UKCPA logo"/>
                    <pic:cNvPicPr/>
                  </pic:nvPicPr>
                  <pic:blipFill>
                    <a:blip r:embed="rId16" cstate="print"/>
                    <a:stretch>
                      <a:fillRect/>
                    </a:stretch>
                  </pic:blipFill>
                  <pic:spPr>
                    <a:xfrm>
                      <a:off x="0" y="0"/>
                      <a:ext cx="1623946" cy="509873"/>
                    </a:xfrm>
                    <a:prstGeom prst="rect">
                      <a:avLst/>
                    </a:prstGeom>
                  </pic:spPr>
                </pic:pic>
              </a:graphicData>
            </a:graphic>
          </wp:inline>
        </w:drawing>
      </w:r>
      <w:r>
        <w:rPr>
          <w:rFonts w:ascii="Times New Roman"/>
          <w:spacing w:val="138"/>
          <w:position w:val="1"/>
          <w:sz w:val="20"/>
        </w:rPr>
        <w:t xml:space="preserve"> </w:t>
      </w:r>
      <w:r>
        <w:rPr>
          <w:noProof/>
          <w:spacing w:val="138"/>
          <w:sz w:val="20"/>
        </w:rPr>
        <w:drawing>
          <wp:inline distT="0" distB="0" distL="0" distR="0" wp14:anchorId="48BD6A78" wp14:editId="1E39E22E">
            <wp:extent cx="1071680" cy="711898"/>
            <wp:effectExtent l="0" t="0" r="0" b="0"/>
            <wp:docPr id="9" name="image5.jpeg" descr="PC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PCPA logo"/>
                    <pic:cNvPicPr/>
                  </pic:nvPicPr>
                  <pic:blipFill>
                    <a:blip r:embed="rId17" cstate="print"/>
                    <a:stretch>
                      <a:fillRect/>
                    </a:stretch>
                  </pic:blipFill>
                  <pic:spPr>
                    <a:xfrm>
                      <a:off x="0" y="0"/>
                      <a:ext cx="1071680" cy="711898"/>
                    </a:xfrm>
                    <a:prstGeom prst="rect">
                      <a:avLst/>
                    </a:prstGeom>
                  </pic:spPr>
                </pic:pic>
              </a:graphicData>
            </a:graphic>
          </wp:inline>
        </w:drawing>
      </w:r>
      <w:r>
        <w:rPr>
          <w:rFonts w:ascii="Times New Roman"/>
          <w:spacing w:val="115"/>
          <w:sz w:val="20"/>
        </w:rPr>
        <w:t xml:space="preserve"> </w:t>
      </w:r>
      <w:r>
        <w:rPr>
          <w:noProof/>
          <w:spacing w:val="115"/>
          <w:position w:val="1"/>
          <w:sz w:val="20"/>
        </w:rPr>
        <w:drawing>
          <wp:inline distT="0" distB="0" distL="0" distR="0" wp14:anchorId="139E26DA" wp14:editId="16B9E26A">
            <wp:extent cx="1442477" cy="566737"/>
            <wp:effectExtent l="0" t="0" r="0" b="0"/>
            <wp:docPr id="11" name="image6.jpeg" descr="Primary Care Cardiovas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Primary Care Cardiovascular Society logo"/>
                    <pic:cNvPicPr/>
                  </pic:nvPicPr>
                  <pic:blipFill>
                    <a:blip r:embed="rId18" cstate="print"/>
                    <a:stretch>
                      <a:fillRect/>
                    </a:stretch>
                  </pic:blipFill>
                  <pic:spPr>
                    <a:xfrm>
                      <a:off x="0" y="0"/>
                      <a:ext cx="1442477" cy="566737"/>
                    </a:xfrm>
                    <a:prstGeom prst="rect">
                      <a:avLst/>
                    </a:prstGeom>
                  </pic:spPr>
                </pic:pic>
              </a:graphicData>
            </a:graphic>
          </wp:inline>
        </w:drawing>
      </w:r>
    </w:p>
    <w:p w14:paraId="04115210" w14:textId="77777777" w:rsidR="00F91519" w:rsidRDefault="00F91519">
      <w:pPr>
        <w:pStyle w:val="BodyText"/>
        <w:ind w:left="0"/>
        <w:rPr>
          <w:sz w:val="20"/>
        </w:rPr>
      </w:pPr>
    </w:p>
    <w:p w14:paraId="2785D91A" w14:textId="77777777" w:rsidR="00F91519" w:rsidRDefault="00F91519">
      <w:pPr>
        <w:pStyle w:val="BodyText"/>
        <w:ind w:left="0"/>
        <w:rPr>
          <w:sz w:val="20"/>
        </w:rPr>
      </w:pPr>
    </w:p>
    <w:p w14:paraId="54E67124" w14:textId="77777777" w:rsidR="00F91519" w:rsidRDefault="00F91519">
      <w:pPr>
        <w:pStyle w:val="BodyText"/>
        <w:ind w:left="0"/>
        <w:rPr>
          <w:sz w:val="20"/>
        </w:rPr>
      </w:pPr>
    </w:p>
    <w:p w14:paraId="278F62D9" w14:textId="77777777" w:rsidR="00F91519" w:rsidRDefault="009A25CA">
      <w:pPr>
        <w:pStyle w:val="Heading1"/>
        <w:spacing w:before="219"/>
        <w:ind w:right="1582"/>
      </w:pPr>
      <w:r>
        <w:t>Appendix 1: Guidance for the safe switching of warfarin to direct oral anticoagulants (DOACs) for patients with non-valvular AF and venous thromboembolism (DVT/PE) during the coronavirus pandemic</w:t>
      </w:r>
    </w:p>
    <w:p w14:paraId="42CFE078" w14:textId="77777777" w:rsidR="00F91519" w:rsidRDefault="00F91519">
      <w:pPr>
        <w:pStyle w:val="BodyText"/>
        <w:spacing w:before="9"/>
        <w:ind w:left="0"/>
        <w:rPr>
          <w:b/>
          <w:sz w:val="31"/>
        </w:rPr>
      </w:pPr>
    </w:p>
    <w:p w14:paraId="3BE339EE" w14:textId="77777777" w:rsidR="00F91519" w:rsidRDefault="009A25CA">
      <w:pPr>
        <w:pStyle w:val="BodyText"/>
        <w:ind w:left="1020"/>
      </w:pPr>
      <w:r>
        <w:rPr>
          <w:color w:val="221F1F"/>
        </w:rPr>
        <w:t>26 March 2020</w:t>
      </w:r>
    </w:p>
    <w:p w14:paraId="17322D3D" w14:textId="77777777" w:rsidR="00F91519" w:rsidRDefault="00F91519">
      <w:pPr>
        <w:pStyle w:val="BodyText"/>
        <w:spacing w:before="5"/>
        <w:ind w:left="0"/>
      </w:pPr>
    </w:p>
    <w:p w14:paraId="7AFE4576" w14:textId="77777777" w:rsidR="00F91519" w:rsidRDefault="009A25CA">
      <w:pPr>
        <w:pStyle w:val="BodyText"/>
        <w:spacing w:line="283" w:lineRule="auto"/>
        <w:ind w:left="1020" w:right="5094"/>
      </w:pPr>
      <w:r>
        <w:rPr>
          <w:color w:val="221F1F"/>
        </w:rPr>
        <w:t xml:space="preserve">Lead author: Helen Williams, FFRPS, </w:t>
      </w:r>
      <w:proofErr w:type="spellStart"/>
      <w:r>
        <w:rPr>
          <w:color w:val="221F1F"/>
        </w:rPr>
        <w:t>FRPharmS</w:t>
      </w:r>
      <w:proofErr w:type="spellEnd"/>
      <w:r>
        <w:rPr>
          <w:color w:val="221F1F"/>
        </w:rPr>
        <w:t xml:space="preserve"> Consultant Pharmacist for CVD, NHS Southwark CCG National Clinical Adviser for AF, AHSNs Network</w:t>
      </w:r>
    </w:p>
    <w:p w14:paraId="07BBCAF0" w14:textId="77777777" w:rsidR="00F91519" w:rsidRDefault="00F91519">
      <w:pPr>
        <w:pStyle w:val="BodyText"/>
        <w:spacing w:before="4"/>
        <w:ind w:left="0"/>
        <w:rPr>
          <w:sz w:val="27"/>
        </w:rPr>
      </w:pPr>
    </w:p>
    <w:p w14:paraId="4A651175" w14:textId="49C38427" w:rsidR="00F91519" w:rsidRDefault="009A25CA">
      <w:pPr>
        <w:pStyle w:val="BodyText"/>
        <w:spacing w:line="484" w:lineRule="auto"/>
        <w:ind w:left="1020" w:right="2118"/>
      </w:pPr>
      <w:r>
        <w:rPr>
          <w:color w:val="221F1F"/>
        </w:rPr>
        <w:t xml:space="preserve">Endorsed by: Royal College of General Practitioners, British Haematology Society. </w:t>
      </w:r>
      <w:hyperlink r:id="rId19">
        <w:r>
          <w:rPr>
            <w:color w:val="006FC0"/>
            <w:u w:val="single" w:color="006FC0"/>
          </w:rPr>
          <w:t>See the Royal Pha</w:t>
        </w:r>
        <w:r w:rsidR="001A0914">
          <w:rPr>
            <w:color w:val="006FC0"/>
            <w:u w:val="single" w:color="006FC0"/>
          </w:rPr>
          <w:t>r</w:t>
        </w:r>
        <w:r>
          <w:rPr>
            <w:color w:val="006FC0"/>
            <w:u w:val="single" w:color="006FC0"/>
          </w:rPr>
          <w:t>m</w:t>
        </w:r>
        <w:r w:rsidR="001A0914">
          <w:rPr>
            <w:color w:val="006FC0"/>
            <w:u w:val="single" w:color="006FC0"/>
          </w:rPr>
          <w:t>a</w:t>
        </w:r>
        <w:r>
          <w:rPr>
            <w:color w:val="006FC0"/>
            <w:u w:val="single" w:color="006FC0"/>
          </w:rPr>
          <w:t>ceutical Society COVID-19 clinical resources hub</w:t>
        </w:r>
      </w:hyperlink>
    </w:p>
    <w:p w14:paraId="225B9F28" w14:textId="77777777" w:rsidR="00F91519" w:rsidRDefault="009A25CA">
      <w:pPr>
        <w:pStyle w:val="BodyText"/>
        <w:spacing w:before="119" w:line="312" w:lineRule="auto"/>
        <w:ind w:left="1020" w:right="1492"/>
      </w:pPr>
      <w:r>
        <w:rPr>
          <w:color w:val="221F1F"/>
        </w:rPr>
        <w:t>Switching appropriate patients from warfarin to a DOAC may be considered to avoid regular blood tests for INR monitoring. Whilst DOACs require blood tests to assess renal function throughout treatment– the monitoring is predictable, less rigorous than INR testing with warfarin and is routinely carried out in primary care. Switching from warfarin to a DOAC must be done with careful consideration as not all patients are suitable for a switch to DOAC, and in some cases, specialist advice may be required.</w:t>
      </w:r>
    </w:p>
    <w:p w14:paraId="2FF5795B" w14:textId="77777777" w:rsidR="00F91519" w:rsidRDefault="00F91519">
      <w:pPr>
        <w:pStyle w:val="BodyText"/>
        <w:spacing w:before="1"/>
        <w:ind w:left="0"/>
        <w:rPr>
          <w:sz w:val="25"/>
        </w:rPr>
      </w:pPr>
    </w:p>
    <w:p w14:paraId="773D57E5" w14:textId="77777777" w:rsidR="00F91519" w:rsidRDefault="009A25CA">
      <w:pPr>
        <w:pStyle w:val="Heading2"/>
        <w:spacing w:line="314" w:lineRule="auto"/>
        <w:ind w:right="1481"/>
      </w:pPr>
      <w:r>
        <w:rPr>
          <w:color w:val="221F1F"/>
        </w:rPr>
        <w:t>Patients should only be switched from warfarin to a DOAC by clinicians in primary or secondary care with experience in managing anticoagulation.</w:t>
      </w:r>
    </w:p>
    <w:p w14:paraId="0761E31B" w14:textId="77777777" w:rsidR="00F91519" w:rsidRDefault="00F91519">
      <w:pPr>
        <w:pStyle w:val="BodyText"/>
        <w:ind w:left="0"/>
        <w:rPr>
          <w:b/>
        </w:rPr>
      </w:pPr>
    </w:p>
    <w:p w14:paraId="51524079" w14:textId="77777777" w:rsidR="00F91519" w:rsidRDefault="009A25CA">
      <w:pPr>
        <w:spacing w:line="312" w:lineRule="auto"/>
        <w:ind w:left="1020" w:right="1614"/>
        <w:rPr>
          <w:b/>
          <w:sz w:val="24"/>
        </w:rPr>
      </w:pPr>
      <w:r>
        <w:rPr>
          <w:b/>
          <w:color w:val="221F1F"/>
          <w:sz w:val="24"/>
          <w:u w:val="thick" w:color="221F1F"/>
        </w:rPr>
        <w:t>To protect the supply chain for all patients – take a phased approach over the 12-</w:t>
      </w:r>
      <w:r>
        <w:rPr>
          <w:b/>
          <w:color w:val="221F1F"/>
          <w:sz w:val="24"/>
        </w:rPr>
        <w:t xml:space="preserve"> </w:t>
      </w:r>
      <w:r>
        <w:rPr>
          <w:b/>
          <w:color w:val="221F1F"/>
          <w:sz w:val="24"/>
          <w:u w:val="thick" w:color="221F1F"/>
        </w:rPr>
        <w:t>week cycle of INR monitoring.</w:t>
      </w:r>
    </w:p>
    <w:p w14:paraId="5B804E9A" w14:textId="77777777" w:rsidR="00F91519" w:rsidRDefault="00F91519">
      <w:pPr>
        <w:pStyle w:val="BodyText"/>
        <w:spacing w:before="7"/>
        <w:ind w:left="0"/>
        <w:rPr>
          <w:b/>
          <w:sz w:val="16"/>
        </w:rPr>
      </w:pPr>
    </w:p>
    <w:p w14:paraId="64545252" w14:textId="77777777" w:rsidR="00F91519" w:rsidRDefault="009A25CA">
      <w:pPr>
        <w:pStyle w:val="BodyText"/>
        <w:spacing w:before="92" w:line="312" w:lineRule="auto"/>
        <w:ind w:left="1020" w:right="1572"/>
      </w:pPr>
      <w:r>
        <w:rPr>
          <w:color w:val="221F1F"/>
        </w:rPr>
        <w:t>Consider prioritising patients with poor control of INR as this cohort will require the most frequent INR checks. Address non-adherence if this an underlying reason for poor INR control.</w:t>
      </w:r>
    </w:p>
    <w:p w14:paraId="11E6EE9B" w14:textId="77777777" w:rsidR="00F91519" w:rsidRDefault="00F91519">
      <w:pPr>
        <w:pStyle w:val="BodyText"/>
        <w:spacing w:before="9"/>
        <w:ind w:left="0"/>
      </w:pPr>
    </w:p>
    <w:p w14:paraId="635C697A" w14:textId="77777777" w:rsidR="00F91519" w:rsidRDefault="009A25CA">
      <w:pPr>
        <w:pStyle w:val="BodyText"/>
        <w:spacing w:line="312" w:lineRule="auto"/>
        <w:ind w:left="1020" w:right="1385"/>
      </w:pPr>
      <w:r>
        <w:rPr>
          <w:color w:val="221F1F"/>
        </w:rPr>
        <w:t>All DOACs are licensed for the prevention of atrial fibrillation (AF)-related stroke in people with non-valvular AF and for the treatment and secondary prevention of deep vein thrombosis (DVT) and pulmonary embolism (PE).</w:t>
      </w:r>
    </w:p>
    <w:p w14:paraId="2BE8BA62" w14:textId="77777777" w:rsidR="00F91519" w:rsidRDefault="009A25CA">
      <w:pPr>
        <w:pStyle w:val="Heading2"/>
        <w:spacing w:before="70"/>
      </w:pPr>
      <w:r>
        <w:t>Is anticoagulation still required?</w:t>
      </w:r>
    </w:p>
    <w:p w14:paraId="1A430604" w14:textId="77777777" w:rsidR="00F91519" w:rsidRDefault="009A25CA">
      <w:pPr>
        <w:pStyle w:val="BodyText"/>
        <w:spacing w:before="84" w:line="312" w:lineRule="auto"/>
        <w:ind w:left="1020" w:right="1545"/>
      </w:pPr>
      <w:r>
        <w:rPr>
          <w:color w:val="221F1F"/>
        </w:rPr>
        <w:t>For example, can anticoagulant therapy be stopped in patients with prior DVT / PE, where the risk of recurrence is now considered low – seek specialist advice if necessary</w:t>
      </w:r>
    </w:p>
    <w:p w14:paraId="184A74B6" w14:textId="77777777" w:rsidR="00F91519" w:rsidRDefault="009A25CA">
      <w:pPr>
        <w:pStyle w:val="Heading2"/>
        <w:spacing w:before="219"/>
      </w:pPr>
      <w:r>
        <w:lastRenderedPageBreak/>
        <w:t>Is a switch to a DOAC appropriate?</w:t>
      </w:r>
    </w:p>
    <w:p w14:paraId="7B6C38DD" w14:textId="77777777" w:rsidR="00F91519" w:rsidRDefault="009A25CA">
      <w:pPr>
        <w:pStyle w:val="BodyText"/>
        <w:spacing w:before="84"/>
        <w:ind w:left="1020"/>
      </w:pPr>
      <w:r>
        <w:rPr>
          <w:color w:val="221F1F"/>
        </w:rPr>
        <w:t xml:space="preserve">A switch from warfarin to a DOAC </w:t>
      </w:r>
      <w:r>
        <w:rPr>
          <w:b/>
          <w:color w:val="221F1F"/>
          <w:u w:val="thick" w:color="221F1F"/>
        </w:rPr>
        <w:t>should not</w:t>
      </w:r>
      <w:r>
        <w:rPr>
          <w:b/>
          <w:color w:val="221F1F"/>
        </w:rPr>
        <w:t xml:space="preserve"> </w:t>
      </w:r>
      <w:r>
        <w:rPr>
          <w:color w:val="221F1F"/>
        </w:rPr>
        <w:t>be considered for patients:</w:t>
      </w:r>
    </w:p>
    <w:p w14:paraId="01CE72D2" w14:textId="77777777" w:rsidR="00F91519" w:rsidRDefault="009A25CA">
      <w:pPr>
        <w:pStyle w:val="ListParagraph"/>
        <w:numPr>
          <w:ilvl w:val="1"/>
          <w:numId w:val="6"/>
        </w:numPr>
        <w:tabs>
          <w:tab w:val="left" w:pos="1873"/>
        </w:tabs>
        <w:spacing w:before="129"/>
        <w:rPr>
          <w:sz w:val="24"/>
        </w:rPr>
      </w:pPr>
      <w:r>
        <w:rPr>
          <w:color w:val="221F1F"/>
          <w:sz w:val="24"/>
        </w:rPr>
        <w:t>With a prosthetic mechanical</w:t>
      </w:r>
      <w:r>
        <w:rPr>
          <w:color w:val="221F1F"/>
          <w:spacing w:val="-2"/>
          <w:sz w:val="24"/>
        </w:rPr>
        <w:t xml:space="preserve"> </w:t>
      </w:r>
      <w:r>
        <w:rPr>
          <w:color w:val="221F1F"/>
          <w:sz w:val="24"/>
        </w:rPr>
        <w:t>valve</w:t>
      </w:r>
    </w:p>
    <w:p w14:paraId="68179191" w14:textId="77777777" w:rsidR="00F91519" w:rsidRDefault="009A25CA">
      <w:pPr>
        <w:pStyle w:val="ListParagraph"/>
        <w:numPr>
          <w:ilvl w:val="1"/>
          <w:numId w:val="6"/>
        </w:numPr>
        <w:tabs>
          <w:tab w:val="left" w:pos="1873"/>
        </w:tabs>
        <w:spacing w:before="42"/>
        <w:rPr>
          <w:sz w:val="24"/>
        </w:rPr>
      </w:pPr>
      <w:r>
        <w:rPr>
          <w:color w:val="221F1F"/>
          <w:sz w:val="24"/>
        </w:rPr>
        <w:t>With moderate to severe mitral</w:t>
      </w:r>
      <w:r>
        <w:rPr>
          <w:color w:val="221F1F"/>
          <w:spacing w:val="-3"/>
          <w:sz w:val="24"/>
        </w:rPr>
        <w:t xml:space="preserve"> </w:t>
      </w:r>
      <w:r>
        <w:rPr>
          <w:color w:val="221F1F"/>
          <w:sz w:val="24"/>
        </w:rPr>
        <w:t>stenosis</w:t>
      </w:r>
    </w:p>
    <w:p w14:paraId="6B38591E" w14:textId="77777777" w:rsidR="00F91519" w:rsidRDefault="009A25CA">
      <w:pPr>
        <w:pStyle w:val="ListParagraph"/>
        <w:numPr>
          <w:ilvl w:val="1"/>
          <w:numId w:val="6"/>
        </w:numPr>
        <w:tabs>
          <w:tab w:val="left" w:pos="1873"/>
        </w:tabs>
        <w:spacing w:before="43"/>
        <w:rPr>
          <w:sz w:val="24"/>
        </w:rPr>
      </w:pPr>
      <w:r>
        <w:rPr>
          <w:color w:val="221F1F"/>
          <w:sz w:val="24"/>
        </w:rPr>
        <w:t>With antiphospholipid antibody syndrome</w:t>
      </w:r>
      <w:r>
        <w:rPr>
          <w:color w:val="221F1F"/>
          <w:spacing w:val="-10"/>
          <w:sz w:val="24"/>
        </w:rPr>
        <w:t xml:space="preserve"> </w:t>
      </w:r>
      <w:r>
        <w:rPr>
          <w:color w:val="221F1F"/>
          <w:sz w:val="24"/>
        </w:rPr>
        <w:t>(APLS)</w:t>
      </w:r>
    </w:p>
    <w:p w14:paraId="6BBFC4E3" w14:textId="77777777" w:rsidR="00F91519" w:rsidRDefault="009A25CA">
      <w:pPr>
        <w:pStyle w:val="ListParagraph"/>
        <w:numPr>
          <w:ilvl w:val="1"/>
          <w:numId w:val="6"/>
        </w:numPr>
        <w:tabs>
          <w:tab w:val="left" w:pos="1873"/>
        </w:tabs>
        <w:spacing w:before="43"/>
        <w:rPr>
          <w:sz w:val="24"/>
        </w:rPr>
      </w:pPr>
      <w:r>
        <w:rPr>
          <w:color w:val="221F1F"/>
          <w:sz w:val="24"/>
        </w:rPr>
        <w:t>Who are pregnant, breastfeeding or planning a</w:t>
      </w:r>
      <w:r>
        <w:rPr>
          <w:color w:val="221F1F"/>
          <w:spacing w:val="-12"/>
          <w:sz w:val="24"/>
        </w:rPr>
        <w:t xml:space="preserve"> </w:t>
      </w:r>
      <w:proofErr w:type="gramStart"/>
      <w:r>
        <w:rPr>
          <w:color w:val="221F1F"/>
          <w:sz w:val="24"/>
        </w:rPr>
        <w:t>pregnancy</w:t>
      </w:r>
      <w:proofErr w:type="gramEnd"/>
    </w:p>
    <w:p w14:paraId="36F1355F" w14:textId="2EC86941" w:rsidR="00F91519" w:rsidRDefault="009A25CA">
      <w:pPr>
        <w:pStyle w:val="ListParagraph"/>
        <w:numPr>
          <w:ilvl w:val="1"/>
          <w:numId w:val="6"/>
        </w:numPr>
        <w:tabs>
          <w:tab w:val="left" w:pos="1873"/>
        </w:tabs>
        <w:spacing w:before="42"/>
        <w:rPr>
          <w:sz w:val="24"/>
        </w:rPr>
      </w:pPr>
      <w:r>
        <w:rPr>
          <w:color w:val="221F1F"/>
          <w:sz w:val="24"/>
        </w:rPr>
        <w:t>Requiring a higher INR than the standard INR range of 2.0 to 3.0</w:t>
      </w:r>
    </w:p>
    <w:p w14:paraId="5E994F8F" w14:textId="597AB841" w:rsidR="00F91519" w:rsidRDefault="009A25CA">
      <w:pPr>
        <w:pStyle w:val="ListParagraph"/>
        <w:numPr>
          <w:ilvl w:val="1"/>
          <w:numId w:val="6"/>
        </w:numPr>
        <w:tabs>
          <w:tab w:val="left" w:pos="1873"/>
        </w:tabs>
        <w:spacing w:before="40"/>
        <w:rPr>
          <w:sz w:val="24"/>
        </w:rPr>
      </w:pPr>
      <w:r>
        <w:rPr>
          <w:color w:val="221F1F"/>
          <w:sz w:val="24"/>
        </w:rPr>
        <w:t xml:space="preserve">With severe renal impairment - </w:t>
      </w:r>
      <w:r w:rsidR="001A0914">
        <w:rPr>
          <w:color w:val="221F1F"/>
          <w:sz w:val="24"/>
        </w:rPr>
        <w:t>c</w:t>
      </w:r>
      <w:r>
        <w:rPr>
          <w:color w:val="221F1F"/>
          <w:sz w:val="24"/>
        </w:rPr>
        <w:t xml:space="preserve">reatinine </w:t>
      </w:r>
      <w:r w:rsidR="001A0914">
        <w:rPr>
          <w:color w:val="221F1F"/>
          <w:sz w:val="24"/>
        </w:rPr>
        <w:t>c</w:t>
      </w:r>
      <w:r>
        <w:rPr>
          <w:color w:val="221F1F"/>
          <w:sz w:val="24"/>
        </w:rPr>
        <w:t>learance (</w:t>
      </w:r>
      <w:proofErr w:type="spellStart"/>
      <w:r>
        <w:rPr>
          <w:color w:val="221F1F"/>
          <w:sz w:val="24"/>
        </w:rPr>
        <w:t>CrCl</w:t>
      </w:r>
      <w:proofErr w:type="spellEnd"/>
      <w:r>
        <w:rPr>
          <w:color w:val="221F1F"/>
          <w:sz w:val="24"/>
        </w:rPr>
        <w:t>) less than</w:t>
      </w:r>
      <w:r>
        <w:rPr>
          <w:color w:val="221F1F"/>
          <w:spacing w:val="-5"/>
          <w:sz w:val="24"/>
        </w:rPr>
        <w:t xml:space="preserve"> </w:t>
      </w:r>
      <w:r>
        <w:rPr>
          <w:color w:val="221F1F"/>
          <w:sz w:val="24"/>
        </w:rPr>
        <w:t>15ml/min</w:t>
      </w:r>
    </w:p>
    <w:p w14:paraId="3A8DF6D1" w14:textId="77777777" w:rsidR="00F91519" w:rsidRDefault="009A25CA">
      <w:pPr>
        <w:pStyle w:val="ListParagraph"/>
        <w:numPr>
          <w:ilvl w:val="1"/>
          <w:numId w:val="6"/>
        </w:numPr>
        <w:tabs>
          <w:tab w:val="left" w:pos="1873"/>
        </w:tabs>
        <w:spacing w:before="42"/>
        <w:rPr>
          <w:sz w:val="24"/>
        </w:rPr>
      </w:pPr>
      <w:r>
        <w:rPr>
          <w:color w:val="221F1F"/>
          <w:sz w:val="24"/>
        </w:rPr>
        <w:t>With active malignancy/ chemotherapy (unless advised by a</w:t>
      </w:r>
      <w:r>
        <w:rPr>
          <w:color w:val="221F1F"/>
          <w:spacing w:val="-10"/>
          <w:sz w:val="24"/>
        </w:rPr>
        <w:t xml:space="preserve"> </w:t>
      </w:r>
      <w:r>
        <w:rPr>
          <w:color w:val="221F1F"/>
          <w:sz w:val="24"/>
        </w:rPr>
        <w:t>specialist)</w:t>
      </w:r>
    </w:p>
    <w:p w14:paraId="73428FE8" w14:textId="77777777" w:rsidR="00F91519" w:rsidRDefault="009A25CA">
      <w:pPr>
        <w:pStyle w:val="ListParagraph"/>
        <w:numPr>
          <w:ilvl w:val="1"/>
          <w:numId w:val="6"/>
        </w:numPr>
        <w:tabs>
          <w:tab w:val="left" w:pos="1873"/>
        </w:tabs>
        <w:spacing w:before="43"/>
        <w:rPr>
          <w:sz w:val="24"/>
        </w:rPr>
      </w:pPr>
      <w:r>
        <w:rPr>
          <w:color w:val="221F1F"/>
          <w:sz w:val="24"/>
        </w:rPr>
        <w:t>Prescribed interacting drugs – check SPCs (links below) for full</w:t>
      </w:r>
      <w:r>
        <w:rPr>
          <w:color w:val="221F1F"/>
          <w:spacing w:val="-9"/>
          <w:sz w:val="24"/>
        </w:rPr>
        <w:t xml:space="preserve"> </w:t>
      </w:r>
      <w:r>
        <w:rPr>
          <w:color w:val="221F1F"/>
          <w:sz w:val="24"/>
        </w:rPr>
        <w:t>list</w:t>
      </w:r>
    </w:p>
    <w:p w14:paraId="5B97AB45" w14:textId="2AD87EC5" w:rsidR="00F91519" w:rsidRDefault="009A25CA">
      <w:pPr>
        <w:pStyle w:val="ListParagraph"/>
        <w:numPr>
          <w:ilvl w:val="2"/>
          <w:numId w:val="6"/>
        </w:numPr>
        <w:tabs>
          <w:tab w:val="left" w:pos="2154"/>
        </w:tabs>
        <w:spacing w:before="117" w:line="312" w:lineRule="auto"/>
        <w:ind w:right="2360"/>
        <w:rPr>
          <w:sz w:val="24"/>
        </w:rPr>
      </w:pPr>
      <w:r>
        <w:rPr>
          <w:color w:val="221F1F"/>
          <w:sz w:val="24"/>
        </w:rPr>
        <w:t xml:space="preserve">Some HIV antiretrovirals and hepatitis antivirals - </w:t>
      </w:r>
      <w:hyperlink r:id="rId20" w:history="1">
        <w:r w:rsidRPr="009A25CA">
          <w:rPr>
            <w:rStyle w:val="Hyperlink"/>
            <w:sz w:val="24"/>
          </w:rPr>
          <w:t>check with HIV drug interactions website</w:t>
        </w:r>
      </w:hyperlink>
    </w:p>
    <w:p w14:paraId="649256CC" w14:textId="77777777" w:rsidR="00F91519" w:rsidRDefault="009A25CA">
      <w:pPr>
        <w:pStyle w:val="ListParagraph"/>
        <w:numPr>
          <w:ilvl w:val="2"/>
          <w:numId w:val="6"/>
        </w:numPr>
        <w:tabs>
          <w:tab w:val="left" w:pos="2154"/>
        </w:tabs>
        <w:spacing w:before="54" w:line="312" w:lineRule="auto"/>
        <w:ind w:right="1416"/>
        <w:rPr>
          <w:sz w:val="24"/>
        </w:rPr>
      </w:pPr>
      <w:r>
        <w:rPr>
          <w:color w:val="221F1F"/>
          <w:sz w:val="24"/>
        </w:rPr>
        <w:t>Some antiepileptics – phenytoin, carbamazepine, phenobarbitone or rifampicin are likely to reduce DOAC levels so should be discussed with an anticoagulation specialist</w:t>
      </w:r>
    </w:p>
    <w:p w14:paraId="5D18BD0E" w14:textId="77777777" w:rsidR="00F91519" w:rsidRDefault="009A25CA">
      <w:pPr>
        <w:pStyle w:val="ListParagraph"/>
        <w:numPr>
          <w:ilvl w:val="1"/>
          <w:numId w:val="6"/>
        </w:numPr>
        <w:tabs>
          <w:tab w:val="left" w:pos="1873"/>
        </w:tabs>
        <w:spacing w:line="347" w:lineRule="exact"/>
        <w:rPr>
          <w:sz w:val="24"/>
        </w:rPr>
      </w:pPr>
      <w:r>
        <w:rPr>
          <w:color w:val="221F1F"/>
          <w:sz w:val="24"/>
        </w:rPr>
        <w:t>On triple therapy (dual antiplatelet therapy plus warfarin) without discussing</w:t>
      </w:r>
      <w:r>
        <w:rPr>
          <w:color w:val="221F1F"/>
          <w:spacing w:val="-19"/>
          <w:sz w:val="24"/>
        </w:rPr>
        <w:t xml:space="preserve"> </w:t>
      </w:r>
      <w:r>
        <w:rPr>
          <w:color w:val="221F1F"/>
          <w:sz w:val="24"/>
        </w:rPr>
        <w:t>with</w:t>
      </w:r>
    </w:p>
    <w:p w14:paraId="19199FF9" w14:textId="77777777" w:rsidR="00F91519" w:rsidRDefault="009A25CA">
      <w:pPr>
        <w:pStyle w:val="BodyText"/>
        <w:spacing w:before="67"/>
      </w:pPr>
      <w:r>
        <w:rPr>
          <w:color w:val="221F1F"/>
        </w:rPr>
        <w:t>an anticoagulant specialist or cardiologist</w:t>
      </w:r>
    </w:p>
    <w:p w14:paraId="071ADDCA" w14:textId="77777777" w:rsidR="00F91519" w:rsidRDefault="009A25CA">
      <w:pPr>
        <w:pStyle w:val="ListParagraph"/>
        <w:numPr>
          <w:ilvl w:val="1"/>
          <w:numId w:val="6"/>
        </w:numPr>
        <w:tabs>
          <w:tab w:val="left" w:pos="1873"/>
        </w:tabs>
        <w:spacing w:before="57" w:line="297" w:lineRule="auto"/>
        <w:ind w:right="1403"/>
        <w:rPr>
          <w:sz w:val="24"/>
        </w:rPr>
      </w:pPr>
      <w:r>
        <w:rPr>
          <w:color w:val="221F1F"/>
          <w:sz w:val="24"/>
        </w:rPr>
        <w:t>There is little data on DOACs for patients with venous thrombosis at unusual sites (e.g. portal vein thrombosis) and these patients should be discussed with an anticoagulation specialist.</w:t>
      </w:r>
    </w:p>
    <w:p w14:paraId="2CBB490E" w14:textId="77777777" w:rsidR="00F91519" w:rsidRDefault="00F91519">
      <w:pPr>
        <w:pStyle w:val="BodyText"/>
        <w:spacing w:before="8"/>
        <w:ind w:left="0"/>
        <w:rPr>
          <w:sz w:val="25"/>
        </w:rPr>
      </w:pPr>
    </w:p>
    <w:p w14:paraId="27EE5A2E" w14:textId="77777777" w:rsidR="00F91519" w:rsidRDefault="009A25CA">
      <w:pPr>
        <w:pStyle w:val="BodyText"/>
        <w:spacing w:line="312" w:lineRule="auto"/>
        <w:ind w:left="1020" w:right="1625"/>
      </w:pPr>
      <w:r>
        <w:rPr>
          <w:color w:val="221F1F"/>
        </w:rPr>
        <w:t>When switching to a DOAC, care should be taken to follow the recommendations in the relevant SPC:</w:t>
      </w:r>
    </w:p>
    <w:p w14:paraId="7E06641C" w14:textId="1B74A710" w:rsidR="00F91519" w:rsidRDefault="00D71CC8">
      <w:pPr>
        <w:pStyle w:val="ListParagraph"/>
        <w:numPr>
          <w:ilvl w:val="1"/>
          <w:numId w:val="6"/>
        </w:numPr>
        <w:tabs>
          <w:tab w:val="left" w:pos="1873"/>
        </w:tabs>
        <w:spacing w:before="47"/>
        <w:rPr>
          <w:sz w:val="24"/>
        </w:rPr>
      </w:pPr>
      <w:hyperlink r:id="rId21" w:history="1">
        <w:r w:rsidR="001A0914">
          <w:rPr>
            <w:rStyle w:val="Hyperlink"/>
            <w:sz w:val="24"/>
          </w:rPr>
          <w:t>a</w:t>
        </w:r>
        <w:r w:rsidR="009A25CA" w:rsidRPr="009A25CA">
          <w:rPr>
            <w:rStyle w:val="Hyperlink"/>
            <w:sz w:val="24"/>
          </w:rPr>
          <w:t>pixaban (Eliquis®)</w:t>
        </w:r>
      </w:hyperlink>
    </w:p>
    <w:p w14:paraId="563B785D" w14:textId="5E7C8B6E" w:rsidR="00F91519" w:rsidRDefault="00D71CC8">
      <w:pPr>
        <w:pStyle w:val="ListParagraph"/>
        <w:numPr>
          <w:ilvl w:val="1"/>
          <w:numId w:val="6"/>
        </w:numPr>
        <w:tabs>
          <w:tab w:val="left" w:pos="1873"/>
        </w:tabs>
        <w:spacing w:before="43"/>
        <w:rPr>
          <w:sz w:val="24"/>
        </w:rPr>
      </w:pPr>
      <w:hyperlink r:id="rId22" w:history="1">
        <w:r w:rsidR="001A0914">
          <w:rPr>
            <w:rStyle w:val="Hyperlink"/>
            <w:sz w:val="24"/>
          </w:rPr>
          <w:t>d</w:t>
        </w:r>
        <w:r w:rsidR="009A25CA" w:rsidRPr="009A25CA">
          <w:rPr>
            <w:rStyle w:val="Hyperlink"/>
            <w:sz w:val="24"/>
          </w:rPr>
          <w:t>abigatran (Pradaxa®)</w:t>
        </w:r>
      </w:hyperlink>
    </w:p>
    <w:p w14:paraId="42855ABB" w14:textId="1B04E8DA" w:rsidR="00F91519" w:rsidRDefault="00D71CC8">
      <w:pPr>
        <w:pStyle w:val="ListParagraph"/>
        <w:numPr>
          <w:ilvl w:val="1"/>
          <w:numId w:val="6"/>
        </w:numPr>
        <w:tabs>
          <w:tab w:val="left" w:pos="1873"/>
        </w:tabs>
        <w:spacing w:before="42"/>
        <w:rPr>
          <w:sz w:val="24"/>
        </w:rPr>
      </w:pPr>
      <w:hyperlink r:id="rId23" w:history="1">
        <w:proofErr w:type="spellStart"/>
        <w:r w:rsidR="001A0914">
          <w:rPr>
            <w:rStyle w:val="Hyperlink"/>
            <w:sz w:val="24"/>
          </w:rPr>
          <w:t>e</w:t>
        </w:r>
        <w:r w:rsidR="009A25CA" w:rsidRPr="009A25CA">
          <w:rPr>
            <w:rStyle w:val="Hyperlink"/>
            <w:sz w:val="24"/>
          </w:rPr>
          <w:t>doxaban</w:t>
        </w:r>
        <w:proofErr w:type="spellEnd"/>
        <w:r w:rsidR="009A25CA" w:rsidRPr="009A25CA">
          <w:rPr>
            <w:rStyle w:val="Hyperlink"/>
            <w:sz w:val="24"/>
          </w:rPr>
          <w:t xml:space="preserve"> (</w:t>
        </w:r>
        <w:proofErr w:type="spellStart"/>
        <w:r w:rsidR="009A25CA" w:rsidRPr="009A25CA">
          <w:rPr>
            <w:rStyle w:val="Hyperlink"/>
            <w:sz w:val="24"/>
          </w:rPr>
          <w:t>Lixiana</w:t>
        </w:r>
        <w:proofErr w:type="spellEnd"/>
        <w:r w:rsidR="009A25CA" w:rsidRPr="009A25CA">
          <w:rPr>
            <w:rStyle w:val="Hyperlink"/>
            <w:sz w:val="24"/>
          </w:rPr>
          <w:t>®)</w:t>
        </w:r>
      </w:hyperlink>
    </w:p>
    <w:p w14:paraId="10F694B3" w14:textId="531DE764" w:rsidR="00F91519" w:rsidRDefault="00D71CC8">
      <w:pPr>
        <w:pStyle w:val="ListParagraph"/>
        <w:numPr>
          <w:ilvl w:val="1"/>
          <w:numId w:val="6"/>
        </w:numPr>
        <w:tabs>
          <w:tab w:val="left" w:pos="1873"/>
        </w:tabs>
        <w:spacing w:before="43"/>
        <w:rPr>
          <w:sz w:val="24"/>
        </w:rPr>
      </w:pPr>
      <w:hyperlink r:id="rId24" w:history="1">
        <w:r w:rsidR="001A0914">
          <w:rPr>
            <w:rStyle w:val="Hyperlink"/>
            <w:sz w:val="24"/>
          </w:rPr>
          <w:t>r</w:t>
        </w:r>
        <w:r w:rsidR="009A25CA" w:rsidRPr="009A25CA">
          <w:rPr>
            <w:rStyle w:val="Hyperlink"/>
            <w:sz w:val="24"/>
          </w:rPr>
          <w:t>ivaroxaban (Xarelto®)</w:t>
        </w:r>
      </w:hyperlink>
      <w:r w:rsidR="001A0914">
        <w:rPr>
          <w:sz w:val="24"/>
        </w:rPr>
        <w:t>.</w:t>
      </w:r>
    </w:p>
    <w:p w14:paraId="5EB3458E" w14:textId="77777777" w:rsidR="00F91519" w:rsidRDefault="00F91519">
      <w:pPr>
        <w:pStyle w:val="BodyText"/>
        <w:ind w:left="0"/>
        <w:rPr>
          <w:sz w:val="22"/>
        </w:rPr>
      </w:pPr>
    </w:p>
    <w:p w14:paraId="1E805113" w14:textId="59237117" w:rsidR="00F91519" w:rsidRDefault="009A25CA">
      <w:pPr>
        <w:pStyle w:val="BodyText"/>
        <w:spacing w:before="92" w:line="314" w:lineRule="auto"/>
        <w:ind w:left="1020" w:right="1331"/>
        <w:rPr>
          <w:color w:val="221F1F"/>
        </w:rPr>
      </w:pPr>
      <w:r>
        <w:rPr>
          <w:color w:val="221F1F"/>
        </w:rPr>
        <w:t>Choose DOAC drug and dose according to the therapeutic indication, patient age, actual bodyweight, renal function – calculated creatinine clearance (</w:t>
      </w:r>
      <w:proofErr w:type="spellStart"/>
      <w:r>
        <w:rPr>
          <w:color w:val="221F1F"/>
        </w:rPr>
        <w:t>CrCl</w:t>
      </w:r>
      <w:proofErr w:type="spellEnd"/>
      <w:r>
        <w:rPr>
          <w:color w:val="221F1F"/>
        </w:rPr>
        <w:t>), drug interactions and patient preference/lifestyle (see table below).</w:t>
      </w:r>
    </w:p>
    <w:p w14:paraId="6F578CF4" w14:textId="77777777" w:rsidR="001A0914" w:rsidRDefault="001A0914">
      <w:pPr>
        <w:pStyle w:val="BodyText"/>
        <w:spacing w:before="92" w:line="314" w:lineRule="auto"/>
        <w:ind w:left="1020" w:right="1331"/>
      </w:pPr>
    </w:p>
    <w:p w14:paraId="3BB2FC60" w14:textId="77777777" w:rsidR="00F91519" w:rsidRDefault="00F91519">
      <w:pPr>
        <w:spacing w:line="314" w:lineRule="auto"/>
        <w:sectPr w:rsidR="00F91519">
          <w:pgSz w:w="11910" w:h="16850"/>
          <w:pgMar w:top="1120" w:right="0" w:bottom="800" w:left="0" w:header="0" w:footer="609" w:gutter="0"/>
          <w:cols w:space="720"/>
        </w:sectPr>
      </w:pPr>
    </w:p>
    <w:p w14:paraId="5C88CABC" w14:textId="01B5427A" w:rsidR="00F91519" w:rsidRDefault="009A25CA" w:rsidP="00FF5CCA">
      <w:pPr>
        <w:pStyle w:val="Caption"/>
      </w:pPr>
      <w:r>
        <w:lastRenderedPageBreak/>
        <w:t>Guidance on DOAC prescribing for non-valvular AF and DVT/PE</w:t>
      </w:r>
    </w:p>
    <w:tbl>
      <w:tblPr>
        <w:tblStyle w:val="TableGrid"/>
        <w:tblW w:w="5000" w:type="pct"/>
        <w:tblLook w:val="01E0" w:firstRow="1" w:lastRow="1" w:firstColumn="1" w:lastColumn="1" w:noHBand="0" w:noVBand="0"/>
        <w:tblCaption w:val="Guidance on DOAC prescribing for non-valvular AF and DVT/PE"/>
      </w:tblPr>
      <w:tblGrid>
        <w:gridCol w:w="2261"/>
        <w:gridCol w:w="3121"/>
        <w:gridCol w:w="3118"/>
        <w:gridCol w:w="3402"/>
        <w:gridCol w:w="3218"/>
      </w:tblGrid>
      <w:tr w:rsidR="00F42E9C" w:rsidRPr="00D36F7D" w14:paraId="1C6BD380" w14:textId="77777777" w:rsidTr="00D36F7D">
        <w:tc>
          <w:tcPr>
            <w:tcW w:w="748" w:type="pct"/>
            <w:shd w:val="clear" w:color="auto" w:fill="auto"/>
          </w:tcPr>
          <w:p w14:paraId="3133C42F" w14:textId="77777777" w:rsidR="00F42E9C" w:rsidRPr="00D36F7D" w:rsidRDefault="00F42E9C" w:rsidP="00645D15">
            <w:pPr>
              <w:pStyle w:val="Tableheading"/>
              <w:rPr>
                <w:rFonts w:cs="Arial"/>
                <w:szCs w:val="22"/>
              </w:rPr>
            </w:pPr>
            <w:r w:rsidRPr="00D36F7D">
              <w:rPr>
                <w:rFonts w:cs="Arial"/>
                <w:szCs w:val="22"/>
              </w:rPr>
              <w:t>DOAC</w:t>
            </w:r>
          </w:p>
        </w:tc>
        <w:tc>
          <w:tcPr>
            <w:tcW w:w="1032" w:type="pct"/>
            <w:shd w:val="clear" w:color="auto" w:fill="auto"/>
          </w:tcPr>
          <w:p w14:paraId="29FA0AAE" w14:textId="77777777" w:rsidR="00F42E9C" w:rsidRPr="00D36F7D" w:rsidRDefault="00F42E9C" w:rsidP="00645D15">
            <w:pPr>
              <w:pStyle w:val="Tableheading"/>
              <w:rPr>
                <w:rFonts w:cs="Arial"/>
                <w:szCs w:val="22"/>
              </w:rPr>
            </w:pPr>
            <w:r w:rsidRPr="00D36F7D">
              <w:rPr>
                <w:rFonts w:cs="Arial"/>
                <w:szCs w:val="22"/>
              </w:rPr>
              <w:t>Apixaban</w:t>
            </w:r>
          </w:p>
        </w:tc>
        <w:tc>
          <w:tcPr>
            <w:tcW w:w="1031" w:type="pct"/>
            <w:shd w:val="clear" w:color="auto" w:fill="auto"/>
          </w:tcPr>
          <w:p w14:paraId="78787340" w14:textId="77777777" w:rsidR="00F42E9C" w:rsidRPr="00D36F7D" w:rsidRDefault="00F42E9C" w:rsidP="00645D15">
            <w:pPr>
              <w:pStyle w:val="Tableheading"/>
              <w:rPr>
                <w:rFonts w:cs="Arial"/>
                <w:szCs w:val="22"/>
              </w:rPr>
            </w:pPr>
            <w:proofErr w:type="spellStart"/>
            <w:r w:rsidRPr="00D36F7D">
              <w:rPr>
                <w:rFonts w:cs="Arial"/>
                <w:szCs w:val="22"/>
              </w:rPr>
              <w:t>Edoxaban</w:t>
            </w:r>
            <w:proofErr w:type="spellEnd"/>
          </w:p>
        </w:tc>
        <w:tc>
          <w:tcPr>
            <w:tcW w:w="1125" w:type="pct"/>
            <w:shd w:val="clear" w:color="auto" w:fill="auto"/>
          </w:tcPr>
          <w:p w14:paraId="3FEA4760" w14:textId="77777777" w:rsidR="00F42E9C" w:rsidRPr="00D36F7D" w:rsidRDefault="00F42E9C" w:rsidP="00645D15">
            <w:pPr>
              <w:pStyle w:val="Tableheading"/>
              <w:rPr>
                <w:rFonts w:cs="Arial"/>
                <w:szCs w:val="22"/>
              </w:rPr>
            </w:pPr>
            <w:r w:rsidRPr="00D36F7D">
              <w:rPr>
                <w:rFonts w:cs="Arial"/>
                <w:szCs w:val="22"/>
              </w:rPr>
              <w:t>Rivaroxaban</w:t>
            </w:r>
          </w:p>
        </w:tc>
        <w:tc>
          <w:tcPr>
            <w:tcW w:w="1064" w:type="pct"/>
            <w:shd w:val="clear" w:color="auto" w:fill="auto"/>
          </w:tcPr>
          <w:p w14:paraId="19C101B9" w14:textId="77777777" w:rsidR="00F42E9C" w:rsidRPr="00D36F7D" w:rsidRDefault="00F42E9C" w:rsidP="00645D15">
            <w:pPr>
              <w:pStyle w:val="Tableheading"/>
              <w:rPr>
                <w:rFonts w:cs="Arial"/>
                <w:szCs w:val="22"/>
              </w:rPr>
            </w:pPr>
            <w:r w:rsidRPr="00D36F7D">
              <w:rPr>
                <w:rFonts w:cs="Arial"/>
                <w:szCs w:val="22"/>
              </w:rPr>
              <w:t>Dabigatran</w:t>
            </w:r>
          </w:p>
        </w:tc>
      </w:tr>
      <w:tr w:rsidR="00D36F7D" w:rsidRPr="00D36F7D" w14:paraId="70108BF6" w14:textId="77777777" w:rsidTr="00D36F7D">
        <w:tc>
          <w:tcPr>
            <w:tcW w:w="748" w:type="pct"/>
            <w:shd w:val="clear" w:color="auto" w:fill="auto"/>
          </w:tcPr>
          <w:p w14:paraId="33A1F060" w14:textId="4CAABF9B" w:rsidR="00D36F7D" w:rsidRPr="00CE203F" w:rsidRDefault="00D36F7D" w:rsidP="00CE203F">
            <w:pPr>
              <w:pStyle w:val="Tableheading"/>
              <w:keepNext w:val="0"/>
            </w:pPr>
            <w:r w:rsidRPr="00CE203F">
              <w:t>How to change from warfarin</w:t>
            </w:r>
          </w:p>
        </w:tc>
        <w:tc>
          <w:tcPr>
            <w:tcW w:w="1032" w:type="pct"/>
            <w:shd w:val="clear" w:color="auto" w:fill="auto"/>
          </w:tcPr>
          <w:p w14:paraId="40471F58" w14:textId="77777777" w:rsidR="00D36F7D" w:rsidRPr="00CE203F" w:rsidRDefault="00D36F7D" w:rsidP="00CE203F">
            <w:pPr>
              <w:pStyle w:val="Tabletext"/>
            </w:pPr>
            <w:r w:rsidRPr="00CE203F">
              <w:rPr>
                <w:b/>
              </w:rPr>
              <w:t>Stop warfarin</w:t>
            </w:r>
            <w:r w:rsidRPr="00CE203F">
              <w:t xml:space="preserve">. Start DOAC when </w:t>
            </w:r>
            <w:r w:rsidRPr="00CE203F">
              <w:rPr>
                <w:b/>
              </w:rPr>
              <w:t xml:space="preserve">INR ≤2.5 </w:t>
            </w:r>
            <w:r w:rsidRPr="00CE203F">
              <w:t>- See additional guidance overleaf</w:t>
            </w:r>
          </w:p>
          <w:p w14:paraId="668F61EC" w14:textId="038A459E" w:rsidR="00D36F7D" w:rsidRPr="00CE203F" w:rsidRDefault="00D36F7D" w:rsidP="00CE203F">
            <w:pPr>
              <w:pStyle w:val="Tabletext"/>
              <w:rPr>
                <w:b/>
                <w:color w:val="383746"/>
                <w:shd w:val="clear" w:color="auto" w:fill="F8F8F8"/>
              </w:rPr>
            </w:pPr>
            <w:r w:rsidRPr="00CE203F">
              <w:t xml:space="preserve">(from </w:t>
            </w:r>
            <w:hyperlink r:id="rId25" w:history="1">
              <w:r w:rsidRPr="00CE203F">
                <w:rPr>
                  <w:rStyle w:val="Hyperlink"/>
                </w:rPr>
                <w:t>European Heart Rhythm Association guidance on non-vitamin K antagonist oral anticoagulants in patients with atrial fibrillation</w:t>
              </w:r>
            </w:hyperlink>
            <w:r w:rsidRPr="00CE203F">
              <w:t>)</w:t>
            </w:r>
          </w:p>
        </w:tc>
        <w:tc>
          <w:tcPr>
            <w:tcW w:w="1031" w:type="pct"/>
            <w:shd w:val="clear" w:color="auto" w:fill="auto"/>
          </w:tcPr>
          <w:p w14:paraId="2003B39E" w14:textId="77777777" w:rsidR="00D36F7D" w:rsidRPr="00CE203F" w:rsidRDefault="00D36F7D" w:rsidP="00CE203F">
            <w:pPr>
              <w:pStyle w:val="Tabletext"/>
            </w:pPr>
            <w:r w:rsidRPr="00CE203F">
              <w:rPr>
                <w:b/>
              </w:rPr>
              <w:t>Stop warfarin</w:t>
            </w:r>
            <w:r w:rsidRPr="00CE203F">
              <w:t xml:space="preserve">. Start DOAC when </w:t>
            </w:r>
            <w:r w:rsidRPr="00CE203F">
              <w:rPr>
                <w:b/>
              </w:rPr>
              <w:t xml:space="preserve">INR ≤2.5 </w:t>
            </w:r>
            <w:r w:rsidRPr="00CE203F">
              <w:t>- See additional guidance overleaf</w:t>
            </w:r>
          </w:p>
          <w:p w14:paraId="25AC8CC7" w14:textId="490E682C" w:rsidR="00D36F7D" w:rsidRPr="00CE203F" w:rsidRDefault="00D36F7D" w:rsidP="00CE203F">
            <w:pPr>
              <w:pStyle w:val="Tabletext"/>
              <w:rPr>
                <w:b/>
              </w:rPr>
            </w:pPr>
            <w:r w:rsidRPr="00CE203F">
              <w:t xml:space="preserve">(from </w:t>
            </w:r>
            <w:hyperlink r:id="rId26" w:history="1">
              <w:r w:rsidRPr="00CE203F">
                <w:rPr>
                  <w:rStyle w:val="Hyperlink"/>
                </w:rPr>
                <w:t>European Heart Rhythm Association guidance on non-vitamin K antagonist oral anticoagulants in patients with atrial fibrillation</w:t>
              </w:r>
            </w:hyperlink>
            <w:r w:rsidRPr="00CE203F">
              <w:t>)</w:t>
            </w:r>
          </w:p>
        </w:tc>
        <w:tc>
          <w:tcPr>
            <w:tcW w:w="1125" w:type="pct"/>
            <w:shd w:val="clear" w:color="auto" w:fill="auto"/>
          </w:tcPr>
          <w:p w14:paraId="5AF27C64" w14:textId="77777777" w:rsidR="00D36F7D" w:rsidRPr="00CE203F" w:rsidRDefault="00D36F7D" w:rsidP="00CE203F">
            <w:pPr>
              <w:pStyle w:val="Tabletext"/>
            </w:pPr>
            <w:r w:rsidRPr="00CE203F">
              <w:rPr>
                <w:b/>
              </w:rPr>
              <w:t>Stop warfarin</w:t>
            </w:r>
            <w:r w:rsidRPr="00CE203F">
              <w:t xml:space="preserve">. Start DOAC when </w:t>
            </w:r>
            <w:r w:rsidRPr="00CE203F">
              <w:rPr>
                <w:b/>
              </w:rPr>
              <w:t xml:space="preserve">INR ≤2.5 </w:t>
            </w:r>
            <w:r w:rsidRPr="00CE203F">
              <w:t>- See additional guidance overleaf</w:t>
            </w:r>
          </w:p>
          <w:p w14:paraId="67A1734D" w14:textId="239ADF19" w:rsidR="00D36F7D" w:rsidRPr="00CE203F" w:rsidRDefault="00D36F7D" w:rsidP="00CE203F">
            <w:pPr>
              <w:pStyle w:val="Tabletext"/>
              <w:rPr>
                <w:b/>
                <w:color w:val="383746"/>
                <w:shd w:val="clear" w:color="auto" w:fill="F8F8F8"/>
              </w:rPr>
            </w:pPr>
            <w:r w:rsidRPr="00CE203F">
              <w:t xml:space="preserve">(from </w:t>
            </w:r>
            <w:hyperlink r:id="rId27" w:history="1">
              <w:r w:rsidRPr="00CE203F">
                <w:rPr>
                  <w:rStyle w:val="Hyperlink"/>
                </w:rPr>
                <w:t>European Heart Rhythm Association guidance on non-vitamin K antagonist oral anticoagulants in patients with atrial fibrillation</w:t>
              </w:r>
            </w:hyperlink>
            <w:r w:rsidRPr="00CE203F">
              <w:t>)</w:t>
            </w:r>
          </w:p>
        </w:tc>
        <w:tc>
          <w:tcPr>
            <w:tcW w:w="1064" w:type="pct"/>
            <w:shd w:val="clear" w:color="auto" w:fill="auto"/>
          </w:tcPr>
          <w:p w14:paraId="178D4E2E" w14:textId="77777777" w:rsidR="00D36F7D" w:rsidRPr="00CE203F" w:rsidRDefault="00D36F7D" w:rsidP="00CE203F">
            <w:pPr>
              <w:pStyle w:val="Tabletext"/>
            </w:pPr>
            <w:r w:rsidRPr="00CE203F">
              <w:rPr>
                <w:b/>
              </w:rPr>
              <w:t>Stop warfarin</w:t>
            </w:r>
            <w:r w:rsidRPr="00CE203F">
              <w:t xml:space="preserve">. Start DOAC when </w:t>
            </w:r>
            <w:r w:rsidRPr="00CE203F">
              <w:rPr>
                <w:b/>
              </w:rPr>
              <w:t xml:space="preserve">INR ≤2.5 </w:t>
            </w:r>
            <w:r w:rsidRPr="00CE203F">
              <w:t>- See additional guidance overleaf</w:t>
            </w:r>
          </w:p>
          <w:p w14:paraId="37D135FA" w14:textId="22FCFB14" w:rsidR="00D36F7D" w:rsidRPr="00CE203F" w:rsidRDefault="00D36F7D" w:rsidP="00CE203F">
            <w:pPr>
              <w:pStyle w:val="Tabletext"/>
              <w:rPr>
                <w:b/>
                <w:color w:val="383746"/>
                <w:shd w:val="clear" w:color="auto" w:fill="F8F8F8"/>
              </w:rPr>
            </w:pPr>
            <w:r w:rsidRPr="00CE203F">
              <w:t xml:space="preserve">(from </w:t>
            </w:r>
            <w:hyperlink r:id="rId28" w:history="1">
              <w:r w:rsidRPr="00CE203F">
                <w:rPr>
                  <w:rStyle w:val="Hyperlink"/>
                </w:rPr>
                <w:t>European Heart Rhythm Association guidance on non-vitamin K antagonist oral anticoagulants in patients with atrial fibrillation</w:t>
              </w:r>
            </w:hyperlink>
            <w:r w:rsidRPr="00CE203F">
              <w:t>)</w:t>
            </w:r>
          </w:p>
        </w:tc>
      </w:tr>
      <w:tr w:rsidR="00D36F7D" w:rsidRPr="00D36F7D" w14:paraId="6FB3149E" w14:textId="77777777" w:rsidTr="00D36F7D">
        <w:tc>
          <w:tcPr>
            <w:tcW w:w="748" w:type="pct"/>
            <w:shd w:val="clear" w:color="auto" w:fill="auto"/>
          </w:tcPr>
          <w:p w14:paraId="45D65BE5" w14:textId="588144C3" w:rsidR="00D36F7D" w:rsidRPr="00CE203F" w:rsidRDefault="00D36F7D" w:rsidP="00CE203F">
            <w:pPr>
              <w:pStyle w:val="Tableheading"/>
              <w:keepNext w:val="0"/>
            </w:pPr>
            <w:r w:rsidRPr="00CE203F">
              <w:t>Baseline checks</w:t>
            </w:r>
          </w:p>
        </w:tc>
        <w:tc>
          <w:tcPr>
            <w:tcW w:w="1032" w:type="pct"/>
            <w:shd w:val="clear" w:color="auto" w:fill="auto"/>
          </w:tcPr>
          <w:p w14:paraId="1DB50C7D" w14:textId="77777777" w:rsidR="00D36F7D" w:rsidRPr="00D36F7D" w:rsidRDefault="00D36F7D" w:rsidP="00D36F7D">
            <w:pPr>
              <w:pStyle w:val="Tabletext"/>
            </w:pPr>
            <w:r w:rsidRPr="00D36F7D">
              <w:t>Renal function (</w:t>
            </w:r>
            <w:proofErr w:type="spellStart"/>
            <w:r w:rsidRPr="00D36F7D">
              <w:t>CrCl</w:t>
            </w:r>
            <w:proofErr w:type="spellEnd"/>
            <w:r w:rsidRPr="00D36F7D">
              <w:t>)- serum creatinine (Cr) and bodyweight, full blood count (FBC), liver function tests (LFTs). Use results from last 3 months if stable.</w:t>
            </w:r>
          </w:p>
          <w:p w14:paraId="4B904006" w14:textId="45ACD287" w:rsidR="00D36F7D" w:rsidRPr="00D36F7D" w:rsidRDefault="00D36F7D" w:rsidP="00D36F7D">
            <w:pPr>
              <w:pStyle w:val="Tabletext"/>
            </w:pPr>
            <w:r w:rsidRPr="00D36F7D">
              <w:t>If for AF: CHA2DS2VASC and HASBLED scores.</w:t>
            </w:r>
          </w:p>
        </w:tc>
        <w:tc>
          <w:tcPr>
            <w:tcW w:w="1031" w:type="pct"/>
            <w:shd w:val="clear" w:color="auto" w:fill="auto"/>
          </w:tcPr>
          <w:p w14:paraId="64FFC8B3" w14:textId="77777777" w:rsidR="00D36F7D" w:rsidRPr="00D36F7D" w:rsidRDefault="00D36F7D" w:rsidP="00D36F7D">
            <w:pPr>
              <w:pStyle w:val="Tabletext"/>
            </w:pPr>
            <w:r w:rsidRPr="00D36F7D">
              <w:t>Renal function (</w:t>
            </w:r>
            <w:proofErr w:type="spellStart"/>
            <w:r w:rsidRPr="00D36F7D">
              <w:t>CrCl</w:t>
            </w:r>
            <w:proofErr w:type="spellEnd"/>
            <w:r w:rsidRPr="00D36F7D">
              <w:t>)- serum creatinine (Cr) and bodyweight, full blood count (FBC), liver function tests (LFTs). Use results from last 3 months if stable.</w:t>
            </w:r>
          </w:p>
          <w:p w14:paraId="77F50C3B" w14:textId="43C368B9" w:rsidR="00D36F7D" w:rsidRPr="00D36F7D" w:rsidRDefault="00D36F7D" w:rsidP="00D36F7D">
            <w:pPr>
              <w:pStyle w:val="Tabletext"/>
            </w:pPr>
            <w:r w:rsidRPr="00D36F7D">
              <w:t>If for AF: CHA2DS2VASC and HASBLED scores.</w:t>
            </w:r>
          </w:p>
        </w:tc>
        <w:tc>
          <w:tcPr>
            <w:tcW w:w="1125" w:type="pct"/>
            <w:shd w:val="clear" w:color="auto" w:fill="auto"/>
          </w:tcPr>
          <w:p w14:paraId="4923D07D" w14:textId="77777777" w:rsidR="00D36F7D" w:rsidRPr="00D36F7D" w:rsidRDefault="00D36F7D" w:rsidP="00D36F7D">
            <w:pPr>
              <w:pStyle w:val="Tabletext"/>
            </w:pPr>
            <w:r w:rsidRPr="00D36F7D">
              <w:t>Renal function (</w:t>
            </w:r>
            <w:proofErr w:type="spellStart"/>
            <w:r w:rsidRPr="00D36F7D">
              <w:t>CrCl</w:t>
            </w:r>
            <w:proofErr w:type="spellEnd"/>
            <w:r w:rsidRPr="00D36F7D">
              <w:t>)- serum creatinine (Cr) and bodyweight, full blood count (FBC), liver function tests (LFTs). Use results from last 3 months if stable.</w:t>
            </w:r>
          </w:p>
          <w:p w14:paraId="0EE31C69" w14:textId="7E021762" w:rsidR="00D36F7D" w:rsidRPr="00D36F7D" w:rsidRDefault="00D36F7D" w:rsidP="00D36F7D">
            <w:pPr>
              <w:pStyle w:val="Tabletext"/>
            </w:pPr>
            <w:r w:rsidRPr="00D36F7D">
              <w:t>If for AF: CHA2DS2VASC and HASBLED scores.</w:t>
            </w:r>
          </w:p>
        </w:tc>
        <w:tc>
          <w:tcPr>
            <w:tcW w:w="1064" w:type="pct"/>
            <w:shd w:val="clear" w:color="auto" w:fill="auto"/>
          </w:tcPr>
          <w:p w14:paraId="60048AAD" w14:textId="77777777" w:rsidR="00D36F7D" w:rsidRPr="00D36F7D" w:rsidRDefault="00D36F7D" w:rsidP="00D36F7D">
            <w:pPr>
              <w:pStyle w:val="Tabletext"/>
            </w:pPr>
            <w:r w:rsidRPr="00D36F7D">
              <w:t>Renal function (</w:t>
            </w:r>
            <w:proofErr w:type="spellStart"/>
            <w:r w:rsidRPr="00D36F7D">
              <w:t>CrCl</w:t>
            </w:r>
            <w:proofErr w:type="spellEnd"/>
            <w:r w:rsidRPr="00D36F7D">
              <w:t>)- serum creatinine (Cr) and bodyweight, full blood count (FBC), liver function tests (LFTs). Use results from last 3 months if stable.</w:t>
            </w:r>
          </w:p>
          <w:p w14:paraId="39C5AE0E" w14:textId="2948F92C" w:rsidR="00D36F7D" w:rsidRPr="00D36F7D" w:rsidRDefault="00D36F7D" w:rsidP="00D36F7D">
            <w:pPr>
              <w:pStyle w:val="Tabletext"/>
            </w:pPr>
            <w:r w:rsidRPr="00D36F7D">
              <w:t>If for AF: CHA2DS2VASC and HASBLED scores.</w:t>
            </w:r>
          </w:p>
        </w:tc>
      </w:tr>
      <w:tr w:rsidR="00F42E9C" w:rsidRPr="00D36F7D" w14:paraId="45096B79" w14:textId="77777777" w:rsidTr="00D36F7D">
        <w:tc>
          <w:tcPr>
            <w:tcW w:w="748" w:type="pct"/>
            <w:shd w:val="clear" w:color="auto" w:fill="auto"/>
          </w:tcPr>
          <w:p w14:paraId="4CBE5967" w14:textId="20940DC6" w:rsidR="00F42E9C" w:rsidRPr="00D36F7D" w:rsidRDefault="00F42E9C" w:rsidP="00CE203F">
            <w:pPr>
              <w:pStyle w:val="Tableheading"/>
              <w:keepNext w:val="0"/>
            </w:pPr>
            <w:r w:rsidRPr="00D36F7D">
              <w:rPr>
                <w:shd w:val="clear" w:color="auto" w:fill="F8F8F8"/>
              </w:rPr>
              <w:t>Dosing in non-</w:t>
            </w:r>
            <w:r w:rsidRPr="00CE203F">
              <w:t>valvular</w:t>
            </w:r>
            <w:r w:rsidRPr="00D36F7D">
              <w:t xml:space="preserve"> </w:t>
            </w:r>
            <w:r w:rsidRPr="00D36F7D">
              <w:rPr>
                <w:shd w:val="clear" w:color="auto" w:fill="F8F8F8"/>
              </w:rPr>
              <w:t>AF</w:t>
            </w:r>
          </w:p>
          <w:p w14:paraId="3D78AC6B" w14:textId="77777777" w:rsidR="00F42E9C" w:rsidRPr="00CE203F" w:rsidRDefault="00F42E9C" w:rsidP="00CE203F">
            <w:pPr>
              <w:pStyle w:val="Tableheading"/>
              <w:keepNext w:val="0"/>
              <w:rPr>
                <w:b w:val="0"/>
                <w:bCs/>
              </w:rPr>
            </w:pPr>
            <w:r w:rsidRPr="00CE203F">
              <w:rPr>
                <w:b w:val="0"/>
                <w:bCs/>
              </w:rPr>
              <w:t xml:space="preserve">(lifelong unless </w:t>
            </w:r>
            <w:proofErr w:type="spellStart"/>
            <w:proofErr w:type="gramStart"/>
            <w:r w:rsidRPr="00CE203F">
              <w:rPr>
                <w:b w:val="0"/>
                <w:bCs/>
              </w:rPr>
              <w:t>risk:benefit</w:t>
            </w:r>
            <w:proofErr w:type="spellEnd"/>
            <w:proofErr w:type="gramEnd"/>
            <w:r w:rsidRPr="00CE203F">
              <w:rPr>
                <w:b w:val="0"/>
                <w:bCs/>
              </w:rPr>
              <w:t xml:space="preserve"> of anticoagulation therapy changes)</w:t>
            </w:r>
          </w:p>
        </w:tc>
        <w:tc>
          <w:tcPr>
            <w:tcW w:w="1032" w:type="pct"/>
            <w:shd w:val="clear" w:color="auto" w:fill="auto"/>
          </w:tcPr>
          <w:p w14:paraId="597B6334" w14:textId="6AE13015" w:rsidR="00F42E9C" w:rsidRPr="00CE203F" w:rsidRDefault="00F42E9C" w:rsidP="00CE203F">
            <w:pPr>
              <w:pStyle w:val="Tabletext"/>
              <w:rPr>
                <w:b/>
                <w:bCs/>
              </w:rPr>
            </w:pPr>
            <w:r w:rsidRPr="00CE203F">
              <w:rPr>
                <w:b/>
                <w:bCs/>
              </w:rPr>
              <w:t>Prescribe apixaban 5mg twice daily</w:t>
            </w:r>
          </w:p>
          <w:p w14:paraId="55791165" w14:textId="6F9CAA0F" w:rsidR="00F42E9C" w:rsidRPr="00CE203F" w:rsidRDefault="00F42E9C" w:rsidP="00CE203F">
            <w:pPr>
              <w:pStyle w:val="Tabletext"/>
            </w:pPr>
            <w:r w:rsidRPr="00CE203F">
              <w:rPr>
                <w:b/>
                <w:bCs/>
              </w:rPr>
              <w:t>Reduce dose to 2.5mg twice daily if</w:t>
            </w:r>
            <w:r w:rsidRPr="00CE203F">
              <w:t xml:space="preserve"> at least 2 of the following characteristics: age 80 years or older, body weight 60 kg or less, or serum creatinine 133 </w:t>
            </w:r>
            <w:proofErr w:type="spellStart"/>
            <w:r w:rsidRPr="00CE203F">
              <w:t>micromol</w:t>
            </w:r>
            <w:proofErr w:type="spellEnd"/>
            <w:r w:rsidRPr="00CE203F">
              <w:t xml:space="preserve">/l or more, or if exclusive criteria of </w:t>
            </w:r>
            <w:proofErr w:type="spellStart"/>
            <w:r w:rsidRPr="00CE203F">
              <w:t>CrCl</w:t>
            </w:r>
            <w:proofErr w:type="spellEnd"/>
            <w:r w:rsidRPr="00CE203F">
              <w:t xml:space="preserve"> 15 to 29 ml/min.</w:t>
            </w:r>
          </w:p>
        </w:tc>
        <w:tc>
          <w:tcPr>
            <w:tcW w:w="1031" w:type="pct"/>
            <w:shd w:val="clear" w:color="auto" w:fill="auto"/>
          </w:tcPr>
          <w:p w14:paraId="209D354C" w14:textId="5FCE17ED" w:rsidR="00F42E9C" w:rsidRPr="00CE203F" w:rsidRDefault="00F42E9C" w:rsidP="00CE203F">
            <w:pPr>
              <w:pStyle w:val="Tabletext"/>
              <w:rPr>
                <w:b/>
                <w:bCs/>
              </w:rPr>
            </w:pPr>
            <w:r w:rsidRPr="00CE203F">
              <w:rPr>
                <w:b/>
                <w:bCs/>
              </w:rPr>
              <w:t xml:space="preserve">Prescribe </w:t>
            </w:r>
            <w:proofErr w:type="spellStart"/>
            <w:r w:rsidRPr="00CE203F">
              <w:rPr>
                <w:b/>
                <w:bCs/>
              </w:rPr>
              <w:t>edoxaban</w:t>
            </w:r>
            <w:proofErr w:type="spellEnd"/>
            <w:r w:rsidRPr="00CE203F">
              <w:rPr>
                <w:b/>
                <w:bCs/>
              </w:rPr>
              <w:t xml:space="preserve"> 60mg once daily</w:t>
            </w:r>
          </w:p>
          <w:p w14:paraId="62967B17" w14:textId="4832E32E" w:rsidR="00F42E9C" w:rsidRPr="00CE203F" w:rsidRDefault="00F42E9C" w:rsidP="00CE203F">
            <w:pPr>
              <w:pStyle w:val="Tabletext"/>
            </w:pPr>
            <w:r w:rsidRPr="00CE203F">
              <w:rPr>
                <w:b/>
                <w:bCs/>
              </w:rPr>
              <w:t>Reduce dose to 30mg once daily if:</w:t>
            </w:r>
            <w:r w:rsidRPr="00CE203F">
              <w:t xml:space="preserve"> body weight under 61kg, or </w:t>
            </w:r>
            <w:proofErr w:type="spellStart"/>
            <w:r w:rsidRPr="00CE203F">
              <w:t>CrCl</w:t>
            </w:r>
            <w:proofErr w:type="spellEnd"/>
            <w:r w:rsidRPr="00CE203F">
              <w:t xml:space="preserve"> under 50ml/min, or co-prescribed with ciclosporin, dronedarone, erythromycin or ketoconazole.</w:t>
            </w:r>
          </w:p>
        </w:tc>
        <w:tc>
          <w:tcPr>
            <w:tcW w:w="1125" w:type="pct"/>
            <w:shd w:val="clear" w:color="auto" w:fill="auto"/>
          </w:tcPr>
          <w:p w14:paraId="41FD03A9" w14:textId="6342339A" w:rsidR="00F42E9C" w:rsidRPr="00CE203F" w:rsidRDefault="00F42E9C" w:rsidP="00CE203F">
            <w:pPr>
              <w:pStyle w:val="Tabletext"/>
              <w:rPr>
                <w:b/>
                <w:bCs/>
              </w:rPr>
            </w:pPr>
            <w:r w:rsidRPr="00CE203F">
              <w:rPr>
                <w:b/>
                <w:bCs/>
              </w:rPr>
              <w:t>Prescribe rivaroxaban 20mg once daily</w:t>
            </w:r>
          </w:p>
          <w:p w14:paraId="1B429A7E" w14:textId="4BEA068B" w:rsidR="00F42E9C" w:rsidRPr="00CE203F" w:rsidRDefault="00F42E9C" w:rsidP="00CE203F">
            <w:pPr>
              <w:pStyle w:val="Tabletext"/>
            </w:pPr>
            <w:r w:rsidRPr="00CE203F">
              <w:rPr>
                <w:b/>
                <w:bCs/>
              </w:rPr>
              <w:t>Reduce dose to 15mg once daily if</w:t>
            </w:r>
            <w:r w:rsidRPr="00CE203F">
              <w:t xml:space="preserve"> </w:t>
            </w:r>
            <w:proofErr w:type="spellStart"/>
            <w:r w:rsidRPr="00CE203F">
              <w:t>CrCl</w:t>
            </w:r>
            <w:proofErr w:type="spellEnd"/>
            <w:r w:rsidRPr="00CE203F">
              <w:t xml:space="preserve"> under 50ml/min in NVAF patients only.</w:t>
            </w:r>
          </w:p>
        </w:tc>
        <w:tc>
          <w:tcPr>
            <w:tcW w:w="1064" w:type="pct"/>
            <w:shd w:val="clear" w:color="auto" w:fill="auto"/>
          </w:tcPr>
          <w:p w14:paraId="652D914A" w14:textId="798D1A3D" w:rsidR="00F42E9C" w:rsidRPr="00CE203F" w:rsidRDefault="00F42E9C" w:rsidP="00CE203F">
            <w:pPr>
              <w:pStyle w:val="Tabletext"/>
            </w:pPr>
            <w:r w:rsidRPr="00CE203F">
              <w:rPr>
                <w:b/>
                <w:bCs/>
              </w:rPr>
              <w:t>Prescribe dabigatran 150mg twice daily if</w:t>
            </w:r>
            <w:r w:rsidRPr="00CE203F">
              <w:t xml:space="preserve"> aged under 75 years, </w:t>
            </w:r>
            <w:proofErr w:type="spellStart"/>
            <w:r w:rsidRPr="00CE203F">
              <w:t>CrCl</w:t>
            </w:r>
            <w:proofErr w:type="spellEnd"/>
            <w:r w:rsidRPr="00CE203F">
              <w:t xml:space="preserve"> over 50ml/min, low risk of bleeding (weight under 50kg with close clinical surveillance)</w:t>
            </w:r>
          </w:p>
          <w:p w14:paraId="202BA298" w14:textId="51E37C14" w:rsidR="00F42E9C" w:rsidRPr="00CE203F" w:rsidRDefault="00F42E9C" w:rsidP="00CE203F">
            <w:pPr>
              <w:pStyle w:val="Tabletext"/>
            </w:pPr>
            <w:r w:rsidRPr="00CE203F">
              <w:t xml:space="preserve">Reduce dose to 110mg twice daily if aged over 80 years or prescribed verapamil. Consider 110mg twice daily based on individual assessment of thrombotic risk and the risk of bleeding in patients aged between 75 and 80 years or with </w:t>
            </w:r>
            <w:proofErr w:type="spellStart"/>
            <w:r w:rsidRPr="00CE203F">
              <w:t>CrCl</w:t>
            </w:r>
            <w:proofErr w:type="spellEnd"/>
            <w:r w:rsidRPr="00CE203F">
              <w:t xml:space="preserve"> under 50ml/min or with increased risk of bleeding (including </w:t>
            </w:r>
            <w:r w:rsidRPr="00CE203F">
              <w:lastRenderedPageBreak/>
              <w:t>gastritis, oesophagitis, gastro-oesophageal reflux).</w:t>
            </w:r>
          </w:p>
        </w:tc>
      </w:tr>
      <w:tr w:rsidR="00F42E9C" w:rsidRPr="00D36F7D" w14:paraId="70D42B91" w14:textId="77777777" w:rsidTr="00D36F7D">
        <w:tc>
          <w:tcPr>
            <w:tcW w:w="748" w:type="pct"/>
            <w:shd w:val="clear" w:color="auto" w:fill="auto"/>
          </w:tcPr>
          <w:p w14:paraId="156CDB06" w14:textId="77777777" w:rsidR="00F42E9C" w:rsidRPr="00CE203F" w:rsidRDefault="00F42E9C" w:rsidP="00CE203F">
            <w:pPr>
              <w:pStyle w:val="Tableheading"/>
              <w:keepNext w:val="0"/>
            </w:pPr>
            <w:r w:rsidRPr="00CE203F">
              <w:lastRenderedPageBreak/>
              <w:t>Dosing in patients with DVT / PE</w:t>
            </w:r>
          </w:p>
          <w:p w14:paraId="0C1B3566" w14:textId="77777777" w:rsidR="00F42E9C" w:rsidRPr="00CE203F" w:rsidRDefault="00F42E9C" w:rsidP="00CE203F">
            <w:pPr>
              <w:pStyle w:val="Tableheading"/>
              <w:keepNext w:val="0"/>
              <w:rPr>
                <w:b w:val="0"/>
                <w:bCs/>
              </w:rPr>
            </w:pPr>
            <w:r w:rsidRPr="00CE203F">
              <w:rPr>
                <w:b w:val="0"/>
                <w:bCs/>
              </w:rPr>
              <w:t>(</w:t>
            </w:r>
            <w:proofErr w:type="gramStart"/>
            <w:r w:rsidRPr="00CE203F">
              <w:rPr>
                <w:b w:val="0"/>
                <w:bCs/>
              </w:rPr>
              <w:t>loading</w:t>
            </w:r>
            <w:proofErr w:type="gramEnd"/>
            <w:r w:rsidRPr="00CE203F">
              <w:rPr>
                <w:b w:val="0"/>
                <w:bCs/>
              </w:rPr>
              <w:t xml:space="preserve"> doses are not required if patient has been stabilised on warfarin)</w:t>
            </w:r>
          </w:p>
        </w:tc>
        <w:tc>
          <w:tcPr>
            <w:tcW w:w="1032" w:type="pct"/>
            <w:shd w:val="clear" w:color="auto" w:fill="auto"/>
          </w:tcPr>
          <w:p w14:paraId="0ADC30B9" w14:textId="77777777" w:rsidR="00F42E9C" w:rsidRPr="00CE203F" w:rsidRDefault="00F42E9C" w:rsidP="00CE203F">
            <w:pPr>
              <w:pStyle w:val="Tabletext"/>
            </w:pPr>
            <w:r w:rsidRPr="00CE203F">
              <w:t xml:space="preserve">Dose is 5mg twice daily (use with caution if </w:t>
            </w:r>
            <w:proofErr w:type="spellStart"/>
            <w:r w:rsidRPr="00CE203F">
              <w:t>CrCl</w:t>
            </w:r>
            <w:proofErr w:type="spellEnd"/>
            <w:r w:rsidRPr="00CE203F">
              <w:t xml:space="preserve"> under 30ml/min). </w:t>
            </w:r>
          </w:p>
          <w:p w14:paraId="3C45D232" w14:textId="77777777" w:rsidR="00F42E9C" w:rsidRPr="00CE203F" w:rsidRDefault="00F42E9C" w:rsidP="00CE203F">
            <w:pPr>
              <w:pStyle w:val="Tabletext"/>
            </w:pPr>
            <w:r w:rsidRPr="00CE203F">
              <w:t xml:space="preserve">Check intended duration of therapy. </w:t>
            </w:r>
          </w:p>
          <w:p w14:paraId="5D9D895A" w14:textId="77777777" w:rsidR="00F42E9C" w:rsidRPr="00CE203F" w:rsidRDefault="00F42E9C" w:rsidP="00CE203F">
            <w:pPr>
              <w:pStyle w:val="Tabletext"/>
            </w:pPr>
            <w:r w:rsidRPr="00CE203F">
              <w:t>For long term prevention of recurrence 2.5mg twice daily (after 6 months’ treatment dose).</w:t>
            </w:r>
          </w:p>
        </w:tc>
        <w:tc>
          <w:tcPr>
            <w:tcW w:w="1031" w:type="pct"/>
            <w:shd w:val="clear" w:color="auto" w:fill="auto"/>
          </w:tcPr>
          <w:p w14:paraId="7FAB1C94" w14:textId="77777777" w:rsidR="00F42E9C" w:rsidRPr="00CE203F" w:rsidRDefault="00F42E9C" w:rsidP="00CE203F">
            <w:pPr>
              <w:pStyle w:val="Tabletext"/>
            </w:pPr>
            <w:r w:rsidRPr="00CE203F">
              <w:t xml:space="preserve">Dosing as above. </w:t>
            </w:r>
          </w:p>
          <w:p w14:paraId="627466A1" w14:textId="77777777" w:rsidR="00F42E9C" w:rsidRPr="00CE203F" w:rsidRDefault="00F42E9C" w:rsidP="00CE203F">
            <w:pPr>
              <w:pStyle w:val="Tabletext"/>
            </w:pPr>
            <w:r w:rsidRPr="00CE203F">
              <w:t>Check intended duration of therapy.</w:t>
            </w:r>
          </w:p>
        </w:tc>
        <w:tc>
          <w:tcPr>
            <w:tcW w:w="1125" w:type="pct"/>
            <w:shd w:val="clear" w:color="auto" w:fill="auto"/>
          </w:tcPr>
          <w:p w14:paraId="26921AE9" w14:textId="77777777" w:rsidR="00F42E9C" w:rsidRPr="00CE203F" w:rsidRDefault="00F42E9C" w:rsidP="00CE203F">
            <w:pPr>
              <w:pStyle w:val="Tabletext"/>
            </w:pPr>
            <w:r w:rsidRPr="00CE203F">
              <w:t xml:space="preserve">Dose is 20mg daily (consider 15mg dose if </w:t>
            </w:r>
            <w:proofErr w:type="spellStart"/>
            <w:r w:rsidRPr="00CE203F">
              <w:t>CrCl</w:t>
            </w:r>
            <w:proofErr w:type="spellEnd"/>
            <w:r w:rsidRPr="00CE203F">
              <w:t xml:space="preserve"> under 50ml/min and bleeding risk outweighs VTE risk). </w:t>
            </w:r>
          </w:p>
          <w:p w14:paraId="4E1F301D" w14:textId="77777777" w:rsidR="00F42E9C" w:rsidRPr="00CE203F" w:rsidRDefault="00F42E9C" w:rsidP="00CE203F">
            <w:pPr>
              <w:pStyle w:val="Tabletext"/>
            </w:pPr>
            <w:r w:rsidRPr="00CE203F">
              <w:t xml:space="preserve">Check intended duration of therapy. </w:t>
            </w:r>
          </w:p>
          <w:p w14:paraId="1D85AFB7" w14:textId="77777777" w:rsidR="00F42E9C" w:rsidRPr="00CE203F" w:rsidRDefault="00F42E9C" w:rsidP="00CE203F">
            <w:pPr>
              <w:pStyle w:val="Tabletext"/>
            </w:pPr>
            <w:r w:rsidRPr="00CE203F">
              <w:t>For long term prevention of recurrence 10mg daily could be considered.</w:t>
            </w:r>
          </w:p>
        </w:tc>
        <w:tc>
          <w:tcPr>
            <w:tcW w:w="1064" w:type="pct"/>
            <w:shd w:val="clear" w:color="auto" w:fill="auto"/>
          </w:tcPr>
          <w:p w14:paraId="2CB2B787" w14:textId="77777777" w:rsidR="00F42E9C" w:rsidRPr="00CE203F" w:rsidRDefault="00F42E9C" w:rsidP="00CE203F">
            <w:pPr>
              <w:pStyle w:val="Tabletext"/>
            </w:pPr>
            <w:r w:rsidRPr="00CE203F">
              <w:t xml:space="preserve">Dosing as above. </w:t>
            </w:r>
          </w:p>
          <w:p w14:paraId="5F378AC9" w14:textId="77777777" w:rsidR="00F42E9C" w:rsidRPr="00CE203F" w:rsidRDefault="00F42E9C" w:rsidP="00CE203F">
            <w:pPr>
              <w:pStyle w:val="Tabletext"/>
            </w:pPr>
            <w:r w:rsidRPr="00CE203F">
              <w:t>Check intended duration of therapy.</w:t>
            </w:r>
          </w:p>
        </w:tc>
      </w:tr>
      <w:tr w:rsidR="00D36F7D" w:rsidRPr="00D36F7D" w14:paraId="4B111826" w14:textId="77777777" w:rsidTr="00D36F7D">
        <w:tc>
          <w:tcPr>
            <w:tcW w:w="748" w:type="pct"/>
            <w:shd w:val="clear" w:color="auto" w:fill="auto"/>
          </w:tcPr>
          <w:p w14:paraId="5A293BB3" w14:textId="0A1A0F97" w:rsidR="00D36F7D" w:rsidRPr="00CE203F" w:rsidRDefault="00D36F7D" w:rsidP="00CE203F">
            <w:pPr>
              <w:pStyle w:val="Tableheading"/>
              <w:keepNext w:val="0"/>
            </w:pPr>
            <w:r w:rsidRPr="00CE203F">
              <w:t>Duration of therapy for DVT/PE</w:t>
            </w:r>
          </w:p>
        </w:tc>
        <w:tc>
          <w:tcPr>
            <w:tcW w:w="1032" w:type="pct"/>
            <w:shd w:val="clear" w:color="auto" w:fill="auto"/>
          </w:tcPr>
          <w:p w14:paraId="263C733F" w14:textId="77777777" w:rsidR="00D36F7D" w:rsidRPr="00CE203F" w:rsidRDefault="00D36F7D" w:rsidP="00CE203F">
            <w:pPr>
              <w:pStyle w:val="Tabletext"/>
            </w:pPr>
            <w:r w:rsidRPr="00CE203F">
              <w:t>For a provoked DVT/PE: 3 months treatment if provoking factors have been addressed.</w:t>
            </w:r>
          </w:p>
          <w:p w14:paraId="7AE4229B" w14:textId="781DFA58" w:rsidR="00D36F7D" w:rsidRPr="00CE203F" w:rsidRDefault="00D36F7D" w:rsidP="00CE203F">
            <w:pPr>
              <w:pStyle w:val="Tabletext"/>
            </w:pPr>
            <w:r w:rsidRPr="00CE203F">
              <w:t>For unprovoked DVT/PE or recurrent DVT/PE: At least 6 months treatment dose followed by prophylaxis dosing as indicated/advised.</w:t>
            </w:r>
          </w:p>
        </w:tc>
        <w:tc>
          <w:tcPr>
            <w:tcW w:w="1031" w:type="pct"/>
            <w:shd w:val="clear" w:color="auto" w:fill="auto"/>
          </w:tcPr>
          <w:p w14:paraId="7162845D" w14:textId="77777777" w:rsidR="00D36F7D" w:rsidRPr="00CE203F" w:rsidRDefault="00D36F7D" w:rsidP="00CE203F">
            <w:pPr>
              <w:pStyle w:val="Tabletext"/>
            </w:pPr>
            <w:r w:rsidRPr="00CE203F">
              <w:t>For a provoked DVT/PE: 3 months treatment if provoking factors have been addressed.</w:t>
            </w:r>
          </w:p>
          <w:p w14:paraId="1D1099AF" w14:textId="6B7CC75D" w:rsidR="00D36F7D" w:rsidRPr="00CE203F" w:rsidRDefault="00D36F7D" w:rsidP="00CE203F">
            <w:pPr>
              <w:pStyle w:val="Tabletext"/>
            </w:pPr>
            <w:r w:rsidRPr="00CE203F">
              <w:t>For unprovoked DVT/PE or recurrent DVT/PE: At least 6 months treatment dose followed by prophylaxis dosing as indicated/advised.</w:t>
            </w:r>
          </w:p>
        </w:tc>
        <w:tc>
          <w:tcPr>
            <w:tcW w:w="1125" w:type="pct"/>
            <w:shd w:val="clear" w:color="auto" w:fill="auto"/>
          </w:tcPr>
          <w:p w14:paraId="1CB4EC28" w14:textId="77777777" w:rsidR="00D36F7D" w:rsidRPr="00CE203F" w:rsidRDefault="00D36F7D" w:rsidP="00CE203F">
            <w:pPr>
              <w:pStyle w:val="Tabletext"/>
            </w:pPr>
            <w:r w:rsidRPr="00CE203F">
              <w:t>For a provoked DVT/PE: 3 months treatment if provoking factors have been addressed.</w:t>
            </w:r>
          </w:p>
          <w:p w14:paraId="20E48E57" w14:textId="63D4768C" w:rsidR="00D36F7D" w:rsidRPr="00CE203F" w:rsidRDefault="00D36F7D" w:rsidP="00CE203F">
            <w:pPr>
              <w:pStyle w:val="Tabletext"/>
            </w:pPr>
            <w:r w:rsidRPr="00CE203F">
              <w:t>For unprovoked DVT/PE or recurrent DVT/PE: At least 6 months treatment dose followed by prophylaxis dosing as indicated/advised.</w:t>
            </w:r>
          </w:p>
        </w:tc>
        <w:tc>
          <w:tcPr>
            <w:tcW w:w="1064" w:type="pct"/>
            <w:shd w:val="clear" w:color="auto" w:fill="auto"/>
          </w:tcPr>
          <w:p w14:paraId="0233BDA8" w14:textId="77777777" w:rsidR="00D36F7D" w:rsidRPr="00CE203F" w:rsidRDefault="00D36F7D" w:rsidP="00CE203F">
            <w:pPr>
              <w:pStyle w:val="Tabletext"/>
            </w:pPr>
            <w:r w:rsidRPr="00CE203F">
              <w:t>For a provoked DVT/PE: 3 months treatment if provoking factors have been addressed.</w:t>
            </w:r>
          </w:p>
          <w:p w14:paraId="7B35692F" w14:textId="15FF93DA" w:rsidR="00D36F7D" w:rsidRPr="00CE203F" w:rsidRDefault="00D36F7D" w:rsidP="00CE203F">
            <w:pPr>
              <w:pStyle w:val="Tabletext"/>
            </w:pPr>
            <w:r w:rsidRPr="00CE203F">
              <w:t>For unprovoked DVT/PE or recurrent DVT/PE: At least 6 months treatment dose followed by prophylaxis dosing as indicated/advised.</w:t>
            </w:r>
          </w:p>
        </w:tc>
      </w:tr>
      <w:tr w:rsidR="00F42E9C" w:rsidRPr="00D36F7D" w14:paraId="271F8AEF" w14:textId="77777777" w:rsidTr="00D36F7D">
        <w:tc>
          <w:tcPr>
            <w:tcW w:w="748" w:type="pct"/>
            <w:shd w:val="clear" w:color="auto" w:fill="auto"/>
          </w:tcPr>
          <w:p w14:paraId="562FD1E5" w14:textId="77777777" w:rsidR="00F42E9C" w:rsidRPr="00CE203F" w:rsidRDefault="00F42E9C" w:rsidP="00CE203F">
            <w:pPr>
              <w:pStyle w:val="Tableheading"/>
              <w:keepNext w:val="0"/>
            </w:pPr>
            <w:r w:rsidRPr="00CE203F">
              <w:t>Contraindications</w:t>
            </w:r>
          </w:p>
        </w:tc>
        <w:tc>
          <w:tcPr>
            <w:tcW w:w="1032" w:type="pct"/>
            <w:shd w:val="clear" w:color="auto" w:fill="auto"/>
          </w:tcPr>
          <w:p w14:paraId="03941A35" w14:textId="77777777" w:rsidR="00F42E9C" w:rsidRPr="00CE203F" w:rsidRDefault="00F42E9C" w:rsidP="00CE203F">
            <w:pPr>
              <w:pStyle w:val="Tabletext"/>
            </w:pPr>
            <w:proofErr w:type="spellStart"/>
            <w:r w:rsidRPr="00CE203F">
              <w:t>CrCl</w:t>
            </w:r>
            <w:proofErr w:type="spellEnd"/>
            <w:r w:rsidRPr="00CE203F">
              <w:t xml:space="preserve"> &lt;15ml/min</w:t>
            </w:r>
          </w:p>
        </w:tc>
        <w:tc>
          <w:tcPr>
            <w:tcW w:w="1031" w:type="pct"/>
            <w:shd w:val="clear" w:color="auto" w:fill="auto"/>
          </w:tcPr>
          <w:p w14:paraId="63BE18D3" w14:textId="77777777" w:rsidR="00F42E9C" w:rsidRPr="00CE203F" w:rsidRDefault="00F42E9C" w:rsidP="00CE203F">
            <w:pPr>
              <w:pStyle w:val="Tabletext"/>
            </w:pPr>
            <w:proofErr w:type="spellStart"/>
            <w:r w:rsidRPr="00CE203F">
              <w:t>CrCl</w:t>
            </w:r>
            <w:proofErr w:type="spellEnd"/>
            <w:r w:rsidRPr="00CE203F">
              <w:t xml:space="preserve"> &lt;15ml/min</w:t>
            </w:r>
          </w:p>
        </w:tc>
        <w:tc>
          <w:tcPr>
            <w:tcW w:w="1125" w:type="pct"/>
            <w:shd w:val="clear" w:color="auto" w:fill="auto"/>
          </w:tcPr>
          <w:p w14:paraId="0ECB51FD" w14:textId="77777777" w:rsidR="00F42E9C" w:rsidRPr="00CE203F" w:rsidRDefault="00F42E9C" w:rsidP="00CE203F">
            <w:pPr>
              <w:pStyle w:val="Tabletext"/>
            </w:pPr>
            <w:proofErr w:type="spellStart"/>
            <w:r w:rsidRPr="00CE203F">
              <w:t>CrCl</w:t>
            </w:r>
            <w:proofErr w:type="spellEnd"/>
            <w:r w:rsidRPr="00CE203F">
              <w:t xml:space="preserve"> &lt;15ml/min</w:t>
            </w:r>
          </w:p>
        </w:tc>
        <w:tc>
          <w:tcPr>
            <w:tcW w:w="1064" w:type="pct"/>
            <w:shd w:val="clear" w:color="auto" w:fill="auto"/>
          </w:tcPr>
          <w:p w14:paraId="291509A3" w14:textId="77777777" w:rsidR="00F42E9C" w:rsidRPr="00CE203F" w:rsidRDefault="00F42E9C" w:rsidP="00CE203F">
            <w:pPr>
              <w:pStyle w:val="Tabletext"/>
            </w:pPr>
            <w:proofErr w:type="spellStart"/>
            <w:r w:rsidRPr="00CE203F">
              <w:t>CrCl</w:t>
            </w:r>
            <w:proofErr w:type="spellEnd"/>
            <w:r w:rsidRPr="00CE203F">
              <w:t xml:space="preserve"> &lt;30ml/min</w:t>
            </w:r>
          </w:p>
        </w:tc>
      </w:tr>
      <w:tr w:rsidR="00F42E9C" w:rsidRPr="00D36F7D" w14:paraId="151BB91D" w14:textId="77777777" w:rsidTr="00D36F7D">
        <w:tc>
          <w:tcPr>
            <w:tcW w:w="748" w:type="pct"/>
            <w:shd w:val="clear" w:color="auto" w:fill="auto"/>
          </w:tcPr>
          <w:p w14:paraId="0021A8B4" w14:textId="77777777" w:rsidR="00F42E9C" w:rsidRPr="00CE203F" w:rsidRDefault="00F42E9C" w:rsidP="00CE203F">
            <w:pPr>
              <w:pStyle w:val="Tableheading"/>
              <w:keepNext w:val="0"/>
            </w:pPr>
            <w:r w:rsidRPr="00CE203F">
              <w:t>Cautions</w:t>
            </w:r>
          </w:p>
          <w:p w14:paraId="2651A582" w14:textId="77777777" w:rsidR="00F42E9C" w:rsidRPr="00CE203F" w:rsidRDefault="00F42E9C" w:rsidP="00CE203F">
            <w:pPr>
              <w:pStyle w:val="Tableheading"/>
              <w:keepNext w:val="0"/>
              <w:rPr>
                <w:b w:val="0"/>
                <w:bCs/>
              </w:rPr>
            </w:pPr>
            <w:r w:rsidRPr="00CE203F">
              <w:rPr>
                <w:b w:val="0"/>
                <w:bCs/>
              </w:rPr>
              <w:t>See also individual SPCSs</w:t>
            </w:r>
          </w:p>
        </w:tc>
        <w:tc>
          <w:tcPr>
            <w:tcW w:w="1032" w:type="pct"/>
            <w:shd w:val="clear" w:color="auto" w:fill="auto"/>
          </w:tcPr>
          <w:p w14:paraId="254734D6" w14:textId="62E6F851" w:rsidR="00F42E9C" w:rsidRPr="00CE203F" w:rsidRDefault="00CE203F" w:rsidP="00CE203F">
            <w:pPr>
              <w:pStyle w:val="Tabletext"/>
            </w:pPr>
            <w:r>
              <w:t>-</w:t>
            </w:r>
          </w:p>
        </w:tc>
        <w:tc>
          <w:tcPr>
            <w:tcW w:w="1031" w:type="pct"/>
            <w:shd w:val="clear" w:color="auto" w:fill="auto"/>
          </w:tcPr>
          <w:p w14:paraId="37C2B7FB" w14:textId="77777777" w:rsidR="00F42E9C" w:rsidRPr="00CE203F" w:rsidRDefault="00F42E9C" w:rsidP="00CE203F">
            <w:pPr>
              <w:pStyle w:val="Tabletext"/>
            </w:pPr>
            <w:proofErr w:type="spellStart"/>
            <w:r w:rsidRPr="00CE203F">
              <w:t>CrCl</w:t>
            </w:r>
            <w:proofErr w:type="spellEnd"/>
            <w:r w:rsidRPr="00CE203F">
              <w:t xml:space="preserve"> above 95ml/min</w:t>
            </w:r>
          </w:p>
        </w:tc>
        <w:tc>
          <w:tcPr>
            <w:tcW w:w="1125" w:type="pct"/>
            <w:shd w:val="clear" w:color="auto" w:fill="auto"/>
          </w:tcPr>
          <w:p w14:paraId="4418E18A" w14:textId="77777777" w:rsidR="00F42E9C" w:rsidRPr="00CE203F" w:rsidRDefault="00F42E9C" w:rsidP="00CE203F">
            <w:pPr>
              <w:pStyle w:val="Tabletext"/>
            </w:pPr>
            <w:proofErr w:type="spellStart"/>
            <w:r w:rsidRPr="00CE203F">
              <w:t>CrCl</w:t>
            </w:r>
            <w:proofErr w:type="spellEnd"/>
            <w:r w:rsidRPr="00CE203F">
              <w:t xml:space="preserve"> under 30ml/min. Take with or</w:t>
            </w:r>
          </w:p>
          <w:p w14:paraId="09913E4F" w14:textId="77777777" w:rsidR="00F42E9C" w:rsidRPr="00CE203F" w:rsidRDefault="00F42E9C" w:rsidP="00CE203F">
            <w:pPr>
              <w:pStyle w:val="Tabletext"/>
            </w:pPr>
            <w:r w:rsidRPr="00CE203F">
              <w:t>after food (15mg and 20mg doses).</w:t>
            </w:r>
          </w:p>
        </w:tc>
        <w:tc>
          <w:tcPr>
            <w:tcW w:w="1064" w:type="pct"/>
            <w:shd w:val="clear" w:color="auto" w:fill="auto"/>
          </w:tcPr>
          <w:p w14:paraId="241001A4" w14:textId="77777777" w:rsidR="00F42E9C" w:rsidRPr="00CE203F" w:rsidRDefault="00F42E9C" w:rsidP="00CE203F">
            <w:pPr>
              <w:pStyle w:val="Tabletext"/>
            </w:pPr>
            <w:r w:rsidRPr="00CE203F">
              <w:t>Do not use in a standard medication compliance aids (MCA)</w:t>
            </w:r>
          </w:p>
        </w:tc>
      </w:tr>
      <w:tr w:rsidR="00F42E9C" w:rsidRPr="00F42E9C" w14:paraId="6091F930" w14:textId="77777777" w:rsidTr="00D36F7D">
        <w:tc>
          <w:tcPr>
            <w:tcW w:w="748" w:type="pct"/>
            <w:shd w:val="clear" w:color="auto" w:fill="auto"/>
          </w:tcPr>
          <w:p w14:paraId="63993A6A" w14:textId="77777777" w:rsidR="00F42E9C" w:rsidRPr="00D36F7D" w:rsidRDefault="00F42E9C" w:rsidP="00CE203F">
            <w:pPr>
              <w:pStyle w:val="Tableheading"/>
              <w:keepNext w:val="0"/>
            </w:pPr>
            <w:r w:rsidRPr="00CE203F">
              <w:t>Interactions</w:t>
            </w:r>
          </w:p>
          <w:p w14:paraId="0862ED25" w14:textId="77777777" w:rsidR="00F42E9C" w:rsidRPr="00CE203F" w:rsidRDefault="00F42E9C" w:rsidP="00CE203F">
            <w:pPr>
              <w:pStyle w:val="Tableheading"/>
              <w:keepNext w:val="0"/>
              <w:rPr>
                <w:b w:val="0"/>
                <w:shd w:val="clear" w:color="auto" w:fill="F8F8F8"/>
              </w:rPr>
            </w:pPr>
            <w:r w:rsidRPr="00CE203F">
              <w:rPr>
                <w:b w:val="0"/>
              </w:rPr>
              <w:t xml:space="preserve">Check </w:t>
            </w:r>
            <w:hyperlink r:id="rId29" w:history="1">
              <w:r w:rsidRPr="00CE203F">
                <w:rPr>
                  <w:rStyle w:val="Hyperlink"/>
                  <w:b w:val="0"/>
                </w:rPr>
                <w:t>BNF</w:t>
              </w:r>
            </w:hyperlink>
            <w:r w:rsidRPr="00CE203F">
              <w:rPr>
                <w:b w:val="0"/>
                <w:color w:val="0462C1"/>
                <w:w w:val="95"/>
              </w:rPr>
              <w:t xml:space="preserve"> </w:t>
            </w:r>
            <w:r w:rsidRPr="00CE203F">
              <w:rPr>
                <w:b w:val="0"/>
                <w:w w:val="95"/>
              </w:rPr>
              <w:t xml:space="preserve">and </w:t>
            </w:r>
            <w:hyperlink r:id="rId30" w:history="1">
              <w:r w:rsidRPr="00CE203F">
                <w:rPr>
                  <w:rStyle w:val="Hyperlink"/>
                  <w:b w:val="0"/>
                </w:rPr>
                <w:t>SPC</w:t>
              </w:r>
            </w:hyperlink>
          </w:p>
        </w:tc>
        <w:tc>
          <w:tcPr>
            <w:tcW w:w="1032" w:type="pct"/>
            <w:shd w:val="clear" w:color="auto" w:fill="auto"/>
          </w:tcPr>
          <w:p w14:paraId="563068DA" w14:textId="77777777" w:rsidR="00F42E9C" w:rsidRPr="00CE203F" w:rsidRDefault="00F42E9C" w:rsidP="00CE203F">
            <w:pPr>
              <w:pStyle w:val="Tabletext"/>
            </w:pPr>
            <w:r w:rsidRPr="00CE203F">
              <w:t xml:space="preserve">Ketoconazole, itraconazole, voriconazole, </w:t>
            </w:r>
            <w:proofErr w:type="spellStart"/>
            <w:r w:rsidRPr="00CE203F">
              <w:t>posaconazole</w:t>
            </w:r>
            <w:proofErr w:type="spellEnd"/>
            <w:r w:rsidRPr="00CE203F">
              <w:t>, ritonavir - not recommended (see SPC for full details) Rifampicin, phenytoin, carbamazepine, phenobarbital, St. John's wort – use with caution</w:t>
            </w:r>
          </w:p>
          <w:p w14:paraId="1A3346D1" w14:textId="77777777" w:rsidR="00F42E9C" w:rsidRPr="00CE203F" w:rsidRDefault="00F42E9C" w:rsidP="00CE203F">
            <w:pPr>
              <w:pStyle w:val="Tabletext"/>
            </w:pPr>
            <w:r w:rsidRPr="00CE203F">
              <w:t>Do not use apixaban with patients on strong enzyme inducers for acute VTE</w:t>
            </w:r>
          </w:p>
          <w:p w14:paraId="3C308EAD" w14:textId="77777777" w:rsidR="00F42E9C" w:rsidRPr="00CE203F" w:rsidRDefault="00F42E9C" w:rsidP="00CE203F">
            <w:pPr>
              <w:pStyle w:val="Tabletext"/>
            </w:pPr>
            <w:r w:rsidRPr="00CE203F">
              <w:t>treatment</w:t>
            </w:r>
          </w:p>
        </w:tc>
        <w:tc>
          <w:tcPr>
            <w:tcW w:w="1031" w:type="pct"/>
            <w:shd w:val="clear" w:color="auto" w:fill="auto"/>
          </w:tcPr>
          <w:p w14:paraId="2DDE5904" w14:textId="77777777" w:rsidR="00F42E9C" w:rsidRPr="00CE203F" w:rsidRDefault="00F42E9C" w:rsidP="00CE203F">
            <w:pPr>
              <w:pStyle w:val="Tabletext"/>
            </w:pPr>
            <w:r w:rsidRPr="00CE203F">
              <w:t>Rifampicin, phenytoin, carbamazepine, phenobarbital or St. John's wort – use with caution</w:t>
            </w:r>
          </w:p>
          <w:p w14:paraId="4609C3F2" w14:textId="77777777" w:rsidR="00F42E9C" w:rsidRPr="00CE203F" w:rsidRDefault="00F42E9C" w:rsidP="00CE203F">
            <w:pPr>
              <w:pStyle w:val="Tabletext"/>
            </w:pPr>
            <w:r w:rsidRPr="00CE203F">
              <w:t>Ciclosporin, dronedarone, erythromycin, ketoconazole – reduce dose as above</w:t>
            </w:r>
          </w:p>
          <w:p w14:paraId="7FAEFE6A" w14:textId="77777777" w:rsidR="00F42E9C" w:rsidRPr="00CE203F" w:rsidRDefault="00F42E9C" w:rsidP="00CE203F">
            <w:pPr>
              <w:pStyle w:val="Tabletext"/>
            </w:pPr>
            <w:r w:rsidRPr="00CE203F">
              <w:t xml:space="preserve">(See BNF and SPC for </w:t>
            </w:r>
            <w:proofErr w:type="spellStart"/>
            <w:r w:rsidRPr="00CE203F">
              <w:t>edoxaban</w:t>
            </w:r>
            <w:proofErr w:type="spellEnd"/>
            <w:r w:rsidRPr="00CE203F">
              <w:t xml:space="preserve"> for further information)</w:t>
            </w:r>
          </w:p>
        </w:tc>
        <w:tc>
          <w:tcPr>
            <w:tcW w:w="1125" w:type="pct"/>
            <w:shd w:val="clear" w:color="auto" w:fill="auto"/>
          </w:tcPr>
          <w:p w14:paraId="77633119" w14:textId="77777777" w:rsidR="00F42E9C" w:rsidRPr="00CE203F" w:rsidRDefault="00F42E9C" w:rsidP="00CE203F">
            <w:pPr>
              <w:pStyle w:val="Tabletext"/>
            </w:pPr>
            <w:r w:rsidRPr="00CE203F">
              <w:t xml:space="preserve">Ketoconazole, itraconazole, voriconazole, </w:t>
            </w:r>
            <w:proofErr w:type="spellStart"/>
            <w:r w:rsidRPr="00CE203F">
              <w:t>posaconazole</w:t>
            </w:r>
            <w:proofErr w:type="spellEnd"/>
            <w:r w:rsidRPr="00CE203F">
              <w:t xml:space="preserve">, ritonavir, dronedarone – not recommended (see SPC for full details) </w:t>
            </w:r>
          </w:p>
          <w:p w14:paraId="335F9161" w14:textId="77777777" w:rsidR="00F42E9C" w:rsidRPr="00CE203F" w:rsidRDefault="00F42E9C" w:rsidP="00CE203F">
            <w:pPr>
              <w:pStyle w:val="Tabletext"/>
            </w:pPr>
            <w:r w:rsidRPr="00CE203F">
              <w:t>Rifampicin, phenytoin, carbamazepine, phenobarbital, St. John's wort – should be avoided.</w:t>
            </w:r>
          </w:p>
        </w:tc>
        <w:tc>
          <w:tcPr>
            <w:tcW w:w="1064" w:type="pct"/>
            <w:shd w:val="clear" w:color="auto" w:fill="auto"/>
          </w:tcPr>
          <w:p w14:paraId="74591578" w14:textId="77777777" w:rsidR="00F42E9C" w:rsidRPr="00CE203F" w:rsidRDefault="00F42E9C" w:rsidP="00CE203F">
            <w:pPr>
              <w:pStyle w:val="Tabletext"/>
            </w:pPr>
            <w:r w:rsidRPr="00CE203F">
              <w:t xml:space="preserve">Ketoconazole, ciclosporin, itraconazole, tacrolimus, </w:t>
            </w:r>
            <w:r w:rsidRPr="00CE203F">
              <w:lastRenderedPageBreak/>
              <w:t xml:space="preserve">dronedarone - contraindicated (See SPC for full details) </w:t>
            </w:r>
          </w:p>
          <w:p w14:paraId="189997A1" w14:textId="77777777" w:rsidR="00F42E9C" w:rsidRPr="00CE203F" w:rsidRDefault="00F42E9C" w:rsidP="00CE203F">
            <w:pPr>
              <w:pStyle w:val="Tabletext"/>
            </w:pPr>
            <w:r w:rsidRPr="00CE203F">
              <w:t xml:space="preserve">Rifampicin, St John’s wort, carbamazepine, phenytoin –should be avoided </w:t>
            </w:r>
          </w:p>
          <w:p w14:paraId="575AB8DA" w14:textId="77777777" w:rsidR="00F42E9C" w:rsidRPr="00CE203F" w:rsidRDefault="00F42E9C" w:rsidP="00CE203F">
            <w:pPr>
              <w:pStyle w:val="Tabletext"/>
            </w:pPr>
            <w:r w:rsidRPr="00CE203F">
              <w:t xml:space="preserve">Amiodarone, quinidine, ticagrelor, </w:t>
            </w:r>
            <w:proofErr w:type="spellStart"/>
            <w:r w:rsidRPr="00CE203F">
              <w:t>posaconazole</w:t>
            </w:r>
            <w:proofErr w:type="spellEnd"/>
            <w:r w:rsidRPr="00CE203F">
              <w:t xml:space="preserve"> – use with caution</w:t>
            </w:r>
          </w:p>
          <w:p w14:paraId="4E727A55" w14:textId="77777777" w:rsidR="00F42E9C" w:rsidRPr="00CE203F" w:rsidRDefault="00F42E9C" w:rsidP="00CE203F">
            <w:pPr>
              <w:pStyle w:val="Tabletext"/>
            </w:pPr>
            <w:r w:rsidRPr="00CE203F">
              <w:t xml:space="preserve">Verapamil (use reduced dose). </w:t>
            </w:r>
          </w:p>
          <w:p w14:paraId="18CBE161" w14:textId="77777777" w:rsidR="00F42E9C" w:rsidRPr="00CE203F" w:rsidRDefault="00F42E9C" w:rsidP="00CE203F">
            <w:pPr>
              <w:pStyle w:val="Tabletext"/>
            </w:pPr>
            <w:r w:rsidRPr="00CE203F">
              <w:t>Antidepressants: SSRIs and SNRIs - increased bleeding risk</w:t>
            </w:r>
          </w:p>
        </w:tc>
      </w:tr>
    </w:tbl>
    <w:p w14:paraId="53B6224C" w14:textId="3729B92A" w:rsidR="00F42E9C" w:rsidRDefault="00F42E9C" w:rsidP="00F42E9C">
      <w:pPr>
        <w:rPr>
          <w:lang w:eastAsia="en-US" w:bidi="ar-SA"/>
        </w:rPr>
      </w:pPr>
    </w:p>
    <w:p w14:paraId="56B1626A" w14:textId="77777777" w:rsidR="00F42E9C" w:rsidRPr="00F42E9C" w:rsidRDefault="00F42E9C" w:rsidP="00F42E9C">
      <w:pPr>
        <w:rPr>
          <w:lang w:eastAsia="en-US" w:bidi="ar-SA"/>
        </w:rPr>
      </w:pPr>
    </w:p>
    <w:p w14:paraId="41972021" w14:textId="77777777" w:rsidR="00F91519" w:rsidRDefault="00F91519">
      <w:pPr>
        <w:spacing w:line="230" w:lineRule="exact"/>
        <w:rPr>
          <w:sz w:val="20"/>
        </w:rPr>
        <w:sectPr w:rsidR="00F91519">
          <w:footerReference w:type="default" r:id="rId31"/>
          <w:pgSz w:w="16850" w:h="11910" w:orient="landscape"/>
          <w:pgMar w:top="1020" w:right="580" w:bottom="720" w:left="1140" w:header="0" w:footer="529" w:gutter="0"/>
          <w:cols w:space="720"/>
        </w:sectPr>
      </w:pPr>
    </w:p>
    <w:p w14:paraId="5DB87052" w14:textId="2D2B1415" w:rsidR="00F91519" w:rsidRDefault="009A25CA">
      <w:pPr>
        <w:pStyle w:val="Heading2"/>
        <w:spacing w:before="69"/>
        <w:ind w:left="100"/>
      </w:pPr>
      <w:r>
        <w:lastRenderedPageBreak/>
        <w:t xml:space="preserve">Pragmatic </w:t>
      </w:r>
      <w:r w:rsidR="00F42E9C">
        <w:t>approach to stopping warfarin and starting</w:t>
      </w:r>
      <w:r>
        <w:t xml:space="preserve"> DOAC in relation to the INR</w:t>
      </w:r>
    </w:p>
    <w:p w14:paraId="07B9EDEF" w14:textId="77777777" w:rsidR="00F91519" w:rsidRDefault="009A25CA">
      <w:pPr>
        <w:pStyle w:val="BodyText"/>
        <w:spacing w:before="87"/>
        <w:ind w:left="100"/>
      </w:pPr>
      <w:r>
        <w:rPr>
          <w:color w:val="221F1F"/>
        </w:rPr>
        <w:t>SPCs recommend different INRs at which to initiate DOACs after stopping warfarin:</w:t>
      </w:r>
    </w:p>
    <w:p w14:paraId="02E98BC5" w14:textId="682FB0F5" w:rsidR="00F91519" w:rsidRDefault="00F42E9C">
      <w:pPr>
        <w:pStyle w:val="ListParagraph"/>
        <w:numPr>
          <w:ilvl w:val="0"/>
          <w:numId w:val="5"/>
        </w:numPr>
        <w:tabs>
          <w:tab w:val="left" w:pos="953"/>
        </w:tabs>
        <w:spacing w:before="129"/>
        <w:rPr>
          <w:sz w:val="24"/>
        </w:rPr>
      </w:pPr>
      <w:r>
        <w:rPr>
          <w:color w:val="221F1F"/>
          <w:sz w:val="24"/>
        </w:rPr>
        <w:t xml:space="preserve">apixaban and dabigatran: start </w:t>
      </w:r>
      <w:r w:rsidR="009A25CA">
        <w:rPr>
          <w:color w:val="221F1F"/>
          <w:sz w:val="24"/>
        </w:rPr>
        <w:t xml:space="preserve">when INR </w:t>
      </w:r>
      <w:r w:rsidR="00FD391D">
        <w:rPr>
          <w:color w:val="221F1F"/>
          <w:sz w:val="24"/>
        </w:rPr>
        <w:t>less than</w:t>
      </w:r>
      <w:r w:rsidR="009A25CA">
        <w:rPr>
          <w:color w:val="221F1F"/>
          <w:spacing w:val="-11"/>
          <w:sz w:val="24"/>
        </w:rPr>
        <w:t xml:space="preserve"> </w:t>
      </w:r>
      <w:r w:rsidR="009A25CA">
        <w:rPr>
          <w:color w:val="221F1F"/>
          <w:sz w:val="24"/>
        </w:rPr>
        <w:t>2</w:t>
      </w:r>
    </w:p>
    <w:p w14:paraId="54A3C2E8" w14:textId="177BEAE1" w:rsidR="00F91519" w:rsidRDefault="00F42E9C">
      <w:pPr>
        <w:pStyle w:val="ListParagraph"/>
        <w:numPr>
          <w:ilvl w:val="0"/>
          <w:numId w:val="5"/>
        </w:numPr>
        <w:tabs>
          <w:tab w:val="left" w:pos="953"/>
        </w:tabs>
        <w:spacing w:before="40"/>
        <w:rPr>
          <w:sz w:val="24"/>
        </w:rPr>
      </w:pPr>
      <w:proofErr w:type="spellStart"/>
      <w:r>
        <w:rPr>
          <w:color w:val="221F1F"/>
          <w:sz w:val="24"/>
        </w:rPr>
        <w:t>edoxaban</w:t>
      </w:r>
      <w:proofErr w:type="spellEnd"/>
      <w:r>
        <w:rPr>
          <w:color w:val="221F1F"/>
          <w:sz w:val="24"/>
        </w:rPr>
        <w:t xml:space="preserve">: start </w:t>
      </w:r>
      <w:r w:rsidR="009A25CA">
        <w:rPr>
          <w:color w:val="221F1F"/>
          <w:sz w:val="24"/>
        </w:rPr>
        <w:t xml:space="preserve">when INR </w:t>
      </w:r>
      <w:r w:rsidR="00FD391D">
        <w:rPr>
          <w:color w:val="221F1F"/>
          <w:sz w:val="24"/>
        </w:rPr>
        <w:t>less than</w:t>
      </w:r>
      <w:r w:rsidR="009A25CA">
        <w:rPr>
          <w:color w:val="221F1F"/>
          <w:spacing w:val="-4"/>
          <w:sz w:val="24"/>
        </w:rPr>
        <w:t xml:space="preserve"> </w:t>
      </w:r>
      <w:r w:rsidR="009A25CA">
        <w:rPr>
          <w:color w:val="221F1F"/>
          <w:sz w:val="24"/>
        </w:rPr>
        <w:t>2.5</w:t>
      </w:r>
    </w:p>
    <w:p w14:paraId="29791CEB" w14:textId="4C24C65F" w:rsidR="00F91519" w:rsidRDefault="00F42E9C">
      <w:pPr>
        <w:pStyle w:val="ListParagraph"/>
        <w:numPr>
          <w:ilvl w:val="0"/>
          <w:numId w:val="5"/>
        </w:numPr>
        <w:tabs>
          <w:tab w:val="left" w:pos="953"/>
        </w:tabs>
        <w:spacing w:before="42"/>
        <w:rPr>
          <w:sz w:val="24"/>
        </w:rPr>
      </w:pPr>
      <w:r>
        <w:rPr>
          <w:color w:val="221F1F"/>
          <w:sz w:val="24"/>
        </w:rPr>
        <w:t xml:space="preserve">rivaroxaban: start </w:t>
      </w:r>
      <w:r w:rsidR="009A25CA">
        <w:rPr>
          <w:color w:val="221F1F"/>
          <w:sz w:val="24"/>
        </w:rPr>
        <w:t xml:space="preserve">when INR </w:t>
      </w:r>
      <w:r w:rsidR="00FD391D">
        <w:rPr>
          <w:color w:val="221F1F"/>
          <w:sz w:val="24"/>
        </w:rPr>
        <w:t>less than</w:t>
      </w:r>
      <w:r w:rsidR="009A25CA">
        <w:rPr>
          <w:color w:val="221F1F"/>
          <w:spacing w:val="-2"/>
          <w:sz w:val="24"/>
        </w:rPr>
        <w:t xml:space="preserve"> </w:t>
      </w:r>
      <w:r w:rsidR="009A25CA">
        <w:rPr>
          <w:color w:val="221F1F"/>
          <w:sz w:val="24"/>
        </w:rPr>
        <w:t>3</w:t>
      </w:r>
      <w:r>
        <w:rPr>
          <w:color w:val="221F1F"/>
          <w:sz w:val="24"/>
        </w:rPr>
        <w:t>.</w:t>
      </w:r>
    </w:p>
    <w:p w14:paraId="26573DA9" w14:textId="77777777" w:rsidR="00F91519" w:rsidRPr="00FF5CCA" w:rsidRDefault="00F91519" w:rsidP="00FF5CCA">
      <w:pPr>
        <w:pStyle w:val="BodyText"/>
      </w:pPr>
    </w:p>
    <w:p w14:paraId="7BE55182" w14:textId="77777777" w:rsidR="00F91519" w:rsidRDefault="009A25CA">
      <w:pPr>
        <w:pStyle w:val="BodyText"/>
        <w:spacing w:line="556" w:lineRule="auto"/>
        <w:ind w:left="100" w:right="271"/>
      </w:pPr>
      <w:r>
        <w:rPr>
          <w:color w:val="221F1F"/>
        </w:rPr>
        <w:t>This approach would require repeat INR checks daily until the required INR is achieved. EHRA guidance gives pragmatic guidance on when to start DOACs after stopping warfarin:</w:t>
      </w:r>
    </w:p>
    <w:p w14:paraId="2774F59E" w14:textId="5BB522DE" w:rsidR="00F91519" w:rsidRDefault="009A25CA">
      <w:pPr>
        <w:pStyle w:val="ListParagraph"/>
        <w:numPr>
          <w:ilvl w:val="0"/>
          <w:numId w:val="5"/>
        </w:numPr>
        <w:tabs>
          <w:tab w:val="left" w:pos="953"/>
          <w:tab w:val="left" w:pos="3700"/>
        </w:tabs>
        <w:spacing w:line="292" w:lineRule="exact"/>
        <w:rPr>
          <w:sz w:val="24"/>
        </w:rPr>
      </w:pPr>
      <w:r>
        <w:rPr>
          <w:color w:val="221F1F"/>
          <w:sz w:val="24"/>
        </w:rPr>
        <w:t>If INR</w:t>
      </w:r>
      <w:r>
        <w:rPr>
          <w:color w:val="221F1F"/>
          <w:spacing w:val="-1"/>
          <w:sz w:val="24"/>
        </w:rPr>
        <w:t xml:space="preserve"> </w:t>
      </w:r>
      <w:r w:rsidR="00FD391D">
        <w:rPr>
          <w:color w:val="221F1F"/>
          <w:spacing w:val="-1"/>
          <w:sz w:val="24"/>
        </w:rPr>
        <w:t>less than</w:t>
      </w:r>
      <w:r>
        <w:rPr>
          <w:color w:val="221F1F"/>
          <w:sz w:val="24"/>
        </w:rPr>
        <w:t xml:space="preserve"> 2:</w:t>
      </w:r>
      <w:r w:rsidR="00FD391D">
        <w:rPr>
          <w:color w:val="221F1F"/>
          <w:sz w:val="24"/>
        </w:rPr>
        <w:t xml:space="preserve"> </w:t>
      </w:r>
      <w:r w:rsidR="00F42E9C">
        <w:rPr>
          <w:color w:val="221F1F"/>
          <w:sz w:val="24"/>
        </w:rPr>
        <w:t>com</w:t>
      </w:r>
      <w:r>
        <w:rPr>
          <w:color w:val="221F1F"/>
          <w:sz w:val="24"/>
        </w:rPr>
        <w:t>mence DOAC that</w:t>
      </w:r>
      <w:r>
        <w:rPr>
          <w:color w:val="221F1F"/>
          <w:spacing w:val="-3"/>
          <w:sz w:val="24"/>
        </w:rPr>
        <w:t xml:space="preserve"> </w:t>
      </w:r>
      <w:r>
        <w:rPr>
          <w:color w:val="221F1F"/>
          <w:sz w:val="24"/>
        </w:rPr>
        <w:t>day</w:t>
      </w:r>
    </w:p>
    <w:p w14:paraId="4CFF7EF2" w14:textId="5FF503F6" w:rsidR="00F91519" w:rsidRDefault="009A25CA">
      <w:pPr>
        <w:pStyle w:val="ListParagraph"/>
        <w:numPr>
          <w:ilvl w:val="0"/>
          <w:numId w:val="5"/>
        </w:numPr>
        <w:tabs>
          <w:tab w:val="left" w:pos="953"/>
        </w:tabs>
        <w:spacing w:before="43"/>
        <w:rPr>
          <w:sz w:val="24"/>
        </w:rPr>
      </w:pPr>
      <w:r>
        <w:rPr>
          <w:color w:val="221F1F"/>
          <w:sz w:val="24"/>
        </w:rPr>
        <w:t xml:space="preserve">If INR between 2 and 2.5: </w:t>
      </w:r>
      <w:r w:rsidR="00F42E9C">
        <w:rPr>
          <w:color w:val="221F1F"/>
          <w:sz w:val="24"/>
        </w:rPr>
        <w:t xml:space="preserve">commence </w:t>
      </w:r>
      <w:r>
        <w:rPr>
          <w:color w:val="221F1F"/>
          <w:sz w:val="24"/>
        </w:rPr>
        <w:t>DOAC the next day (ideally) or the same</w:t>
      </w:r>
      <w:r>
        <w:rPr>
          <w:color w:val="221F1F"/>
          <w:spacing w:val="-26"/>
          <w:sz w:val="24"/>
        </w:rPr>
        <w:t xml:space="preserve"> </w:t>
      </w:r>
      <w:r>
        <w:rPr>
          <w:color w:val="221F1F"/>
          <w:sz w:val="24"/>
        </w:rPr>
        <w:t>day</w:t>
      </w:r>
    </w:p>
    <w:p w14:paraId="00B5EDDF" w14:textId="6BEFDF21" w:rsidR="00F91519" w:rsidRDefault="009A25CA">
      <w:pPr>
        <w:pStyle w:val="ListParagraph"/>
        <w:numPr>
          <w:ilvl w:val="0"/>
          <w:numId w:val="5"/>
        </w:numPr>
        <w:tabs>
          <w:tab w:val="left" w:pos="953"/>
        </w:tabs>
        <w:spacing w:before="42"/>
        <w:rPr>
          <w:sz w:val="24"/>
        </w:rPr>
      </w:pPr>
      <w:r>
        <w:rPr>
          <w:color w:val="221F1F"/>
          <w:sz w:val="24"/>
        </w:rPr>
        <w:t xml:space="preserve">If INR between 2.5 and 3: </w:t>
      </w:r>
      <w:r w:rsidR="00F42E9C">
        <w:rPr>
          <w:color w:val="221F1F"/>
          <w:sz w:val="24"/>
        </w:rPr>
        <w:t xml:space="preserve">withhold </w:t>
      </w:r>
      <w:r>
        <w:rPr>
          <w:color w:val="221F1F"/>
          <w:sz w:val="24"/>
        </w:rPr>
        <w:t>warfarin for 24-48 hours and then initiate</w:t>
      </w:r>
      <w:r>
        <w:rPr>
          <w:color w:val="221F1F"/>
          <w:spacing w:val="-26"/>
          <w:sz w:val="24"/>
        </w:rPr>
        <w:t xml:space="preserve"> </w:t>
      </w:r>
      <w:r>
        <w:rPr>
          <w:color w:val="221F1F"/>
          <w:sz w:val="24"/>
        </w:rPr>
        <w:t>DOAC</w:t>
      </w:r>
      <w:r w:rsidR="00F42E9C">
        <w:rPr>
          <w:color w:val="221F1F"/>
          <w:sz w:val="24"/>
        </w:rPr>
        <w:t>.</w:t>
      </w:r>
    </w:p>
    <w:p w14:paraId="5E734353" w14:textId="77777777" w:rsidR="00F91519" w:rsidRPr="00FF5CCA" w:rsidRDefault="00F91519" w:rsidP="00FF5CCA">
      <w:pPr>
        <w:pStyle w:val="BodyText"/>
      </w:pPr>
    </w:p>
    <w:p w14:paraId="06EAB3A7" w14:textId="3B4BA79E" w:rsidR="00F91519" w:rsidRDefault="00FF5CCA">
      <w:pPr>
        <w:pStyle w:val="BodyText"/>
        <w:ind w:left="100"/>
      </w:pPr>
      <w:r>
        <w:t xml:space="preserve">See </w:t>
      </w:r>
      <w:hyperlink r:id="rId32">
        <w:r>
          <w:rPr>
            <w:color w:val="0462C1"/>
            <w:u w:val="single" w:color="0462C1"/>
          </w:rPr>
          <w:t xml:space="preserve">Steffel et al. The 2018 European Heart Rhythm Association </w:t>
        </w:r>
        <w:r w:rsidR="00F42E9C">
          <w:rPr>
            <w:color w:val="0462C1"/>
            <w:u w:val="single" w:color="0462C1"/>
          </w:rPr>
          <w:t>practical g</w:t>
        </w:r>
        <w:r>
          <w:rPr>
            <w:color w:val="0462C1"/>
            <w:u w:val="single" w:color="0462C1"/>
          </w:rPr>
          <w:t>uide on the use of non-vitamin K antagonist oral anticoagulants in patients with atrial fibrillation</w:t>
        </w:r>
      </w:hyperlink>
    </w:p>
    <w:p w14:paraId="549F454A" w14:textId="77777777" w:rsidR="00F91519" w:rsidRDefault="00F91519" w:rsidP="00FF5CCA">
      <w:pPr>
        <w:pStyle w:val="BodyText"/>
        <w:spacing w:before="84"/>
        <w:ind w:left="100"/>
        <w:rPr>
          <w:sz w:val="23"/>
        </w:rPr>
      </w:pPr>
    </w:p>
    <w:p w14:paraId="7D321C65" w14:textId="0CB82A6B" w:rsidR="00F91519" w:rsidRDefault="009A25CA" w:rsidP="00A662AD">
      <w:pPr>
        <w:pStyle w:val="Caption"/>
        <w:spacing w:line="240" w:lineRule="auto"/>
      </w:pPr>
      <w:r>
        <w:t>Suggested process for safe switching from warfarin to a DOAC (</w:t>
      </w:r>
      <w:r w:rsidR="00F42E9C">
        <w:t>u</w:t>
      </w:r>
      <w:r>
        <w:t>ndertake steps remotely where possible)</w:t>
      </w:r>
    </w:p>
    <w:tbl>
      <w:tblPr>
        <w:tblStyle w:val="TableGrid"/>
        <w:tblW w:w="0" w:type="auto"/>
        <w:tblInd w:w="100" w:type="dxa"/>
        <w:tblLook w:val="04A0" w:firstRow="1" w:lastRow="0" w:firstColumn="1" w:lastColumn="0" w:noHBand="0" w:noVBand="1"/>
        <w:tblCaption w:val="Suggested process for safe switching from warfarin to a DOAC "/>
      </w:tblPr>
      <w:tblGrid>
        <w:gridCol w:w="9940"/>
      </w:tblGrid>
      <w:tr w:rsidR="00FF5CCA" w14:paraId="560BBDC7" w14:textId="77777777" w:rsidTr="00FF5CCA">
        <w:tc>
          <w:tcPr>
            <w:tcW w:w="10040" w:type="dxa"/>
          </w:tcPr>
          <w:p w14:paraId="7514E9BB" w14:textId="77777777" w:rsidR="00FF5CCA" w:rsidRDefault="00FF5CCA" w:rsidP="00F42E9C">
            <w:pPr>
              <w:pStyle w:val="Tabletext"/>
              <w:ind w:left="499" w:hanging="425"/>
            </w:pPr>
            <w:r>
              <w:t>1.</w:t>
            </w:r>
            <w:r>
              <w:tab/>
              <w:t>Check clinical system for recent U&amp;Es, LFTs and FBC (within last 3 months)</w:t>
            </w:r>
          </w:p>
          <w:p w14:paraId="3E57AD4F" w14:textId="54BB767A" w:rsidR="00FF5CCA" w:rsidRDefault="00FF5CCA" w:rsidP="00F42E9C">
            <w:pPr>
              <w:pStyle w:val="Tabletext"/>
              <w:ind w:left="499" w:hanging="425"/>
            </w:pPr>
            <w:r>
              <w:t>2.</w:t>
            </w:r>
            <w:r>
              <w:tab/>
              <w:t>At next INR visit – check INR, record weight, take bloods if not already available or are unstable</w:t>
            </w:r>
          </w:p>
          <w:p w14:paraId="44A08BA3" w14:textId="77777777" w:rsidR="00FF5CCA" w:rsidRDefault="00FF5CCA" w:rsidP="00F42E9C">
            <w:pPr>
              <w:pStyle w:val="Tabletext"/>
              <w:ind w:left="499" w:hanging="425"/>
            </w:pPr>
            <w:r>
              <w:t>3.</w:t>
            </w:r>
            <w:r>
              <w:tab/>
              <w:t>Calculate creatinine clearance (</w:t>
            </w:r>
            <w:proofErr w:type="spellStart"/>
            <w:r>
              <w:t>CrCl</w:t>
            </w:r>
            <w:proofErr w:type="spellEnd"/>
            <w:r>
              <w:t>)</w:t>
            </w:r>
          </w:p>
          <w:p w14:paraId="5E19C12F" w14:textId="77777777" w:rsidR="00FF5CCA" w:rsidRDefault="00FF5CCA" w:rsidP="00F42E9C">
            <w:pPr>
              <w:pStyle w:val="Tabletext"/>
              <w:ind w:left="499" w:hanging="425"/>
            </w:pPr>
            <w:r>
              <w:t>4.</w:t>
            </w:r>
            <w:r>
              <w:tab/>
              <w:t>Prescribe DOAC at appropriate dose and advise patient to obtain supplies</w:t>
            </w:r>
          </w:p>
          <w:p w14:paraId="49DA80F9" w14:textId="7C5CB090" w:rsidR="00FF5CCA" w:rsidRDefault="00FF5CCA" w:rsidP="00F42E9C">
            <w:pPr>
              <w:pStyle w:val="Tabletext"/>
              <w:ind w:left="499" w:hanging="425"/>
            </w:pPr>
            <w:r>
              <w:t>5.</w:t>
            </w:r>
            <w:r>
              <w:tab/>
              <w:t>Advise patient when to stop warfarin in relation to starting DOAC (INR should be less than 2.5 when DOAC is started)</w:t>
            </w:r>
          </w:p>
          <w:p w14:paraId="5E92ACB1" w14:textId="6BA25852" w:rsidR="00FF5CCA" w:rsidRDefault="00FF5CCA" w:rsidP="00F42E9C">
            <w:pPr>
              <w:pStyle w:val="Tabletext"/>
              <w:ind w:left="499" w:hanging="425"/>
            </w:pPr>
            <w:r>
              <w:t>6.</w:t>
            </w:r>
            <w:r>
              <w:tab/>
              <w:t xml:space="preserve">Provide written instructions and involve family members/carers where possible to minimise the risk of patients taking both warfarin and the DOAC concurrently. </w:t>
            </w:r>
            <w:proofErr w:type="gramStart"/>
            <w:r>
              <w:t>Particular care</w:t>
            </w:r>
            <w:proofErr w:type="gramEnd"/>
            <w:r>
              <w:t xml:space="preserve"> should be taken where patients are using medication compliance aids to minimise the risk of incorrect dosing</w:t>
            </w:r>
          </w:p>
          <w:p w14:paraId="3BF7F325" w14:textId="77777777" w:rsidR="00FF5CCA" w:rsidRDefault="00FF5CCA" w:rsidP="00F42E9C">
            <w:pPr>
              <w:pStyle w:val="Tabletext"/>
              <w:ind w:left="499" w:hanging="425"/>
            </w:pPr>
            <w:r>
              <w:t>7.</w:t>
            </w:r>
            <w:r>
              <w:tab/>
              <w:t>Provide an up-to-date Anticoagulant Alert card</w:t>
            </w:r>
          </w:p>
          <w:p w14:paraId="32379B0C" w14:textId="4E2320B9" w:rsidR="00FF5CCA" w:rsidRDefault="00FF5CCA" w:rsidP="00F42E9C">
            <w:pPr>
              <w:pStyle w:val="Tabletext"/>
              <w:ind w:left="499" w:hanging="425"/>
            </w:pPr>
            <w:r>
              <w:t>8.</w:t>
            </w:r>
            <w:r>
              <w:tab/>
              <w:t>Where the switch to a DOAC is undertaken outside the GP practice, provide accurate information relating to indication, baseline tests and monitoring requirements to allow primary care to safely take over prescribing responsibility</w:t>
            </w:r>
          </w:p>
          <w:p w14:paraId="39FDBB6B" w14:textId="1A43F593" w:rsidR="00FF5CCA" w:rsidRDefault="00FF5CCA" w:rsidP="00F42E9C">
            <w:pPr>
              <w:pStyle w:val="Tabletext"/>
              <w:ind w:left="499" w:hanging="425"/>
            </w:pPr>
            <w:r>
              <w:t>9.</w:t>
            </w:r>
            <w:r>
              <w:tab/>
              <w:t>Inform community nursing teams if they have been monitoring INR or administering warfarin</w:t>
            </w:r>
          </w:p>
        </w:tc>
      </w:tr>
    </w:tbl>
    <w:p w14:paraId="58BCFEA1" w14:textId="77777777" w:rsidR="00FF5CCA" w:rsidRDefault="00FF5CCA" w:rsidP="00FF5CCA">
      <w:pPr>
        <w:pStyle w:val="BodyText"/>
      </w:pPr>
    </w:p>
    <w:p w14:paraId="76E61174" w14:textId="77777777" w:rsidR="00F91519" w:rsidRDefault="009A25CA">
      <w:pPr>
        <w:pStyle w:val="BodyText"/>
        <w:spacing w:before="74" w:line="314" w:lineRule="auto"/>
        <w:ind w:left="100"/>
      </w:pPr>
      <w:r>
        <w:rPr>
          <w:color w:val="221F1F"/>
        </w:rPr>
        <w:t>Ensure local community pharmacies are made aware of the likely increase in the usage of DOACs locally</w:t>
      </w:r>
    </w:p>
    <w:p w14:paraId="7338969C" w14:textId="77777777" w:rsidR="00F91519" w:rsidRDefault="00F91519" w:rsidP="00A662AD">
      <w:pPr>
        <w:pStyle w:val="BodyText"/>
        <w:spacing w:before="2"/>
        <w:ind w:left="0"/>
      </w:pPr>
    </w:p>
    <w:p w14:paraId="5CF6C818" w14:textId="77777777" w:rsidR="00F91519" w:rsidRDefault="009A25CA">
      <w:pPr>
        <w:ind w:left="100"/>
        <w:rPr>
          <w:sz w:val="24"/>
        </w:rPr>
      </w:pPr>
      <w:r>
        <w:rPr>
          <w:b/>
          <w:color w:val="221F1F"/>
          <w:sz w:val="24"/>
        </w:rPr>
        <w:t>Counselling</w:t>
      </w:r>
      <w:r>
        <w:rPr>
          <w:i/>
          <w:color w:val="221F1F"/>
          <w:sz w:val="24"/>
        </w:rPr>
        <w:t xml:space="preserve">: </w:t>
      </w:r>
      <w:r>
        <w:rPr>
          <w:color w:val="221F1F"/>
          <w:sz w:val="24"/>
        </w:rPr>
        <w:t>See attached checklist</w:t>
      </w:r>
    </w:p>
    <w:p w14:paraId="02673071" w14:textId="77777777" w:rsidR="00F91519" w:rsidRDefault="00F91519">
      <w:pPr>
        <w:pStyle w:val="BodyText"/>
        <w:spacing w:before="1"/>
        <w:ind w:left="0"/>
        <w:rPr>
          <w:sz w:val="26"/>
        </w:rPr>
      </w:pPr>
    </w:p>
    <w:p w14:paraId="4BBA0BDC" w14:textId="77777777" w:rsidR="00F91519" w:rsidRDefault="009A25CA">
      <w:pPr>
        <w:pStyle w:val="Heading2"/>
        <w:ind w:left="100"/>
      </w:pPr>
      <w:r>
        <w:t>Monitoring</w:t>
      </w:r>
    </w:p>
    <w:p w14:paraId="3B65C23A" w14:textId="1D16CF8A" w:rsidR="00F91519" w:rsidRDefault="009A25CA">
      <w:pPr>
        <w:spacing w:before="84"/>
        <w:ind w:left="100"/>
        <w:rPr>
          <w:b/>
          <w:sz w:val="24"/>
        </w:rPr>
      </w:pPr>
      <w:r>
        <w:rPr>
          <w:b/>
          <w:color w:val="221F1F"/>
          <w:sz w:val="24"/>
        </w:rPr>
        <w:t xml:space="preserve">At least annual review of renal profile if </w:t>
      </w:r>
      <w:proofErr w:type="spellStart"/>
      <w:r>
        <w:rPr>
          <w:b/>
          <w:color w:val="221F1F"/>
          <w:sz w:val="24"/>
        </w:rPr>
        <w:t>CrCl</w:t>
      </w:r>
      <w:proofErr w:type="spellEnd"/>
      <w:r>
        <w:rPr>
          <w:b/>
          <w:color w:val="221F1F"/>
          <w:sz w:val="24"/>
        </w:rPr>
        <w:t xml:space="preserve"> </w:t>
      </w:r>
      <w:r w:rsidR="00344E71">
        <w:rPr>
          <w:b/>
          <w:color w:val="221F1F"/>
          <w:sz w:val="24"/>
        </w:rPr>
        <w:t>above</w:t>
      </w:r>
      <w:r>
        <w:rPr>
          <w:b/>
          <w:color w:val="221F1F"/>
          <w:sz w:val="24"/>
        </w:rPr>
        <w:t xml:space="preserve"> 60ml/min with FBC and LFTs</w:t>
      </w:r>
    </w:p>
    <w:p w14:paraId="49D90A9B" w14:textId="08FD0A80" w:rsidR="00F91519" w:rsidRDefault="009A25CA">
      <w:pPr>
        <w:pStyle w:val="ListParagraph"/>
        <w:numPr>
          <w:ilvl w:val="1"/>
          <w:numId w:val="4"/>
        </w:numPr>
        <w:tabs>
          <w:tab w:val="left" w:pos="953"/>
        </w:tabs>
        <w:spacing w:before="129"/>
        <w:rPr>
          <w:sz w:val="24"/>
        </w:rPr>
      </w:pPr>
      <w:r>
        <w:rPr>
          <w:color w:val="221F1F"/>
          <w:sz w:val="24"/>
        </w:rPr>
        <w:t xml:space="preserve">6 monthly review if </w:t>
      </w:r>
      <w:proofErr w:type="spellStart"/>
      <w:r>
        <w:rPr>
          <w:color w:val="221F1F"/>
          <w:sz w:val="24"/>
        </w:rPr>
        <w:t>CrCl</w:t>
      </w:r>
      <w:proofErr w:type="spellEnd"/>
      <w:r>
        <w:rPr>
          <w:color w:val="221F1F"/>
          <w:sz w:val="24"/>
        </w:rPr>
        <w:t xml:space="preserve"> 30</w:t>
      </w:r>
      <w:r w:rsidR="00344E71">
        <w:rPr>
          <w:color w:val="221F1F"/>
          <w:sz w:val="24"/>
        </w:rPr>
        <w:t xml:space="preserve"> to </w:t>
      </w:r>
      <w:r>
        <w:rPr>
          <w:color w:val="221F1F"/>
          <w:sz w:val="24"/>
        </w:rPr>
        <w:t xml:space="preserve">60ml/min and/or aged </w:t>
      </w:r>
      <w:r w:rsidR="00FF5CCA">
        <w:rPr>
          <w:color w:val="221F1F"/>
          <w:sz w:val="24"/>
        </w:rPr>
        <w:t xml:space="preserve">over </w:t>
      </w:r>
      <w:r>
        <w:rPr>
          <w:color w:val="221F1F"/>
          <w:sz w:val="24"/>
        </w:rPr>
        <w:t>75 years and/or</w:t>
      </w:r>
      <w:r>
        <w:rPr>
          <w:color w:val="221F1F"/>
          <w:spacing w:val="-12"/>
          <w:sz w:val="24"/>
        </w:rPr>
        <w:t xml:space="preserve"> </w:t>
      </w:r>
      <w:r>
        <w:rPr>
          <w:color w:val="221F1F"/>
          <w:sz w:val="24"/>
        </w:rPr>
        <w:t>frail</w:t>
      </w:r>
    </w:p>
    <w:p w14:paraId="2678A67D" w14:textId="5567CA1B" w:rsidR="00F91519" w:rsidRDefault="009A25CA">
      <w:pPr>
        <w:pStyle w:val="ListParagraph"/>
        <w:numPr>
          <w:ilvl w:val="1"/>
          <w:numId w:val="4"/>
        </w:numPr>
        <w:tabs>
          <w:tab w:val="left" w:pos="953"/>
        </w:tabs>
        <w:spacing w:before="42"/>
        <w:rPr>
          <w:sz w:val="24"/>
        </w:rPr>
      </w:pPr>
      <w:r>
        <w:rPr>
          <w:color w:val="221F1F"/>
          <w:sz w:val="24"/>
        </w:rPr>
        <w:t xml:space="preserve">3 monthly review of renal profile if </w:t>
      </w:r>
      <w:proofErr w:type="spellStart"/>
      <w:r>
        <w:rPr>
          <w:color w:val="221F1F"/>
          <w:sz w:val="24"/>
        </w:rPr>
        <w:t>CrCl</w:t>
      </w:r>
      <w:proofErr w:type="spellEnd"/>
      <w:r>
        <w:rPr>
          <w:color w:val="221F1F"/>
          <w:spacing w:val="-6"/>
          <w:sz w:val="24"/>
        </w:rPr>
        <w:t xml:space="preserve"> </w:t>
      </w:r>
      <w:r>
        <w:rPr>
          <w:color w:val="221F1F"/>
          <w:sz w:val="24"/>
        </w:rPr>
        <w:t>15</w:t>
      </w:r>
      <w:r w:rsidR="00344E71">
        <w:rPr>
          <w:color w:val="221F1F"/>
          <w:sz w:val="24"/>
        </w:rPr>
        <w:t xml:space="preserve"> to </w:t>
      </w:r>
      <w:r>
        <w:rPr>
          <w:color w:val="221F1F"/>
          <w:sz w:val="24"/>
        </w:rPr>
        <w:t>30ml/min</w:t>
      </w:r>
    </w:p>
    <w:p w14:paraId="7D97DC81" w14:textId="77777777" w:rsidR="00F91519" w:rsidRPr="00FF5CCA" w:rsidRDefault="00F91519" w:rsidP="00FF5CCA">
      <w:pPr>
        <w:pStyle w:val="BodyText"/>
      </w:pPr>
    </w:p>
    <w:p w14:paraId="45F32B90" w14:textId="77777777" w:rsidR="00F91519" w:rsidRDefault="009A25CA">
      <w:pPr>
        <w:pStyle w:val="BodyText"/>
        <w:spacing w:before="1" w:line="312" w:lineRule="auto"/>
        <w:ind w:left="100" w:right="657"/>
      </w:pPr>
      <w:r>
        <w:rPr>
          <w:color w:val="221F1F"/>
        </w:rPr>
        <w:t>Check for side effects/bleeding issues and patient adherence to therapy at each routine appointment.</w:t>
      </w:r>
    </w:p>
    <w:p w14:paraId="1CDAFFF7" w14:textId="77777777" w:rsidR="00F91519" w:rsidRDefault="00F91519">
      <w:pPr>
        <w:pStyle w:val="BodyText"/>
        <w:spacing w:before="7"/>
        <w:ind w:left="0"/>
      </w:pPr>
    </w:p>
    <w:p w14:paraId="189A799B" w14:textId="77777777" w:rsidR="00F91519" w:rsidRDefault="009A25CA">
      <w:pPr>
        <w:spacing w:line="312" w:lineRule="auto"/>
        <w:ind w:left="100" w:right="1167"/>
        <w:rPr>
          <w:sz w:val="24"/>
        </w:rPr>
      </w:pPr>
      <w:r>
        <w:rPr>
          <w:b/>
          <w:color w:val="221F1F"/>
          <w:sz w:val="24"/>
        </w:rPr>
        <w:t xml:space="preserve">For patients in whom DOACs are not suitable </w:t>
      </w:r>
      <w:r>
        <w:rPr>
          <w:color w:val="221F1F"/>
          <w:sz w:val="24"/>
        </w:rPr>
        <w:t>– is low molecular weight heparin (LMWH) an option?</w:t>
      </w:r>
    </w:p>
    <w:p w14:paraId="14E78C37" w14:textId="77777777" w:rsidR="00B16F7D" w:rsidRPr="00344E71" w:rsidRDefault="00B16F7D" w:rsidP="00B16F7D">
      <w:pPr>
        <w:pStyle w:val="ListParagraph"/>
        <w:numPr>
          <w:ilvl w:val="1"/>
          <w:numId w:val="4"/>
        </w:numPr>
        <w:tabs>
          <w:tab w:val="left" w:pos="953"/>
        </w:tabs>
        <w:spacing w:before="67" w:line="312" w:lineRule="auto"/>
        <w:ind w:right="807"/>
        <w:rPr>
          <w:sz w:val="24"/>
          <w:szCs w:val="24"/>
        </w:rPr>
      </w:pPr>
      <w:r w:rsidRPr="00344E71">
        <w:rPr>
          <w:color w:val="221F1F"/>
          <w:sz w:val="24"/>
          <w:szCs w:val="24"/>
        </w:rPr>
        <w:t>For other patients in whom DOACs are not an option, consider a LMWH if</w:t>
      </w:r>
      <w:r w:rsidRPr="00344E71">
        <w:rPr>
          <w:color w:val="221F1F"/>
          <w:spacing w:val="-15"/>
          <w:sz w:val="24"/>
          <w:szCs w:val="24"/>
        </w:rPr>
        <w:t xml:space="preserve"> </w:t>
      </w:r>
      <w:r w:rsidRPr="00344E71">
        <w:rPr>
          <w:color w:val="221F1F"/>
          <w:sz w:val="24"/>
          <w:szCs w:val="24"/>
        </w:rPr>
        <w:t>the patient can be taught to self-inject or a family member that lives with them can administer the injection.</w:t>
      </w:r>
    </w:p>
    <w:p w14:paraId="7937DEBC" w14:textId="2E924F1D" w:rsidR="00F91519" w:rsidRDefault="00B74249">
      <w:pPr>
        <w:pStyle w:val="ListParagraph"/>
        <w:numPr>
          <w:ilvl w:val="1"/>
          <w:numId w:val="4"/>
        </w:numPr>
        <w:tabs>
          <w:tab w:val="left" w:pos="953"/>
        </w:tabs>
        <w:spacing w:before="47" w:line="302" w:lineRule="auto"/>
        <w:ind w:right="677"/>
        <w:rPr>
          <w:sz w:val="24"/>
        </w:rPr>
      </w:pPr>
      <w:r>
        <w:rPr>
          <w:color w:val="221F1F"/>
          <w:sz w:val="24"/>
        </w:rPr>
        <w:t>P</w:t>
      </w:r>
      <w:r w:rsidR="009A25CA">
        <w:rPr>
          <w:color w:val="221F1F"/>
          <w:sz w:val="24"/>
        </w:rPr>
        <w:t>atients with mechanical heart valves should remain on warfarin.</w:t>
      </w:r>
    </w:p>
    <w:p w14:paraId="0303C6A8" w14:textId="77777777" w:rsidR="00F91519" w:rsidRDefault="00F91519">
      <w:pPr>
        <w:pStyle w:val="BodyText"/>
        <w:spacing w:before="7"/>
        <w:ind w:left="0"/>
      </w:pPr>
    </w:p>
    <w:p w14:paraId="42E8C5BE" w14:textId="77777777" w:rsidR="00F91519" w:rsidRPr="00A662AD" w:rsidRDefault="009A25CA">
      <w:pPr>
        <w:pStyle w:val="BodyText"/>
        <w:spacing w:before="1" w:line="312" w:lineRule="auto"/>
        <w:ind w:left="100" w:right="738"/>
        <w:rPr>
          <w:b/>
          <w:bCs/>
        </w:rPr>
      </w:pPr>
      <w:r w:rsidRPr="00A662AD">
        <w:rPr>
          <w:b/>
          <w:bCs/>
          <w:color w:val="221F1F"/>
          <w:u w:color="221F1F"/>
        </w:rPr>
        <w:t>In view of recognised supply issues with LMWH, these should only be used if there are</w:t>
      </w:r>
      <w:r w:rsidRPr="00A662AD">
        <w:rPr>
          <w:b/>
          <w:bCs/>
          <w:color w:val="221F1F"/>
        </w:rPr>
        <w:t xml:space="preserve"> </w:t>
      </w:r>
      <w:r w:rsidRPr="00A662AD">
        <w:rPr>
          <w:b/>
          <w:bCs/>
          <w:color w:val="221F1F"/>
          <w:u w:color="221F1F"/>
        </w:rPr>
        <w:t>no other appropriate options</w:t>
      </w:r>
    </w:p>
    <w:p w14:paraId="76F6D207" w14:textId="77777777" w:rsidR="00F91519" w:rsidRDefault="00F91519">
      <w:pPr>
        <w:pStyle w:val="BodyText"/>
        <w:spacing w:before="5"/>
        <w:ind w:left="0"/>
        <w:rPr>
          <w:sz w:val="16"/>
        </w:rPr>
      </w:pPr>
    </w:p>
    <w:p w14:paraId="75E45CBD" w14:textId="77777777" w:rsidR="00F91519" w:rsidRDefault="009A25CA">
      <w:pPr>
        <w:pStyle w:val="Heading2"/>
        <w:spacing w:before="92" w:line="312" w:lineRule="auto"/>
        <w:ind w:left="100" w:right="659"/>
      </w:pPr>
      <w:r>
        <w:rPr>
          <w:color w:val="221F1F"/>
        </w:rPr>
        <w:t xml:space="preserve">For patients continuing warfarin therapy - is self-testing of INR with a </w:t>
      </w:r>
      <w:proofErr w:type="spellStart"/>
      <w:r>
        <w:rPr>
          <w:color w:val="221F1F"/>
        </w:rPr>
        <w:t>CoaguChek</w:t>
      </w:r>
      <w:proofErr w:type="spellEnd"/>
      <w:r>
        <w:rPr>
          <w:color w:val="221F1F"/>
        </w:rPr>
        <w:t xml:space="preserve"> self-testing meter a possibility?</w:t>
      </w:r>
    </w:p>
    <w:p w14:paraId="63ACA309" w14:textId="5C869F42" w:rsidR="00F91519" w:rsidRDefault="009A25CA">
      <w:pPr>
        <w:pStyle w:val="BodyText"/>
        <w:spacing w:line="312" w:lineRule="auto"/>
        <w:ind w:left="100" w:right="1072"/>
      </w:pPr>
      <w:r w:rsidRPr="00A662AD">
        <w:t xml:space="preserve">There are limited supplies of </w:t>
      </w:r>
      <w:proofErr w:type="spellStart"/>
      <w:r w:rsidRPr="00A662AD">
        <w:t>Coaguchek</w:t>
      </w:r>
      <w:proofErr w:type="spellEnd"/>
      <w:r w:rsidRPr="00A662AD">
        <w:t xml:space="preserve"> self-testing meters available in the UK but, where available, these should be used for appropriate patients continuing warfarin therapy. Dosing</w:t>
      </w:r>
      <w:r>
        <w:t xml:space="preserve"> recommendations should be provided by the patient’s current anticoagulation service provider by phone or electronically. See </w:t>
      </w:r>
      <w:hyperlink r:id="rId33">
        <w:r w:rsidR="00A662AD">
          <w:rPr>
            <w:color w:val="005EB8"/>
            <w:u w:val="single" w:color="005EB8"/>
          </w:rPr>
          <w:t>NICE's diagnostic guidance on atrial fibrillation and heart valve disease: self-monitoring coagulation status using point-of-care coagulometers</w:t>
        </w:r>
      </w:hyperlink>
      <w:r w:rsidR="00D028E0" w:rsidRPr="00D028E0">
        <w:t>.</w:t>
      </w:r>
    </w:p>
    <w:p w14:paraId="22B95609" w14:textId="77777777" w:rsidR="00F91519" w:rsidRDefault="00F91519">
      <w:pPr>
        <w:spacing w:line="312" w:lineRule="auto"/>
      </w:pPr>
    </w:p>
    <w:p w14:paraId="70F77F50" w14:textId="19426214" w:rsidR="00344E71" w:rsidRDefault="00344E71">
      <w:pPr>
        <w:spacing w:line="312" w:lineRule="auto"/>
        <w:sectPr w:rsidR="00344E71">
          <w:footerReference w:type="default" r:id="rId34"/>
          <w:pgSz w:w="11910" w:h="16850"/>
          <w:pgMar w:top="1200" w:right="940" w:bottom="800" w:left="920" w:header="0" w:footer="529" w:gutter="0"/>
          <w:cols w:space="720"/>
        </w:sectPr>
      </w:pPr>
    </w:p>
    <w:p w14:paraId="61DC013E" w14:textId="77777777" w:rsidR="00F91519" w:rsidRDefault="009A25CA" w:rsidP="00A662AD">
      <w:pPr>
        <w:pStyle w:val="Caption"/>
      </w:pPr>
      <w:r>
        <w:lastRenderedPageBreak/>
        <w:t>DOAC Counselling Checklist</w:t>
      </w:r>
    </w:p>
    <w:p w14:paraId="502897FD" w14:textId="77777777" w:rsidR="00F91519" w:rsidRDefault="009A25CA">
      <w:pPr>
        <w:spacing w:line="360" w:lineRule="atLeast"/>
        <w:ind w:left="100" w:right="850"/>
        <w:rPr>
          <w:b/>
          <w:sz w:val="24"/>
        </w:rPr>
      </w:pPr>
      <w:r>
        <w:rPr>
          <w:b/>
          <w:color w:val="221F1F"/>
          <w:sz w:val="24"/>
        </w:rPr>
        <w:t xml:space="preserve">Apixaban (Eliquis®), Dabigatran (Pradaxa®), </w:t>
      </w:r>
      <w:proofErr w:type="spellStart"/>
      <w:r>
        <w:rPr>
          <w:b/>
          <w:color w:val="221F1F"/>
          <w:sz w:val="24"/>
        </w:rPr>
        <w:t>Edoxaban</w:t>
      </w:r>
      <w:proofErr w:type="spellEnd"/>
      <w:r>
        <w:rPr>
          <w:b/>
          <w:color w:val="221F1F"/>
          <w:sz w:val="24"/>
        </w:rPr>
        <w:t xml:space="preserve"> (</w:t>
      </w:r>
      <w:proofErr w:type="spellStart"/>
      <w:r>
        <w:rPr>
          <w:b/>
          <w:color w:val="221F1F"/>
          <w:sz w:val="24"/>
        </w:rPr>
        <w:t>Lixiana</w:t>
      </w:r>
      <w:proofErr w:type="spellEnd"/>
      <w:r>
        <w:rPr>
          <w:b/>
          <w:color w:val="221F1F"/>
          <w:sz w:val="24"/>
        </w:rPr>
        <w:t>®), Rivaroxaban (Xarelto®)</w:t>
      </w:r>
    </w:p>
    <w:p w14:paraId="405BB767" w14:textId="77777777" w:rsidR="00F91519" w:rsidRDefault="009A25CA">
      <w:pPr>
        <w:ind w:left="1905"/>
        <w:rPr>
          <w:rFonts w:ascii="Calibri" w:hAnsi="Calibri"/>
          <w:b/>
          <w:sz w:val="28"/>
        </w:rPr>
      </w:pPr>
      <w:r>
        <w:rPr>
          <w:b/>
          <w:color w:val="221F1F"/>
          <w:sz w:val="28"/>
        </w:rPr>
        <w:t xml:space="preserve">DOAC Agent Counselled: </w:t>
      </w:r>
      <w:r>
        <w:rPr>
          <w:rFonts w:ascii="Calibri" w:hAnsi="Calibri"/>
          <w:b/>
          <w:sz w:val="2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OAC Counselling Checklist"/>
      </w:tblPr>
      <w:tblGrid>
        <w:gridCol w:w="8503"/>
        <w:gridCol w:w="850"/>
      </w:tblGrid>
      <w:tr w:rsidR="00F91519" w14:paraId="4150680F" w14:textId="77777777">
        <w:trPr>
          <w:trHeight w:val="251"/>
        </w:trPr>
        <w:tc>
          <w:tcPr>
            <w:tcW w:w="8503" w:type="dxa"/>
            <w:shd w:val="clear" w:color="auto" w:fill="D0CECE"/>
          </w:tcPr>
          <w:p w14:paraId="1997B2E0" w14:textId="77777777" w:rsidR="00F91519" w:rsidRDefault="009A25CA">
            <w:pPr>
              <w:pStyle w:val="TableParagraph"/>
              <w:spacing w:line="232" w:lineRule="exact"/>
              <w:ind w:left="108"/>
              <w:rPr>
                <w:b/>
              </w:rPr>
            </w:pPr>
            <w:r>
              <w:rPr>
                <w:b/>
              </w:rPr>
              <w:t>Counselling points</w:t>
            </w:r>
          </w:p>
        </w:tc>
        <w:tc>
          <w:tcPr>
            <w:tcW w:w="850" w:type="dxa"/>
            <w:shd w:val="clear" w:color="auto" w:fill="D0CECE"/>
          </w:tcPr>
          <w:p w14:paraId="6BB607A6" w14:textId="77777777" w:rsidR="00F91519" w:rsidRDefault="009A25CA">
            <w:pPr>
              <w:pStyle w:val="TableParagraph"/>
              <w:spacing w:line="232" w:lineRule="exact"/>
              <w:ind w:left="186"/>
              <w:rPr>
                <w:b/>
              </w:rPr>
            </w:pPr>
            <w:r>
              <w:rPr>
                <w:b/>
              </w:rPr>
              <w:t>Sign</w:t>
            </w:r>
          </w:p>
        </w:tc>
      </w:tr>
      <w:tr w:rsidR="00F91519" w14:paraId="01E2FF23" w14:textId="77777777">
        <w:trPr>
          <w:trHeight w:val="760"/>
        </w:trPr>
        <w:tc>
          <w:tcPr>
            <w:tcW w:w="8503" w:type="dxa"/>
          </w:tcPr>
          <w:p w14:paraId="6CB1C8D8" w14:textId="11C16241" w:rsidR="00F91519" w:rsidRDefault="009A25CA" w:rsidP="00344E71">
            <w:pPr>
              <w:pStyle w:val="TableParagraph"/>
              <w:ind w:left="108"/>
            </w:pPr>
            <w:r>
              <w:rPr>
                <w:b/>
              </w:rPr>
              <w:t xml:space="preserve">Explanation of an anticoagulant </w:t>
            </w:r>
            <w:r>
              <w:t>(increases clotting time and reduces risk of clot</w:t>
            </w:r>
            <w:r w:rsidR="00344E71">
              <w:t xml:space="preserve"> </w:t>
            </w:r>
            <w:r>
              <w:t xml:space="preserve">formation) </w:t>
            </w:r>
            <w:r>
              <w:rPr>
                <w:b/>
              </w:rPr>
              <w:t xml:space="preserve">and explanation of indication for therapy </w:t>
            </w:r>
            <w:r>
              <w:t>(AF and stroke risk reduction/DVT/PE)</w:t>
            </w:r>
          </w:p>
        </w:tc>
        <w:tc>
          <w:tcPr>
            <w:tcW w:w="850" w:type="dxa"/>
          </w:tcPr>
          <w:p w14:paraId="7B72E5B3" w14:textId="77777777" w:rsidR="00F91519" w:rsidRDefault="00F91519">
            <w:pPr>
              <w:pStyle w:val="TableParagraph"/>
              <w:ind w:left="0"/>
              <w:rPr>
                <w:rFonts w:ascii="Times New Roman"/>
              </w:rPr>
            </w:pPr>
          </w:p>
        </w:tc>
      </w:tr>
      <w:tr w:rsidR="00F91519" w14:paraId="2817FA7C" w14:textId="77777777">
        <w:trPr>
          <w:trHeight w:val="1902"/>
        </w:trPr>
        <w:tc>
          <w:tcPr>
            <w:tcW w:w="8503" w:type="dxa"/>
          </w:tcPr>
          <w:p w14:paraId="7C62A5F9" w14:textId="77777777" w:rsidR="00F91519" w:rsidRDefault="009A25CA">
            <w:pPr>
              <w:pStyle w:val="TableParagraph"/>
              <w:spacing w:line="242" w:lineRule="auto"/>
              <w:ind w:left="108" w:right="124"/>
              <w:rPr>
                <w:i/>
              </w:rPr>
            </w:pPr>
            <w:r>
              <w:rPr>
                <w:b/>
              </w:rPr>
              <w:t xml:space="preserve">Differences between DOAC and warfarin </w:t>
            </w:r>
            <w:r>
              <w:rPr>
                <w:i/>
              </w:rPr>
              <w:t xml:space="preserve">(if applicable for patients converting from warfarin to DOAC therapy </w:t>
            </w:r>
            <w:r>
              <w:rPr>
                <w:i/>
                <w:u w:val="single"/>
              </w:rPr>
              <w:t>or</w:t>
            </w:r>
            <w:r>
              <w:rPr>
                <w:i/>
              </w:rPr>
              <w:t xml:space="preserve"> offering choice of anticoagulation agent)</w:t>
            </w:r>
          </w:p>
          <w:p w14:paraId="6F862D81" w14:textId="77777777" w:rsidR="00F91519" w:rsidRDefault="009A25CA">
            <w:pPr>
              <w:pStyle w:val="TableParagraph"/>
              <w:numPr>
                <w:ilvl w:val="0"/>
                <w:numId w:val="3"/>
              </w:numPr>
              <w:tabs>
                <w:tab w:val="left" w:pos="828"/>
                <w:tab w:val="left" w:pos="829"/>
              </w:tabs>
              <w:spacing w:before="9"/>
            </w:pPr>
            <w:r>
              <w:t>No routine INR</w:t>
            </w:r>
            <w:r>
              <w:rPr>
                <w:spacing w:val="-6"/>
              </w:rPr>
              <w:t xml:space="preserve"> </w:t>
            </w:r>
            <w:r>
              <w:t>monitoring</w:t>
            </w:r>
          </w:p>
          <w:p w14:paraId="098C9BF0" w14:textId="77777777" w:rsidR="00F91519" w:rsidRDefault="009A25CA">
            <w:pPr>
              <w:pStyle w:val="TableParagraph"/>
              <w:numPr>
                <w:ilvl w:val="0"/>
                <w:numId w:val="3"/>
              </w:numPr>
              <w:tabs>
                <w:tab w:val="left" w:pos="828"/>
                <w:tab w:val="left" w:pos="829"/>
              </w:tabs>
              <w:spacing w:before="14"/>
            </w:pPr>
            <w:r>
              <w:t>Fixed</w:t>
            </w:r>
            <w:r>
              <w:rPr>
                <w:spacing w:val="-1"/>
              </w:rPr>
              <w:t xml:space="preserve"> </w:t>
            </w:r>
            <w:r>
              <w:t>dosing</w:t>
            </w:r>
          </w:p>
          <w:p w14:paraId="7246F337" w14:textId="77777777" w:rsidR="00F91519" w:rsidRDefault="009A25CA">
            <w:pPr>
              <w:pStyle w:val="TableParagraph"/>
              <w:numPr>
                <w:ilvl w:val="0"/>
                <w:numId w:val="3"/>
              </w:numPr>
              <w:tabs>
                <w:tab w:val="left" w:pos="828"/>
                <w:tab w:val="left" w:pos="829"/>
              </w:tabs>
              <w:spacing w:before="11"/>
              <w:ind w:right="1193"/>
            </w:pPr>
            <w:r>
              <w:t>No dietary restrictions and alcohol intake permitted (within national guidelines)</w:t>
            </w:r>
          </w:p>
          <w:p w14:paraId="26ED8B8E" w14:textId="77777777" w:rsidR="00F91519" w:rsidRDefault="009A25CA">
            <w:pPr>
              <w:pStyle w:val="TableParagraph"/>
              <w:numPr>
                <w:ilvl w:val="0"/>
                <w:numId w:val="3"/>
              </w:numPr>
              <w:tabs>
                <w:tab w:val="left" w:pos="828"/>
                <w:tab w:val="left" w:pos="829"/>
              </w:tabs>
              <w:spacing w:before="15" w:line="261" w:lineRule="exact"/>
            </w:pPr>
            <w:r>
              <w:t>Fewer drug interactions</w:t>
            </w:r>
          </w:p>
        </w:tc>
        <w:tc>
          <w:tcPr>
            <w:tcW w:w="850" w:type="dxa"/>
          </w:tcPr>
          <w:p w14:paraId="020F82C2" w14:textId="77777777" w:rsidR="00F91519" w:rsidRDefault="00F91519">
            <w:pPr>
              <w:pStyle w:val="TableParagraph"/>
              <w:ind w:left="0"/>
              <w:rPr>
                <w:rFonts w:ascii="Times New Roman"/>
              </w:rPr>
            </w:pPr>
          </w:p>
        </w:tc>
      </w:tr>
      <w:tr w:rsidR="00F91519" w14:paraId="576774DC" w14:textId="77777777">
        <w:trPr>
          <w:trHeight w:val="265"/>
        </w:trPr>
        <w:tc>
          <w:tcPr>
            <w:tcW w:w="8503" w:type="dxa"/>
          </w:tcPr>
          <w:p w14:paraId="3AF12EC2" w14:textId="77777777" w:rsidR="00F91519" w:rsidRDefault="009A25CA">
            <w:pPr>
              <w:pStyle w:val="TableParagraph"/>
              <w:spacing w:before="2" w:line="244" w:lineRule="exact"/>
              <w:ind w:left="108"/>
            </w:pPr>
            <w:r>
              <w:rPr>
                <w:b/>
              </w:rPr>
              <w:t xml:space="preserve">Name of drug: </w:t>
            </w:r>
            <w:r>
              <w:t>generic &amp; brand name</w:t>
            </w:r>
          </w:p>
        </w:tc>
        <w:tc>
          <w:tcPr>
            <w:tcW w:w="850" w:type="dxa"/>
          </w:tcPr>
          <w:p w14:paraId="519B8C70" w14:textId="77777777" w:rsidR="00F91519" w:rsidRDefault="00F91519">
            <w:pPr>
              <w:pStyle w:val="TableParagraph"/>
              <w:ind w:left="0"/>
              <w:rPr>
                <w:rFonts w:ascii="Times New Roman"/>
                <w:sz w:val="18"/>
              </w:rPr>
            </w:pPr>
          </w:p>
        </w:tc>
      </w:tr>
      <w:tr w:rsidR="00F91519" w14:paraId="59DCC214" w14:textId="77777777">
        <w:trPr>
          <w:trHeight w:val="268"/>
        </w:trPr>
        <w:tc>
          <w:tcPr>
            <w:tcW w:w="8503" w:type="dxa"/>
          </w:tcPr>
          <w:p w14:paraId="36FB0366" w14:textId="77777777" w:rsidR="00F91519" w:rsidRDefault="009A25CA">
            <w:pPr>
              <w:pStyle w:val="TableParagraph"/>
              <w:spacing w:before="4" w:line="244" w:lineRule="exact"/>
              <w:ind w:left="108"/>
            </w:pPr>
            <w:r>
              <w:rPr>
                <w:b/>
              </w:rPr>
              <w:t xml:space="preserve">Explanation of dose: </w:t>
            </w:r>
            <w:r>
              <w:t>strength &amp; frequency</w:t>
            </w:r>
          </w:p>
        </w:tc>
        <w:tc>
          <w:tcPr>
            <w:tcW w:w="850" w:type="dxa"/>
          </w:tcPr>
          <w:p w14:paraId="56BE33F9" w14:textId="77777777" w:rsidR="00F91519" w:rsidRDefault="00F91519">
            <w:pPr>
              <w:pStyle w:val="TableParagraph"/>
              <w:ind w:left="0"/>
              <w:rPr>
                <w:rFonts w:ascii="Times New Roman"/>
                <w:sz w:val="18"/>
              </w:rPr>
            </w:pPr>
          </w:p>
        </w:tc>
      </w:tr>
      <w:tr w:rsidR="00F91519" w14:paraId="166A3F82" w14:textId="77777777">
        <w:trPr>
          <w:trHeight w:val="520"/>
        </w:trPr>
        <w:tc>
          <w:tcPr>
            <w:tcW w:w="8503" w:type="dxa"/>
          </w:tcPr>
          <w:p w14:paraId="050E6551" w14:textId="45EA2C92" w:rsidR="00F91519" w:rsidRDefault="009A25CA">
            <w:pPr>
              <w:pStyle w:val="TableParagraph"/>
              <w:spacing w:before="1" w:line="256" w:lineRule="exact"/>
              <w:ind w:left="108" w:right="161"/>
            </w:pPr>
            <w:r>
              <w:rPr>
                <w:b/>
              </w:rPr>
              <w:t xml:space="preserve">Duration of therapy: </w:t>
            </w:r>
            <w:r>
              <w:t>lifelong for AF or explain course length for DVT/PE treatment or prevention</w:t>
            </w:r>
          </w:p>
        </w:tc>
        <w:tc>
          <w:tcPr>
            <w:tcW w:w="850" w:type="dxa"/>
          </w:tcPr>
          <w:p w14:paraId="1451850F" w14:textId="77777777" w:rsidR="00F91519" w:rsidRDefault="00F91519">
            <w:pPr>
              <w:pStyle w:val="TableParagraph"/>
              <w:ind w:left="0"/>
              <w:rPr>
                <w:rFonts w:ascii="Times New Roman"/>
              </w:rPr>
            </w:pPr>
          </w:p>
        </w:tc>
      </w:tr>
      <w:tr w:rsidR="00F91519" w14:paraId="21123B45" w14:textId="77777777">
        <w:trPr>
          <w:trHeight w:val="522"/>
        </w:trPr>
        <w:tc>
          <w:tcPr>
            <w:tcW w:w="8503" w:type="dxa"/>
          </w:tcPr>
          <w:p w14:paraId="05131467" w14:textId="77777777" w:rsidR="00F91519" w:rsidRDefault="009A25CA">
            <w:pPr>
              <w:pStyle w:val="TableParagraph"/>
              <w:spacing w:before="2" w:line="250" w:lineRule="atLeast"/>
              <w:ind w:left="108" w:right="601"/>
            </w:pPr>
            <w:r>
              <w:rPr>
                <w:b/>
              </w:rPr>
              <w:t xml:space="preserve">To take with food (dabigatran and rivaroxaban). </w:t>
            </w:r>
            <w:r>
              <w:t xml:space="preserve">Not required for apixaban or </w:t>
            </w:r>
            <w:proofErr w:type="spellStart"/>
            <w:r>
              <w:t>edoxaban</w:t>
            </w:r>
            <w:proofErr w:type="spellEnd"/>
          </w:p>
        </w:tc>
        <w:tc>
          <w:tcPr>
            <w:tcW w:w="850" w:type="dxa"/>
          </w:tcPr>
          <w:p w14:paraId="48027368" w14:textId="77777777" w:rsidR="00F91519" w:rsidRDefault="00F91519">
            <w:pPr>
              <w:pStyle w:val="TableParagraph"/>
              <w:ind w:left="0"/>
              <w:rPr>
                <w:rFonts w:ascii="Times New Roman"/>
              </w:rPr>
            </w:pPr>
          </w:p>
        </w:tc>
      </w:tr>
      <w:tr w:rsidR="00F91519" w14:paraId="632B7E7A" w14:textId="77777777">
        <w:trPr>
          <w:trHeight w:val="1339"/>
        </w:trPr>
        <w:tc>
          <w:tcPr>
            <w:tcW w:w="8503" w:type="dxa"/>
          </w:tcPr>
          <w:p w14:paraId="53787B6A" w14:textId="77777777" w:rsidR="00F91519" w:rsidRDefault="009A25CA">
            <w:pPr>
              <w:pStyle w:val="TableParagraph"/>
              <w:spacing w:before="2"/>
              <w:ind w:left="108"/>
              <w:rPr>
                <w:b/>
              </w:rPr>
            </w:pPr>
            <w:r>
              <w:rPr>
                <w:b/>
              </w:rPr>
              <w:t>Missed doses:</w:t>
            </w:r>
          </w:p>
          <w:p w14:paraId="502377EF" w14:textId="77777777" w:rsidR="00F91519" w:rsidRDefault="009A25CA">
            <w:pPr>
              <w:pStyle w:val="TableParagraph"/>
              <w:numPr>
                <w:ilvl w:val="0"/>
                <w:numId w:val="2"/>
              </w:numPr>
              <w:tabs>
                <w:tab w:val="left" w:pos="828"/>
                <w:tab w:val="left" w:pos="829"/>
              </w:tabs>
              <w:spacing w:before="13"/>
              <w:ind w:right="666"/>
            </w:pPr>
            <w:r>
              <w:rPr>
                <w:b/>
              </w:rPr>
              <w:t xml:space="preserve">Apixaban and dabigatran can </w:t>
            </w:r>
            <w:r>
              <w:t>be taken within 6 hours of missed dose, otherwise omit the missed</w:t>
            </w:r>
            <w:r>
              <w:rPr>
                <w:spacing w:val="-3"/>
              </w:rPr>
              <w:t xml:space="preserve"> </w:t>
            </w:r>
            <w:r>
              <w:t>dose</w:t>
            </w:r>
          </w:p>
          <w:p w14:paraId="7BBCF146" w14:textId="77777777" w:rsidR="00F91519" w:rsidRDefault="009A25CA">
            <w:pPr>
              <w:pStyle w:val="TableParagraph"/>
              <w:numPr>
                <w:ilvl w:val="0"/>
                <w:numId w:val="2"/>
              </w:numPr>
              <w:tabs>
                <w:tab w:val="left" w:pos="828"/>
                <w:tab w:val="left" w:pos="829"/>
              </w:tabs>
              <w:spacing w:before="31" w:line="254" w:lineRule="exact"/>
              <w:ind w:right="383"/>
            </w:pPr>
            <w:proofErr w:type="spellStart"/>
            <w:r>
              <w:rPr>
                <w:b/>
              </w:rPr>
              <w:t>Edoxaban</w:t>
            </w:r>
            <w:proofErr w:type="spellEnd"/>
            <w:r>
              <w:rPr>
                <w:b/>
              </w:rPr>
              <w:t xml:space="preserve"> and rivaroxaban </w:t>
            </w:r>
            <w:r>
              <w:t>can be taken within 12 hours of missed dose, otherwise omit the missed</w:t>
            </w:r>
            <w:r>
              <w:rPr>
                <w:spacing w:val="-3"/>
              </w:rPr>
              <w:t xml:space="preserve"> </w:t>
            </w:r>
            <w:r>
              <w:t>dose</w:t>
            </w:r>
          </w:p>
        </w:tc>
        <w:tc>
          <w:tcPr>
            <w:tcW w:w="850" w:type="dxa"/>
          </w:tcPr>
          <w:p w14:paraId="1A810863" w14:textId="77777777" w:rsidR="00F91519" w:rsidRDefault="00F91519">
            <w:pPr>
              <w:pStyle w:val="TableParagraph"/>
              <w:ind w:left="0"/>
              <w:rPr>
                <w:rFonts w:ascii="Times New Roman"/>
              </w:rPr>
            </w:pPr>
          </w:p>
        </w:tc>
      </w:tr>
      <w:tr w:rsidR="00F91519" w14:paraId="40A83E17" w14:textId="77777777">
        <w:trPr>
          <w:trHeight w:val="520"/>
        </w:trPr>
        <w:tc>
          <w:tcPr>
            <w:tcW w:w="8503" w:type="dxa"/>
          </w:tcPr>
          <w:p w14:paraId="169FF739" w14:textId="77777777" w:rsidR="00F91519" w:rsidRDefault="009A25CA">
            <w:pPr>
              <w:pStyle w:val="TableParagraph"/>
              <w:spacing w:before="1" w:line="256" w:lineRule="exact"/>
              <w:ind w:left="108" w:right="637"/>
            </w:pPr>
            <w:r>
              <w:rPr>
                <w:b/>
              </w:rPr>
              <w:t xml:space="preserve">Extra doses </w:t>
            </w:r>
            <w:proofErr w:type="gramStart"/>
            <w:r>
              <w:rPr>
                <w:b/>
              </w:rPr>
              <w:t>taken:</w:t>
            </w:r>
            <w:proofErr w:type="gramEnd"/>
            <w:r>
              <w:rPr>
                <w:b/>
              </w:rPr>
              <w:t xml:space="preserve"> </w:t>
            </w:r>
            <w:r>
              <w:t>obtain advice immediately from pharmacist/GP/NHS Direct (111)</w:t>
            </w:r>
          </w:p>
        </w:tc>
        <w:tc>
          <w:tcPr>
            <w:tcW w:w="850" w:type="dxa"/>
          </w:tcPr>
          <w:p w14:paraId="11DC0493" w14:textId="77777777" w:rsidR="00F91519" w:rsidRDefault="00F91519">
            <w:pPr>
              <w:pStyle w:val="TableParagraph"/>
              <w:ind w:left="0"/>
              <w:rPr>
                <w:rFonts w:ascii="Times New Roman"/>
              </w:rPr>
            </w:pPr>
          </w:p>
        </w:tc>
      </w:tr>
      <w:tr w:rsidR="00F91519" w14:paraId="4B0C8728" w14:textId="77777777">
        <w:trPr>
          <w:trHeight w:val="520"/>
        </w:trPr>
        <w:tc>
          <w:tcPr>
            <w:tcW w:w="8503" w:type="dxa"/>
          </w:tcPr>
          <w:p w14:paraId="1162C529" w14:textId="77777777" w:rsidR="00F91519" w:rsidRDefault="009A25CA">
            <w:pPr>
              <w:pStyle w:val="TableParagraph"/>
              <w:spacing w:before="1" w:line="256" w:lineRule="exact"/>
              <w:ind w:left="108" w:right="820"/>
            </w:pPr>
            <w:r>
              <w:rPr>
                <w:b/>
              </w:rPr>
              <w:t xml:space="preserve">Importance of adherence: </w:t>
            </w:r>
            <w:r>
              <w:t>short half-life and associated risk of stroke and/or thrombosis if non-compliant</w:t>
            </w:r>
          </w:p>
        </w:tc>
        <w:tc>
          <w:tcPr>
            <w:tcW w:w="850" w:type="dxa"/>
          </w:tcPr>
          <w:p w14:paraId="15327057" w14:textId="77777777" w:rsidR="00F91519" w:rsidRDefault="00F91519">
            <w:pPr>
              <w:pStyle w:val="TableParagraph"/>
              <w:ind w:left="0"/>
              <w:rPr>
                <w:rFonts w:ascii="Times New Roman"/>
              </w:rPr>
            </w:pPr>
          </w:p>
        </w:tc>
      </w:tr>
      <w:tr w:rsidR="00F91519" w14:paraId="50C8F50C" w14:textId="77777777">
        <w:trPr>
          <w:trHeight w:val="1862"/>
        </w:trPr>
        <w:tc>
          <w:tcPr>
            <w:tcW w:w="8503" w:type="dxa"/>
          </w:tcPr>
          <w:p w14:paraId="3AA9E34C" w14:textId="77777777" w:rsidR="00F91519" w:rsidRDefault="009A25CA">
            <w:pPr>
              <w:pStyle w:val="TableParagraph"/>
              <w:spacing w:before="2"/>
              <w:ind w:left="108" w:right="1054"/>
            </w:pPr>
            <w:r>
              <w:rPr>
                <w:b/>
              </w:rPr>
              <w:t xml:space="preserve">Common and serious side-effects and who/when to </w:t>
            </w:r>
            <w:proofErr w:type="gramStart"/>
            <w:r>
              <w:rPr>
                <w:b/>
              </w:rPr>
              <w:t>refer:</w:t>
            </w:r>
            <w:proofErr w:type="gramEnd"/>
            <w:r>
              <w:rPr>
                <w:b/>
              </w:rPr>
              <w:t xml:space="preserve"> </w:t>
            </w:r>
            <w:r>
              <w:t>symptoms of bleeding/unexplained bruising. Avoidance of contact sports.</w:t>
            </w:r>
          </w:p>
          <w:p w14:paraId="2281A551" w14:textId="77777777" w:rsidR="00F91519" w:rsidRDefault="009A25CA">
            <w:pPr>
              <w:pStyle w:val="TableParagraph"/>
              <w:numPr>
                <w:ilvl w:val="0"/>
                <w:numId w:val="1"/>
              </w:numPr>
              <w:tabs>
                <w:tab w:val="left" w:pos="828"/>
                <w:tab w:val="left" w:pos="829"/>
              </w:tabs>
              <w:spacing w:before="14"/>
              <w:ind w:right="1117"/>
            </w:pPr>
            <w:r>
              <w:t>Single/self-terminating bleeding episode – routine appointment with GP/pharmacist</w:t>
            </w:r>
          </w:p>
          <w:p w14:paraId="62AFCB92" w14:textId="77777777" w:rsidR="00F91519" w:rsidRDefault="009A25CA">
            <w:pPr>
              <w:pStyle w:val="TableParagraph"/>
              <w:numPr>
                <w:ilvl w:val="0"/>
                <w:numId w:val="1"/>
              </w:numPr>
              <w:tabs>
                <w:tab w:val="left" w:pos="828"/>
                <w:tab w:val="left" w:pos="829"/>
              </w:tabs>
              <w:spacing w:before="16"/>
            </w:pPr>
            <w:r>
              <w:t>Prolonged/recurrent/severe bleeding/head injury –</w:t>
            </w:r>
            <w:r>
              <w:rPr>
                <w:spacing w:val="-6"/>
              </w:rPr>
              <w:t xml:space="preserve"> </w:t>
            </w:r>
            <w:r>
              <w:t>A&amp;E</w:t>
            </w:r>
          </w:p>
          <w:p w14:paraId="0D219442" w14:textId="77777777" w:rsidR="00F91519" w:rsidRDefault="009A25CA">
            <w:pPr>
              <w:pStyle w:val="TableParagraph"/>
              <w:spacing w:before="12" w:line="250" w:lineRule="atLeast"/>
              <w:ind w:left="108" w:right="563"/>
            </w:pPr>
            <w:r>
              <w:t>Major bleeds managed/reversed by supportive measures, Prothrombin Complex Concentrate (PCC), and availability of antidote</w:t>
            </w:r>
          </w:p>
        </w:tc>
        <w:tc>
          <w:tcPr>
            <w:tcW w:w="850" w:type="dxa"/>
          </w:tcPr>
          <w:p w14:paraId="5C4150E3" w14:textId="77777777" w:rsidR="00F91519" w:rsidRDefault="00F91519">
            <w:pPr>
              <w:pStyle w:val="TableParagraph"/>
              <w:ind w:left="0"/>
              <w:rPr>
                <w:rFonts w:ascii="Times New Roman"/>
              </w:rPr>
            </w:pPr>
          </w:p>
        </w:tc>
      </w:tr>
      <w:tr w:rsidR="00F91519" w14:paraId="1F650560" w14:textId="77777777">
        <w:trPr>
          <w:trHeight w:val="520"/>
        </w:trPr>
        <w:tc>
          <w:tcPr>
            <w:tcW w:w="8503" w:type="dxa"/>
          </w:tcPr>
          <w:p w14:paraId="486DAC5E" w14:textId="43BCAABD" w:rsidR="00F91519" w:rsidRDefault="009A25CA">
            <w:pPr>
              <w:pStyle w:val="TableParagraph"/>
              <w:spacing w:before="3" w:line="254" w:lineRule="exact"/>
              <w:ind w:left="108" w:right="492"/>
            </w:pPr>
            <w:r>
              <w:rPr>
                <w:b/>
              </w:rPr>
              <w:t xml:space="preserve">Drug interactions and concomitant medication: </w:t>
            </w:r>
            <w:r>
              <w:t>avoid NSAIDs. Always check with a pharmacist regarding OTC/herbal/complimentary medicines</w:t>
            </w:r>
          </w:p>
        </w:tc>
        <w:tc>
          <w:tcPr>
            <w:tcW w:w="850" w:type="dxa"/>
          </w:tcPr>
          <w:p w14:paraId="327A7847" w14:textId="77777777" w:rsidR="00F91519" w:rsidRDefault="00F91519">
            <w:pPr>
              <w:pStyle w:val="TableParagraph"/>
              <w:ind w:left="0"/>
              <w:rPr>
                <w:rFonts w:ascii="Times New Roman"/>
              </w:rPr>
            </w:pPr>
          </w:p>
        </w:tc>
      </w:tr>
      <w:tr w:rsidR="00F91519" w14:paraId="0CE33BC5" w14:textId="77777777">
        <w:trPr>
          <w:trHeight w:val="520"/>
        </w:trPr>
        <w:tc>
          <w:tcPr>
            <w:tcW w:w="8503" w:type="dxa"/>
          </w:tcPr>
          <w:p w14:paraId="018BF597" w14:textId="1E6F2F53" w:rsidR="00F91519" w:rsidRDefault="009A25CA">
            <w:pPr>
              <w:pStyle w:val="TableParagraph"/>
              <w:spacing w:before="1" w:line="256" w:lineRule="exact"/>
              <w:ind w:left="108" w:right="931"/>
            </w:pPr>
            <w:r>
              <w:rPr>
                <w:b/>
              </w:rPr>
              <w:t xml:space="preserve">Inform all healthcare professionals of DOAC therapy: </w:t>
            </w:r>
            <w:r>
              <w:t>GP, nurse, dentist, pharmacist</w:t>
            </w:r>
            <w:r w:rsidR="00FD391D">
              <w:t xml:space="preserve">; that is, </w:t>
            </w:r>
            <w:r>
              <w:t>prior to surgery</w:t>
            </w:r>
          </w:p>
        </w:tc>
        <w:tc>
          <w:tcPr>
            <w:tcW w:w="850" w:type="dxa"/>
          </w:tcPr>
          <w:p w14:paraId="715960CB" w14:textId="77777777" w:rsidR="00F91519" w:rsidRDefault="00F91519">
            <w:pPr>
              <w:pStyle w:val="TableParagraph"/>
              <w:ind w:left="0"/>
              <w:rPr>
                <w:rFonts w:ascii="Times New Roman"/>
              </w:rPr>
            </w:pPr>
          </w:p>
        </w:tc>
      </w:tr>
      <w:tr w:rsidR="00F91519" w14:paraId="237B009B" w14:textId="77777777">
        <w:trPr>
          <w:trHeight w:val="522"/>
        </w:trPr>
        <w:tc>
          <w:tcPr>
            <w:tcW w:w="8503" w:type="dxa"/>
          </w:tcPr>
          <w:p w14:paraId="0478A280" w14:textId="77777777" w:rsidR="00F91519" w:rsidRDefault="009A25CA">
            <w:pPr>
              <w:pStyle w:val="TableParagraph"/>
              <w:spacing w:before="1" w:line="256" w:lineRule="exact"/>
              <w:ind w:left="108" w:right="355"/>
            </w:pPr>
            <w:r>
              <w:rPr>
                <w:b/>
              </w:rPr>
              <w:t xml:space="preserve">Pregnancy and breastfeeding: </w:t>
            </w:r>
            <w:r>
              <w:t>potential risk to foetus – obtain medical advice as soon as possible if pregnant/considering pregnancy. Avoid in breastfeeding</w:t>
            </w:r>
          </w:p>
        </w:tc>
        <w:tc>
          <w:tcPr>
            <w:tcW w:w="850" w:type="dxa"/>
          </w:tcPr>
          <w:p w14:paraId="22FEC93D" w14:textId="77777777" w:rsidR="00F91519" w:rsidRDefault="00F91519">
            <w:pPr>
              <w:pStyle w:val="TableParagraph"/>
              <w:ind w:left="0"/>
              <w:rPr>
                <w:rFonts w:ascii="Times New Roman"/>
              </w:rPr>
            </w:pPr>
          </w:p>
        </w:tc>
      </w:tr>
      <w:tr w:rsidR="00F91519" w14:paraId="21DBD5E4" w14:textId="77777777">
        <w:trPr>
          <w:trHeight w:val="772"/>
        </w:trPr>
        <w:tc>
          <w:tcPr>
            <w:tcW w:w="8503" w:type="dxa"/>
          </w:tcPr>
          <w:p w14:paraId="76D3AB5F" w14:textId="5B63A9F3" w:rsidR="00F91519" w:rsidRDefault="009A25CA" w:rsidP="00A662AD">
            <w:pPr>
              <w:pStyle w:val="TableParagraph"/>
              <w:ind w:left="108" w:right="306"/>
            </w:pPr>
            <w:r>
              <w:rPr>
                <w:b/>
              </w:rPr>
              <w:t xml:space="preserve">Storage: </w:t>
            </w:r>
            <w:r>
              <w:t xml:space="preserve">dabigatran </w:t>
            </w:r>
            <w:r>
              <w:rPr>
                <w:u w:val="single"/>
              </w:rPr>
              <w:t>must</w:t>
            </w:r>
            <w:r>
              <w:t xml:space="preserve"> be kept in original packaging – moisture sensitive. All other DOAC are suitable for standard medication compliance aids/</w:t>
            </w:r>
            <w:proofErr w:type="spellStart"/>
            <w:r>
              <w:t>dosette</w:t>
            </w:r>
            <w:proofErr w:type="spellEnd"/>
            <w:r>
              <w:t xml:space="preserve"> boxes if</w:t>
            </w:r>
            <w:r w:rsidR="00FD391D">
              <w:t xml:space="preserve"> </w:t>
            </w:r>
            <w:r>
              <w:t>required</w:t>
            </w:r>
          </w:p>
        </w:tc>
        <w:tc>
          <w:tcPr>
            <w:tcW w:w="850" w:type="dxa"/>
          </w:tcPr>
          <w:p w14:paraId="3162441D" w14:textId="77777777" w:rsidR="00F91519" w:rsidRDefault="00F91519">
            <w:pPr>
              <w:pStyle w:val="TableParagraph"/>
              <w:ind w:left="0"/>
              <w:rPr>
                <w:rFonts w:ascii="Times New Roman"/>
              </w:rPr>
            </w:pPr>
          </w:p>
        </w:tc>
      </w:tr>
      <w:tr w:rsidR="00F91519" w14:paraId="56FECEDE" w14:textId="77777777">
        <w:trPr>
          <w:trHeight w:val="268"/>
        </w:trPr>
        <w:tc>
          <w:tcPr>
            <w:tcW w:w="8503" w:type="dxa"/>
          </w:tcPr>
          <w:p w14:paraId="09A95F01" w14:textId="77777777" w:rsidR="00F91519" w:rsidRDefault="009A25CA">
            <w:pPr>
              <w:pStyle w:val="TableParagraph"/>
              <w:spacing w:before="2" w:line="246" w:lineRule="exact"/>
              <w:ind w:left="108"/>
            </w:pPr>
            <w:r>
              <w:rPr>
                <w:b/>
              </w:rPr>
              <w:t xml:space="preserve">Follow-up appointments, blood tests, and repeat prescriptions: </w:t>
            </w:r>
            <w:r>
              <w:t>where and when</w:t>
            </w:r>
          </w:p>
        </w:tc>
        <w:tc>
          <w:tcPr>
            <w:tcW w:w="850" w:type="dxa"/>
          </w:tcPr>
          <w:p w14:paraId="41AE4E4E" w14:textId="77777777" w:rsidR="00F91519" w:rsidRDefault="00F91519">
            <w:pPr>
              <w:pStyle w:val="TableParagraph"/>
              <w:ind w:left="0"/>
              <w:rPr>
                <w:rFonts w:ascii="Times New Roman"/>
                <w:sz w:val="18"/>
              </w:rPr>
            </w:pPr>
          </w:p>
        </w:tc>
      </w:tr>
      <w:tr w:rsidR="00F91519" w14:paraId="0F8565A5" w14:textId="77777777">
        <w:trPr>
          <w:trHeight w:val="520"/>
        </w:trPr>
        <w:tc>
          <w:tcPr>
            <w:tcW w:w="8503" w:type="dxa"/>
          </w:tcPr>
          <w:p w14:paraId="0852EDE6" w14:textId="77777777" w:rsidR="00F91519" w:rsidRDefault="009A25CA">
            <w:pPr>
              <w:pStyle w:val="TableParagraph"/>
              <w:spacing w:before="1" w:line="256" w:lineRule="exact"/>
              <w:ind w:left="108" w:right="223"/>
              <w:rPr>
                <w:b/>
              </w:rPr>
            </w:pPr>
            <w:r>
              <w:rPr>
                <w:b/>
              </w:rPr>
              <w:t>Issue relevant patient information AF booklet/leaflet and anticoagulant patient alert card</w:t>
            </w:r>
          </w:p>
        </w:tc>
        <w:tc>
          <w:tcPr>
            <w:tcW w:w="850" w:type="dxa"/>
          </w:tcPr>
          <w:p w14:paraId="707D3C76" w14:textId="77777777" w:rsidR="00F91519" w:rsidRDefault="00F91519">
            <w:pPr>
              <w:pStyle w:val="TableParagraph"/>
              <w:ind w:left="0"/>
              <w:rPr>
                <w:rFonts w:ascii="Times New Roman"/>
              </w:rPr>
            </w:pPr>
          </w:p>
        </w:tc>
      </w:tr>
      <w:tr w:rsidR="00F91519" w14:paraId="72C982D9" w14:textId="77777777">
        <w:trPr>
          <w:trHeight w:val="522"/>
        </w:trPr>
        <w:tc>
          <w:tcPr>
            <w:tcW w:w="8503" w:type="dxa"/>
          </w:tcPr>
          <w:p w14:paraId="0B991847" w14:textId="77777777" w:rsidR="00F91519" w:rsidRDefault="009A25CA">
            <w:pPr>
              <w:pStyle w:val="TableParagraph"/>
              <w:spacing w:before="1" w:line="256" w:lineRule="exact"/>
              <w:ind w:left="108" w:right="872"/>
              <w:rPr>
                <w:b/>
              </w:rPr>
            </w:pPr>
            <w:r>
              <w:rPr>
                <w:b/>
              </w:rPr>
              <w:t>Give patient opportunity to ask questions and encourage follow up with community pharmacist (NMS – New Medicine Service)</w:t>
            </w:r>
          </w:p>
        </w:tc>
        <w:tc>
          <w:tcPr>
            <w:tcW w:w="850" w:type="dxa"/>
          </w:tcPr>
          <w:p w14:paraId="0B450B27" w14:textId="77777777" w:rsidR="00F91519" w:rsidRDefault="00F91519">
            <w:pPr>
              <w:pStyle w:val="TableParagraph"/>
              <w:ind w:left="0"/>
              <w:rPr>
                <w:rFonts w:ascii="Times New Roman"/>
              </w:rPr>
            </w:pPr>
          </w:p>
        </w:tc>
      </w:tr>
    </w:tbl>
    <w:p w14:paraId="37ADBB10" w14:textId="43CE1771" w:rsidR="009A25CA" w:rsidRDefault="009A25CA"/>
    <w:p w14:paraId="106F38F1" w14:textId="77777777" w:rsidR="00FD391D" w:rsidRPr="00FD391D" w:rsidRDefault="00FD391D" w:rsidP="00FD391D">
      <w:pPr>
        <w:keepNext/>
        <w:keepLines/>
        <w:widowControl/>
        <w:autoSpaceDE/>
        <w:autoSpaceDN/>
        <w:spacing w:before="300"/>
        <w:contextualSpacing/>
        <w:outlineLvl w:val="0"/>
        <w:rPr>
          <w:rFonts w:ascii="Calibri" w:eastAsia="Times New Roman" w:hAnsi="Calibri" w:cs="Times New Roman"/>
          <w:sz w:val="36"/>
          <w:szCs w:val="32"/>
          <w:lang w:eastAsia="en-US" w:bidi="ar-SA"/>
        </w:rPr>
      </w:pPr>
      <w:bookmarkStart w:id="0" w:name="UpdateInfo"/>
      <w:r w:rsidRPr="00FD391D">
        <w:rPr>
          <w:rFonts w:eastAsia="Times New Roman" w:cs="Times New Roman"/>
          <w:color w:val="005EB8"/>
          <w:sz w:val="36"/>
          <w:szCs w:val="32"/>
          <w:lang w:eastAsia="en-US" w:bidi="ar-SA"/>
        </w:rPr>
        <w:lastRenderedPageBreak/>
        <w:t>Update information</w:t>
      </w:r>
    </w:p>
    <w:bookmarkEnd w:id="0"/>
    <w:p w14:paraId="0ECED144" w14:textId="134DD26F" w:rsidR="0079632E" w:rsidRPr="0079632E" w:rsidRDefault="0079632E" w:rsidP="00FD391D">
      <w:pPr>
        <w:widowControl/>
        <w:autoSpaceDE/>
        <w:autoSpaceDN/>
        <w:rPr>
          <w:rFonts w:cs="Times New Roman"/>
          <w:color w:val="231F20"/>
          <w:sz w:val="24"/>
          <w:szCs w:val="24"/>
          <w:lang w:eastAsia="en-US" w:bidi="ar-SA"/>
        </w:rPr>
      </w:pPr>
      <w:r>
        <w:rPr>
          <w:rFonts w:cs="Times New Roman"/>
          <w:b/>
          <w:bCs/>
          <w:color w:val="231F20"/>
          <w:sz w:val="24"/>
          <w:szCs w:val="24"/>
          <w:lang w:eastAsia="en-US" w:bidi="ar-SA"/>
        </w:rPr>
        <w:t xml:space="preserve">February 2021: </w:t>
      </w:r>
      <w:r w:rsidRPr="0079632E">
        <w:rPr>
          <w:rFonts w:cs="Times New Roman"/>
          <w:color w:val="231F20"/>
          <w:sz w:val="24"/>
          <w:szCs w:val="24"/>
          <w:lang w:eastAsia="en-US" w:bidi="ar-SA"/>
        </w:rPr>
        <w:t xml:space="preserve">The advice on warfarin </w:t>
      </w:r>
      <w:r w:rsidR="00EE0219">
        <w:rPr>
          <w:rFonts w:cs="Times New Roman"/>
          <w:color w:val="231F20"/>
          <w:sz w:val="24"/>
          <w:szCs w:val="24"/>
          <w:lang w:eastAsia="en-US" w:bidi="ar-SA"/>
        </w:rPr>
        <w:t>initiation</w:t>
      </w:r>
      <w:r w:rsidRPr="0079632E">
        <w:rPr>
          <w:rFonts w:cs="Times New Roman"/>
          <w:color w:val="231F20"/>
          <w:sz w:val="24"/>
          <w:szCs w:val="24"/>
          <w:lang w:eastAsia="en-US" w:bidi="ar-SA"/>
        </w:rPr>
        <w:t xml:space="preserve"> for patients with mechanical heart valves was updated.</w:t>
      </w:r>
    </w:p>
    <w:p w14:paraId="15E83D56" w14:textId="78667CCE" w:rsidR="00FD391D" w:rsidRPr="00FD391D" w:rsidRDefault="00FD391D" w:rsidP="00FD391D">
      <w:pPr>
        <w:widowControl/>
        <w:autoSpaceDE/>
        <w:autoSpaceDN/>
        <w:rPr>
          <w:rFonts w:cs="Times New Roman"/>
          <w:color w:val="231F20"/>
          <w:sz w:val="24"/>
          <w:szCs w:val="24"/>
          <w:lang w:eastAsia="en-US" w:bidi="ar-SA"/>
        </w:rPr>
      </w:pPr>
      <w:r w:rsidRPr="00FD391D">
        <w:rPr>
          <w:rFonts w:cs="Times New Roman"/>
          <w:b/>
          <w:bCs/>
          <w:color w:val="231F20"/>
          <w:sz w:val="24"/>
          <w:szCs w:val="24"/>
          <w:lang w:eastAsia="en-US" w:bidi="ar-SA"/>
        </w:rPr>
        <w:t>November 2020:</w:t>
      </w:r>
      <w:r w:rsidRPr="00FD391D">
        <w:rPr>
          <w:rFonts w:cs="Times New Roman"/>
          <w:color w:val="231F20"/>
          <w:sz w:val="24"/>
          <w:szCs w:val="24"/>
          <w:lang w:eastAsia="en-US" w:bidi="ar-SA"/>
        </w:rPr>
        <w:t xml:space="preserve"> hyperlinks in this document were updated when the suite of guidance was moved from NHS England to NICE.</w:t>
      </w:r>
    </w:p>
    <w:p w14:paraId="0985C02C" w14:textId="27F7F316" w:rsidR="00FD391D" w:rsidRPr="00FD391D" w:rsidRDefault="00FD391D" w:rsidP="00FD391D">
      <w:pPr>
        <w:widowControl/>
        <w:autoSpaceDE/>
        <w:autoSpaceDN/>
        <w:rPr>
          <w:rFonts w:cs="Times New Roman"/>
          <w:color w:val="231F20"/>
          <w:sz w:val="24"/>
          <w:szCs w:val="24"/>
          <w:lang w:eastAsia="en-US" w:bidi="ar-SA"/>
        </w:rPr>
      </w:pPr>
      <w:r>
        <w:rPr>
          <w:rFonts w:cs="Times New Roman"/>
          <w:b/>
          <w:bCs/>
          <w:color w:val="231F20"/>
          <w:sz w:val="24"/>
          <w:szCs w:val="24"/>
          <w:lang w:eastAsia="en-US" w:bidi="ar-SA"/>
        </w:rPr>
        <w:t>31 March</w:t>
      </w:r>
      <w:r w:rsidRPr="00FD391D">
        <w:rPr>
          <w:rFonts w:cs="Times New Roman"/>
          <w:b/>
          <w:bCs/>
          <w:color w:val="231F20"/>
          <w:sz w:val="24"/>
          <w:szCs w:val="24"/>
          <w:lang w:eastAsia="en-US" w:bidi="ar-SA"/>
        </w:rPr>
        <w:t xml:space="preserve"> 2020:</w:t>
      </w:r>
      <w:r w:rsidRPr="00FD391D">
        <w:rPr>
          <w:rFonts w:cs="Times New Roman"/>
          <w:color w:val="231F20"/>
          <w:sz w:val="24"/>
          <w:szCs w:val="24"/>
          <w:lang w:eastAsia="en-US" w:bidi="ar-SA"/>
        </w:rPr>
        <w:t xml:space="preserve"> version 1 published.</w:t>
      </w:r>
    </w:p>
    <w:p w14:paraId="546628FC" w14:textId="77777777" w:rsidR="00FD391D" w:rsidRDefault="00FD391D"/>
    <w:sectPr w:rsidR="00FD391D">
      <w:pgSz w:w="11910" w:h="16850"/>
      <w:pgMar w:top="1120" w:right="940" w:bottom="800" w:left="92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407A" w14:textId="77777777" w:rsidR="00645D15" w:rsidRDefault="00645D15">
      <w:r>
        <w:separator/>
      </w:r>
    </w:p>
  </w:endnote>
  <w:endnote w:type="continuationSeparator" w:id="0">
    <w:p w14:paraId="666C8B56" w14:textId="77777777" w:rsidR="00645D15" w:rsidRDefault="0064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546F" w14:textId="24980193" w:rsidR="00645D15" w:rsidRDefault="00645D15">
    <w:pPr>
      <w:pStyle w:val="BodyText"/>
      <w:spacing w:line="14" w:lineRule="auto"/>
      <w:ind w:left="0"/>
      <w:rPr>
        <w:sz w:val="20"/>
      </w:rPr>
    </w:pPr>
    <w:r>
      <w:rPr>
        <w:noProof/>
      </w:rPr>
      <mc:AlternateContent>
        <mc:Choice Requires="wps">
          <w:drawing>
            <wp:inline distT="0" distB="0" distL="0" distR="0" wp14:anchorId="129DD00B" wp14:editId="04715082">
              <wp:extent cx="7258227" cy="218838"/>
              <wp:effectExtent l="0" t="0" r="0" b="1016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227" cy="218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47D7D" w14:textId="21C3EF5B" w:rsidR="00645D15" w:rsidRDefault="00645D15" w:rsidP="00BC2B64">
                          <w:pPr>
                            <w:pStyle w:val="Footer"/>
                          </w:pPr>
                          <w:r>
                            <w:fldChar w:fldCharType="begin"/>
                          </w:r>
                          <w:r>
                            <w:rPr>
                              <w:sz w:val="25"/>
                            </w:rPr>
                            <w:instrText xml:space="preserve"> PAGE </w:instrText>
                          </w:r>
                          <w:r>
                            <w:fldChar w:fldCharType="separate"/>
                          </w:r>
                          <w:r>
                            <w:t>2</w:t>
                          </w:r>
                          <w:r>
                            <w:fldChar w:fldCharType="end"/>
                          </w:r>
                          <w:r>
                            <w:rPr>
                              <w:sz w:val="25"/>
                            </w:rPr>
                            <w:t xml:space="preserve"> </w:t>
                          </w:r>
                          <w:r>
                            <w:rPr>
                              <w:b/>
                              <w:color w:val="005EB8"/>
                              <w:sz w:val="25"/>
                            </w:rPr>
                            <w:t xml:space="preserve">| </w:t>
                          </w:r>
                          <w:r>
                            <w:t xml:space="preserve">Clinical guide for the management of anticoagulant services during the </w:t>
                          </w:r>
                          <w:r w:rsidR="00BC2B64">
                            <w:t xml:space="preserve">COVID-19 </w:t>
                          </w:r>
                          <w:r>
                            <w:t>pandemic</w:t>
                          </w:r>
                        </w:p>
                      </w:txbxContent>
                    </wps:txbx>
                    <wps:bodyPr rot="0" vert="horz" wrap="square" lIns="0" tIns="0" rIns="0" bIns="0" anchor="t" anchorCtr="0" upright="1">
                      <a:noAutofit/>
                    </wps:bodyPr>
                  </wps:wsp>
                </a:graphicData>
              </a:graphic>
            </wp:inline>
          </w:drawing>
        </mc:Choice>
        <mc:Fallback>
          <w:pict>
            <v:shapetype w14:anchorId="129DD00B" id="_x0000_t202" coordsize="21600,21600" o:spt="202" path="m,l,21600r21600,l21600,xe">
              <v:stroke joinstyle="miter"/>
              <v:path gradientshapeok="t" o:connecttype="rect"/>
            </v:shapetype>
            <v:shape id="Text Box 3" o:spid="_x0000_s1026" type="#_x0000_t202" style="width:571.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" filled="f" stroked="f">
              <v:textbox inset="0,0,0,0">
                <w:txbxContent>
                  <w:p w14:paraId="4E247D7D" w14:textId="21C3EF5B" w:rsidR="00645D15" w:rsidRDefault="00645D15" w:rsidP="00BC2B64">
                    <w:pPr>
                      <w:pStyle w:val="Footer"/>
                    </w:pPr>
                    <w:r>
                      <w:fldChar w:fldCharType="begin"/>
                    </w:r>
                    <w:r>
                      <w:rPr>
                        <w:sz w:val="25"/>
                      </w:rPr>
                      <w:instrText xml:space="preserve"> PAGE </w:instrText>
                    </w:r>
                    <w:r>
                      <w:fldChar w:fldCharType="separate"/>
                    </w:r>
                    <w:r>
                      <w:t>2</w:t>
                    </w:r>
                    <w:r>
                      <w:fldChar w:fldCharType="end"/>
                    </w:r>
                    <w:r>
                      <w:rPr>
                        <w:sz w:val="25"/>
                      </w:rPr>
                      <w:t xml:space="preserve"> </w:t>
                    </w:r>
                    <w:r>
                      <w:rPr>
                        <w:b/>
                        <w:color w:val="005EB8"/>
                        <w:sz w:val="25"/>
                      </w:rPr>
                      <w:t xml:space="preserve">| </w:t>
                    </w:r>
                    <w:r>
                      <w:t xml:space="preserve">Clinical guide for the management of anticoagulant services during the </w:t>
                    </w:r>
                    <w:r w:rsidR="00BC2B64">
                      <w:t xml:space="preserve">COVID-19 </w:t>
                    </w:r>
                    <w:r>
                      <w:t>pandemic</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B732" w14:textId="52EE40A0" w:rsidR="00645D15" w:rsidRDefault="00645D15">
    <w:pPr>
      <w:pStyle w:val="BodyText"/>
      <w:spacing w:line="14" w:lineRule="auto"/>
      <w:ind w:left="0"/>
      <w:rPr>
        <w:sz w:val="20"/>
      </w:rPr>
    </w:pPr>
    <w:r>
      <w:rPr>
        <w:noProof/>
      </w:rPr>
      <mc:AlternateContent>
        <mc:Choice Requires="wps">
          <w:drawing>
            <wp:inline distT="0" distB="0" distL="0" distR="0" wp14:anchorId="4B42F097" wp14:editId="0F476D00">
              <wp:extent cx="10213443" cy="272001"/>
              <wp:effectExtent l="0" t="0" r="1651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3443" cy="272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4858A" w14:textId="74C22FE7" w:rsidR="00645D15" w:rsidRDefault="00645D15" w:rsidP="00BC2B64">
                          <w:pPr>
                            <w:pStyle w:val="Footer"/>
                          </w:pPr>
                          <w:r>
                            <w:fldChar w:fldCharType="begin"/>
                          </w:r>
                          <w:r>
                            <w:rPr>
                              <w:sz w:val="25"/>
                            </w:rPr>
                            <w:instrText xml:space="preserve"> PAGE </w:instrText>
                          </w:r>
                          <w:r>
                            <w:fldChar w:fldCharType="separate"/>
                          </w:r>
                          <w:r>
                            <w:t>10</w:t>
                          </w:r>
                          <w:r>
                            <w:fldChar w:fldCharType="end"/>
                          </w:r>
                          <w:r>
                            <w:rPr>
                              <w:sz w:val="25"/>
                            </w:rPr>
                            <w:t xml:space="preserve"> </w:t>
                          </w:r>
                          <w:r>
                            <w:rPr>
                              <w:b/>
                              <w:color w:val="005EB8"/>
                              <w:sz w:val="25"/>
                            </w:rPr>
                            <w:t xml:space="preserve">| </w:t>
                          </w:r>
                          <w:r>
                            <w:t xml:space="preserve">Clinical guide for the management of anticoagulant services during the </w:t>
                          </w:r>
                          <w:r w:rsidR="00BC2B64">
                            <w:t xml:space="preserve">COVID-19 </w:t>
                          </w:r>
                          <w:r>
                            <w:t>pandemic</w:t>
                          </w:r>
                        </w:p>
                      </w:txbxContent>
                    </wps:txbx>
                    <wps:bodyPr rot="0" vert="horz" wrap="square" lIns="0" tIns="0" rIns="0" bIns="0" anchor="t" anchorCtr="0" upright="1">
                      <a:noAutofit/>
                    </wps:bodyPr>
                  </wps:wsp>
                </a:graphicData>
              </a:graphic>
            </wp:inline>
          </w:drawing>
        </mc:Choice>
        <mc:Fallback>
          <w:pict>
            <v:shapetype w14:anchorId="4B42F097" id="_x0000_t202" coordsize="21600,21600" o:spt="202" path="m,l,21600r21600,l21600,xe">
              <v:stroke joinstyle="miter"/>
              <v:path gradientshapeok="t" o:connecttype="rect"/>
            </v:shapetype>
            <v:shape id="Text Box 2" o:spid="_x0000_s1027" type="#_x0000_t202" style="width:804.2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" filled="f" stroked="f">
              <v:textbox inset="0,0,0,0">
                <w:txbxContent>
                  <w:p w14:paraId="3734858A" w14:textId="74C22FE7" w:rsidR="00645D15" w:rsidRDefault="00645D15" w:rsidP="00BC2B64">
                    <w:pPr>
                      <w:pStyle w:val="Footer"/>
                    </w:pPr>
                    <w:r>
                      <w:fldChar w:fldCharType="begin"/>
                    </w:r>
                    <w:r>
                      <w:rPr>
                        <w:sz w:val="25"/>
                      </w:rPr>
                      <w:instrText xml:space="preserve"> PAGE </w:instrText>
                    </w:r>
                    <w:r>
                      <w:fldChar w:fldCharType="separate"/>
                    </w:r>
                    <w:r>
                      <w:t>10</w:t>
                    </w:r>
                    <w:r>
                      <w:fldChar w:fldCharType="end"/>
                    </w:r>
                    <w:r>
                      <w:rPr>
                        <w:sz w:val="25"/>
                      </w:rPr>
                      <w:t xml:space="preserve"> </w:t>
                    </w:r>
                    <w:r>
                      <w:rPr>
                        <w:b/>
                        <w:color w:val="005EB8"/>
                        <w:sz w:val="25"/>
                      </w:rPr>
                      <w:t xml:space="preserve">| </w:t>
                    </w:r>
                    <w:r>
                      <w:t xml:space="preserve">Clinical guide for the management of anticoagulant services during the </w:t>
                    </w:r>
                    <w:r w:rsidR="00BC2B64">
                      <w:t xml:space="preserve">COVID-19 </w:t>
                    </w:r>
                    <w:r>
                      <w:t>pandemic</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6A81" w14:textId="10AE2E96" w:rsidR="00645D15" w:rsidRDefault="00645D15">
    <w:pPr>
      <w:pStyle w:val="BodyText"/>
      <w:spacing w:line="14" w:lineRule="auto"/>
      <w:ind w:left="0"/>
      <w:rPr>
        <w:sz w:val="20"/>
      </w:rPr>
    </w:pPr>
    <w:r>
      <w:rPr>
        <w:noProof/>
      </w:rPr>
      <mc:AlternateContent>
        <mc:Choice Requires="wps">
          <w:drawing>
            <wp:inline distT="0" distB="0" distL="0" distR="0" wp14:anchorId="6214AC57" wp14:editId="5FF56951">
              <wp:extent cx="6662804" cy="218838"/>
              <wp:effectExtent l="0" t="0" r="5080" b="1016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804" cy="218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E73BC" w14:textId="58B4AA73" w:rsidR="00645D15" w:rsidRDefault="00645D15" w:rsidP="00BC2B64">
                          <w:pPr>
                            <w:pStyle w:val="Footer"/>
                          </w:pPr>
                          <w:r>
                            <w:fldChar w:fldCharType="begin"/>
                          </w:r>
                          <w:r>
                            <w:rPr>
                              <w:sz w:val="25"/>
                            </w:rPr>
                            <w:instrText xml:space="preserve"> PAGE </w:instrText>
                          </w:r>
                          <w:r>
                            <w:fldChar w:fldCharType="separate"/>
                          </w:r>
                          <w:r>
                            <w:t>12</w:t>
                          </w:r>
                          <w:r>
                            <w:fldChar w:fldCharType="end"/>
                          </w:r>
                          <w:r>
                            <w:rPr>
                              <w:sz w:val="25"/>
                            </w:rPr>
                            <w:t xml:space="preserve"> </w:t>
                          </w:r>
                          <w:r>
                            <w:rPr>
                              <w:b/>
                              <w:color w:val="005EB8"/>
                              <w:sz w:val="25"/>
                            </w:rPr>
                            <w:t xml:space="preserve">| </w:t>
                          </w:r>
                          <w:r>
                            <w:t xml:space="preserve">Clinical guide for the management of anticoagulant services during the </w:t>
                          </w:r>
                          <w:r w:rsidR="00BC2B64">
                            <w:t xml:space="preserve">COVID-19 </w:t>
                          </w:r>
                          <w:r>
                            <w:t>pandemic</w:t>
                          </w:r>
                        </w:p>
                      </w:txbxContent>
                    </wps:txbx>
                    <wps:bodyPr rot="0" vert="horz" wrap="square" lIns="0" tIns="0" rIns="0" bIns="0" anchor="t" anchorCtr="0" upright="1">
                      <a:noAutofit/>
                    </wps:bodyPr>
                  </wps:wsp>
                </a:graphicData>
              </a:graphic>
            </wp:inline>
          </w:drawing>
        </mc:Choice>
        <mc:Fallback>
          <w:pict>
            <v:shapetype w14:anchorId="6214AC57" id="_x0000_t202" coordsize="21600,21600" o:spt="202" path="m,l,21600r21600,l21600,xe">
              <v:stroke joinstyle="miter"/>
              <v:path gradientshapeok="t" o:connecttype="rect"/>
            </v:shapetype>
            <v:shape id="Text Box 1" o:spid="_x0000_s1028" type="#_x0000_t202" style="width:524.6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" filled="f" stroked="f">
              <v:textbox inset="0,0,0,0">
                <w:txbxContent>
                  <w:p w14:paraId="479E73BC" w14:textId="58B4AA73" w:rsidR="00645D15" w:rsidRDefault="00645D15" w:rsidP="00BC2B64">
                    <w:pPr>
                      <w:pStyle w:val="Footer"/>
                    </w:pPr>
                    <w:r>
                      <w:fldChar w:fldCharType="begin"/>
                    </w:r>
                    <w:r>
                      <w:rPr>
                        <w:sz w:val="25"/>
                      </w:rPr>
                      <w:instrText xml:space="preserve"> PAGE </w:instrText>
                    </w:r>
                    <w:r>
                      <w:fldChar w:fldCharType="separate"/>
                    </w:r>
                    <w:r>
                      <w:t>12</w:t>
                    </w:r>
                    <w:r>
                      <w:fldChar w:fldCharType="end"/>
                    </w:r>
                    <w:r>
                      <w:rPr>
                        <w:sz w:val="25"/>
                      </w:rPr>
                      <w:t xml:space="preserve"> </w:t>
                    </w:r>
                    <w:r>
                      <w:rPr>
                        <w:b/>
                        <w:color w:val="005EB8"/>
                        <w:sz w:val="25"/>
                      </w:rPr>
                      <w:t xml:space="preserve">| </w:t>
                    </w:r>
                    <w:r>
                      <w:t xml:space="preserve">Clinical guide for the management of anticoagulant services during the </w:t>
                    </w:r>
                    <w:r w:rsidR="00BC2B64">
                      <w:t xml:space="preserve">COVID-19 </w:t>
                    </w:r>
                    <w:r>
                      <w:t>pandemic</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28AA" w14:textId="77777777" w:rsidR="00645D15" w:rsidRDefault="00645D15">
      <w:r>
        <w:separator/>
      </w:r>
    </w:p>
  </w:footnote>
  <w:footnote w:type="continuationSeparator" w:id="0">
    <w:p w14:paraId="15541FC6" w14:textId="77777777" w:rsidR="00645D15" w:rsidRDefault="00645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6832"/>
    <w:multiLevelType w:val="hybridMultilevel"/>
    <w:tmpl w:val="0E6223A0"/>
    <w:lvl w:ilvl="0" w:tplc="3AB6DCC0">
      <w:start w:val="1"/>
      <w:numFmt w:val="decimal"/>
      <w:lvlText w:val="%1."/>
      <w:lvlJc w:val="left"/>
      <w:pPr>
        <w:ind w:left="1303" w:hanging="284"/>
      </w:pPr>
      <w:rPr>
        <w:rFonts w:hint="default"/>
        <w:b/>
        <w:bCs/>
        <w:w w:val="100"/>
        <w:lang w:val="en-GB" w:eastAsia="en-GB" w:bidi="en-GB"/>
      </w:rPr>
    </w:lvl>
    <w:lvl w:ilvl="1" w:tplc="3D0687C8">
      <w:numFmt w:val="bullet"/>
      <w:lvlText w:val="•"/>
      <w:lvlJc w:val="left"/>
      <w:pPr>
        <w:ind w:left="1872" w:hanging="286"/>
      </w:pPr>
      <w:rPr>
        <w:rFonts w:ascii="Arial" w:eastAsia="Arial" w:hAnsi="Arial" w:cs="Arial" w:hint="default"/>
        <w:color w:val="005EB8"/>
        <w:w w:val="99"/>
        <w:sz w:val="32"/>
        <w:szCs w:val="32"/>
        <w:lang w:val="en-GB" w:eastAsia="en-GB" w:bidi="en-GB"/>
      </w:rPr>
    </w:lvl>
    <w:lvl w:ilvl="2" w:tplc="9EBAD560">
      <w:numFmt w:val="bullet"/>
      <w:lvlText w:val="–"/>
      <w:lvlJc w:val="left"/>
      <w:pPr>
        <w:ind w:left="2153" w:hanging="281"/>
      </w:pPr>
      <w:rPr>
        <w:rFonts w:ascii="Arial" w:eastAsia="Arial" w:hAnsi="Arial" w:cs="Arial" w:hint="default"/>
        <w:color w:val="005EB8"/>
        <w:spacing w:val="-3"/>
        <w:w w:val="99"/>
        <w:sz w:val="24"/>
        <w:szCs w:val="24"/>
        <w:lang w:val="en-GB" w:eastAsia="en-GB" w:bidi="en-GB"/>
      </w:rPr>
    </w:lvl>
    <w:lvl w:ilvl="3" w:tplc="435A236C">
      <w:numFmt w:val="bullet"/>
      <w:lvlText w:val="•"/>
      <w:lvlJc w:val="left"/>
      <w:pPr>
        <w:ind w:left="3378" w:hanging="281"/>
      </w:pPr>
      <w:rPr>
        <w:rFonts w:hint="default"/>
        <w:lang w:val="en-GB" w:eastAsia="en-GB" w:bidi="en-GB"/>
      </w:rPr>
    </w:lvl>
    <w:lvl w:ilvl="4" w:tplc="3836DD08">
      <w:numFmt w:val="bullet"/>
      <w:lvlText w:val="•"/>
      <w:lvlJc w:val="left"/>
      <w:pPr>
        <w:ind w:left="4596" w:hanging="281"/>
      </w:pPr>
      <w:rPr>
        <w:rFonts w:hint="default"/>
        <w:lang w:val="en-GB" w:eastAsia="en-GB" w:bidi="en-GB"/>
      </w:rPr>
    </w:lvl>
    <w:lvl w:ilvl="5" w:tplc="2FFE7E58">
      <w:numFmt w:val="bullet"/>
      <w:lvlText w:val="•"/>
      <w:lvlJc w:val="left"/>
      <w:pPr>
        <w:ind w:left="5814" w:hanging="281"/>
      </w:pPr>
      <w:rPr>
        <w:rFonts w:hint="default"/>
        <w:lang w:val="en-GB" w:eastAsia="en-GB" w:bidi="en-GB"/>
      </w:rPr>
    </w:lvl>
    <w:lvl w:ilvl="6" w:tplc="660C2F0E">
      <w:numFmt w:val="bullet"/>
      <w:lvlText w:val="•"/>
      <w:lvlJc w:val="left"/>
      <w:pPr>
        <w:ind w:left="7033" w:hanging="281"/>
      </w:pPr>
      <w:rPr>
        <w:rFonts w:hint="default"/>
        <w:lang w:val="en-GB" w:eastAsia="en-GB" w:bidi="en-GB"/>
      </w:rPr>
    </w:lvl>
    <w:lvl w:ilvl="7" w:tplc="83D04DB8">
      <w:numFmt w:val="bullet"/>
      <w:lvlText w:val="•"/>
      <w:lvlJc w:val="left"/>
      <w:pPr>
        <w:ind w:left="8251" w:hanging="281"/>
      </w:pPr>
      <w:rPr>
        <w:rFonts w:hint="default"/>
        <w:lang w:val="en-GB" w:eastAsia="en-GB" w:bidi="en-GB"/>
      </w:rPr>
    </w:lvl>
    <w:lvl w:ilvl="8" w:tplc="0646EE2A">
      <w:numFmt w:val="bullet"/>
      <w:lvlText w:val="•"/>
      <w:lvlJc w:val="left"/>
      <w:pPr>
        <w:ind w:left="9469" w:hanging="281"/>
      </w:pPr>
      <w:rPr>
        <w:rFonts w:hint="default"/>
        <w:lang w:val="en-GB" w:eastAsia="en-GB" w:bidi="en-GB"/>
      </w:rPr>
    </w:lvl>
  </w:abstractNum>
  <w:abstractNum w:abstractNumId="1" w15:restartNumberingAfterBreak="0">
    <w:nsid w:val="31537F21"/>
    <w:multiLevelType w:val="hybridMultilevel"/>
    <w:tmpl w:val="BEAAFE18"/>
    <w:lvl w:ilvl="0" w:tplc="AD5648F8">
      <w:numFmt w:val="bullet"/>
      <w:lvlText w:val="•"/>
      <w:lvlJc w:val="left"/>
      <w:pPr>
        <w:ind w:left="1872" w:hanging="286"/>
      </w:pPr>
      <w:rPr>
        <w:rFonts w:ascii="Arial" w:eastAsia="Arial" w:hAnsi="Arial" w:cs="Arial" w:hint="default"/>
        <w:color w:val="005EB8"/>
        <w:w w:val="99"/>
        <w:sz w:val="32"/>
        <w:szCs w:val="32"/>
        <w:lang w:val="en-GB" w:eastAsia="en-GB" w:bidi="en-GB"/>
      </w:rPr>
    </w:lvl>
    <w:lvl w:ilvl="1" w:tplc="CDF002F4">
      <w:numFmt w:val="bullet"/>
      <w:lvlText w:val="•"/>
      <w:lvlJc w:val="left"/>
      <w:pPr>
        <w:ind w:left="2882" w:hanging="286"/>
      </w:pPr>
      <w:rPr>
        <w:rFonts w:hint="default"/>
        <w:lang w:val="en-GB" w:eastAsia="en-GB" w:bidi="en-GB"/>
      </w:rPr>
    </w:lvl>
    <w:lvl w:ilvl="2" w:tplc="8F8EBD56">
      <w:numFmt w:val="bullet"/>
      <w:lvlText w:val="•"/>
      <w:lvlJc w:val="left"/>
      <w:pPr>
        <w:ind w:left="3885" w:hanging="286"/>
      </w:pPr>
      <w:rPr>
        <w:rFonts w:hint="default"/>
        <w:lang w:val="en-GB" w:eastAsia="en-GB" w:bidi="en-GB"/>
      </w:rPr>
    </w:lvl>
    <w:lvl w:ilvl="3" w:tplc="FDE8360E">
      <w:numFmt w:val="bullet"/>
      <w:lvlText w:val="•"/>
      <w:lvlJc w:val="left"/>
      <w:pPr>
        <w:ind w:left="4887" w:hanging="286"/>
      </w:pPr>
      <w:rPr>
        <w:rFonts w:hint="default"/>
        <w:lang w:val="en-GB" w:eastAsia="en-GB" w:bidi="en-GB"/>
      </w:rPr>
    </w:lvl>
    <w:lvl w:ilvl="4" w:tplc="27DC7A7A">
      <w:numFmt w:val="bullet"/>
      <w:lvlText w:val="•"/>
      <w:lvlJc w:val="left"/>
      <w:pPr>
        <w:ind w:left="5890" w:hanging="286"/>
      </w:pPr>
      <w:rPr>
        <w:rFonts w:hint="default"/>
        <w:lang w:val="en-GB" w:eastAsia="en-GB" w:bidi="en-GB"/>
      </w:rPr>
    </w:lvl>
    <w:lvl w:ilvl="5" w:tplc="2786C798">
      <w:numFmt w:val="bullet"/>
      <w:lvlText w:val="•"/>
      <w:lvlJc w:val="left"/>
      <w:pPr>
        <w:ind w:left="6893" w:hanging="286"/>
      </w:pPr>
      <w:rPr>
        <w:rFonts w:hint="default"/>
        <w:lang w:val="en-GB" w:eastAsia="en-GB" w:bidi="en-GB"/>
      </w:rPr>
    </w:lvl>
    <w:lvl w:ilvl="6" w:tplc="8D68696E">
      <w:numFmt w:val="bullet"/>
      <w:lvlText w:val="•"/>
      <w:lvlJc w:val="left"/>
      <w:pPr>
        <w:ind w:left="7895" w:hanging="286"/>
      </w:pPr>
      <w:rPr>
        <w:rFonts w:hint="default"/>
        <w:lang w:val="en-GB" w:eastAsia="en-GB" w:bidi="en-GB"/>
      </w:rPr>
    </w:lvl>
    <w:lvl w:ilvl="7" w:tplc="4080BC18">
      <w:numFmt w:val="bullet"/>
      <w:lvlText w:val="•"/>
      <w:lvlJc w:val="left"/>
      <w:pPr>
        <w:ind w:left="8898" w:hanging="286"/>
      </w:pPr>
      <w:rPr>
        <w:rFonts w:hint="default"/>
        <w:lang w:val="en-GB" w:eastAsia="en-GB" w:bidi="en-GB"/>
      </w:rPr>
    </w:lvl>
    <w:lvl w:ilvl="8" w:tplc="58505454">
      <w:numFmt w:val="bullet"/>
      <w:lvlText w:val="•"/>
      <w:lvlJc w:val="left"/>
      <w:pPr>
        <w:ind w:left="9901" w:hanging="286"/>
      </w:pPr>
      <w:rPr>
        <w:rFonts w:hint="default"/>
        <w:lang w:val="en-GB" w:eastAsia="en-GB" w:bidi="en-GB"/>
      </w:rPr>
    </w:lvl>
  </w:abstractNum>
  <w:abstractNum w:abstractNumId="2" w15:restartNumberingAfterBreak="0">
    <w:nsid w:val="34155246"/>
    <w:multiLevelType w:val="hybridMultilevel"/>
    <w:tmpl w:val="31C0D9F8"/>
    <w:lvl w:ilvl="0" w:tplc="BAE6B86E">
      <w:numFmt w:val="bullet"/>
      <w:lvlText w:val=""/>
      <w:lvlJc w:val="left"/>
      <w:pPr>
        <w:ind w:left="828" w:hanging="360"/>
      </w:pPr>
      <w:rPr>
        <w:rFonts w:ascii="Symbol" w:eastAsia="Symbol" w:hAnsi="Symbol" w:cs="Symbol" w:hint="default"/>
        <w:w w:val="100"/>
        <w:sz w:val="22"/>
        <w:szCs w:val="22"/>
        <w:lang w:val="en-GB" w:eastAsia="en-GB" w:bidi="en-GB"/>
      </w:rPr>
    </w:lvl>
    <w:lvl w:ilvl="1" w:tplc="D3E457BE">
      <w:numFmt w:val="bullet"/>
      <w:lvlText w:val="•"/>
      <w:lvlJc w:val="left"/>
      <w:pPr>
        <w:ind w:left="1587" w:hanging="360"/>
      </w:pPr>
      <w:rPr>
        <w:rFonts w:hint="default"/>
        <w:lang w:val="en-GB" w:eastAsia="en-GB" w:bidi="en-GB"/>
      </w:rPr>
    </w:lvl>
    <w:lvl w:ilvl="2" w:tplc="99A6FC64">
      <w:numFmt w:val="bullet"/>
      <w:lvlText w:val="•"/>
      <w:lvlJc w:val="left"/>
      <w:pPr>
        <w:ind w:left="2354" w:hanging="360"/>
      </w:pPr>
      <w:rPr>
        <w:rFonts w:hint="default"/>
        <w:lang w:val="en-GB" w:eastAsia="en-GB" w:bidi="en-GB"/>
      </w:rPr>
    </w:lvl>
    <w:lvl w:ilvl="3" w:tplc="323EFE3E">
      <w:numFmt w:val="bullet"/>
      <w:lvlText w:val="•"/>
      <w:lvlJc w:val="left"/>
      <w:pPr>
        <w:ind w:left="3121" w:hanging="360"/>
      </w:pPr>
      <w:rPr>
        <w:rFonts w:hint="default"/>
        <w:lang w:val="en-GB" w:eastAsia="en-GB" w:bidi="en-GB"/>
      </w:rPr>
    </w:lvl>
    <w:lvl w:ilvl="4" w:tplc="5C64BE54">
      <w:numFmt w:val="bullet"/>
      <w:lvlText w:val="•"/>
      <w:lvlJc w:val="left"/>
      <w:pPr>
        <w:ind w:left="3889" w:hanging="360"/>
      </w:pPr>
      <w:rPr>
        <w:rFonts w:hint="default"/>
        <w:lang w:val="en-GB" w:eastAsia="en-GB" w:bidi="en-GB"/>
      </w:rPr>
    </w:lvl>
    <w:lvl w:ilvl="5" w:tplc="5450DA2C">
      <w:numFmt w:val="bullet"/>
      <w:lvlText w:val="•"/>
      <w:lvlJc w:val="left"/>
      <w:pPr>
        <w:ind w:left="4656" w:hanging="360"/>
      </w:pPr>
      <w:rPr>
        <w:rFonts w:hint="default"/>
        <w:lang w:val="en-GB" w:eastAsia="en-GB" w:bidi="en-GB"/>
      </w:rPr>
    </w:lvl>
    <w:lvl w:ilvl="6" w:tplc="5C4C5A5C">
      <w:numFmt w:val="bullet"/>
      <w:lvlText w:val="•"/>
      <w:lvlJc w:val="left"/>
      <w:pPr>
        <w:ind w:left="5423" w:hanging="360"/>
      </w:pPr>
      <w:rPr>
        <w:rFonts w:hint="default"/>
        <w:lang w:val="en-GB" w:eastAsia="en-GB" w:bidi="en-GB"/>
      </w:rPr>
    </w:lvl>
    <w:lvl w:ilvl="7" w:tplc="0A944EC4">
      <w:numFmt w:val="bullet"/>
      <w:lvlText w:val="•"/>
      <w:lvlJc w:val="left"/>
      <w:pPr>
        <w:ind w:left="6191" w:hanging="360"/>
      </w:pPr>
      <w:rPr>
        <w:rFonts w:hint="default"/>
        <w:lang w:val="en-GB" w:eastAsia="en-GB" w:bidi="en-GB"/>
      </w:rPr>
    </w:lvl>
    <w:lvl w:ilvl="8" w:tplc="0FEC426E">
      <w:numFmt w:val="bullet"/>
      <w:lvlText w:val="•"/>
      <w:lvlJc w:val="left"/>
      <w:pPr>
        <w:ind w:left="6958" w:hanging="360"/>
      </w:pPr>
      <w:rPr>
        <w:rFonts w:hint="default"/>
        <w:lang w:val="en-GB" w:eastAsia="en-GB" w:bidi="en-GB"/>
      </w:rPr>
    </w:lvl>
  </w:abstractNum>
  <w:abstractNum w:abstractNumId="3" w15:restartNumberingAfterBreak="0">
    <w:nsid w:val="57DC5AA3"/>
    <w:multiLevelType w:val="hybridMultilevel"/>
    <w:tmpl w:val="D82C902E"/>
    <w:lvl w:ilvl="0" w:tplc="D2826040">
      <w:numFmt w:val="bullet"/>
      <w:lvlText w:val=""/>
      <w:lvlJc w:val="left"/>
      <w:pPr>
        <w:ind w:left="828" w:hanging="360"/>
      </w:pPr>
      <w:rPr>
        <w:rFonts w:ascii="Symbol" w:eastAsia="Symbol" w:hAnsi="Symbol" w:cs="Symbol" w:hint="default"/>
        <w:w w:val="100"/>
        <w:sz w:val="22"/>
        <w:szCs w:val="22"/>
        <w:lang w:val="en-GB" w:eastAsia="en-GB" w:bidi="en-GB"/>
      </w:rPr>
    </w:lvl>
    <w:lvl w:ilvl="1" w:tplc="E39096A0">
      <w:numFmt w:val="bullet"/>
      <w:lvlText w:val="•"/>
      <w:lvlJc w:val="left"/>
      <w:pPr>
        <w:ind w:left="1587" w:hanging="360"/>
      </w:pPr>
      <w:rPr>
        <w:rFonts w:hint="default"/>
        <w:lang w:val="en-GB" w:eastAsia="en-GB" w:bidi="en-GB"/>
      </w:rPr>
    </w:lvl>
    <w:lvl w:ilvl="2" w:tplc="0F3A9D48">
      <w:numFmt w:val="bullet"/>
      <w:lvlText w:val="•"/>
      <w:lvlJc w:val="left"/>
      <w:pPr>
        <w:ind w:left="2354" w:hanging="360"/>
      </w:pPr>
      <w:rPr>
        <w:rFonts w:hint="default"/>
        <w:lang w:val="en-GB" w:eastAsia="en-GB" w:bidi="en-GB"/>
      </w:rPr>
    </w:lvl>
    <w:lvl w:ilvl="3" w:tplc="611E3BC4">
      <w:numFmt w:val="bullet"/>
      <w:lvlText w:val="•"/>
      <w:lvlJc w:val="left"/>
      <w:pPr>
        <w:ind w:left="3121" w:hanging="360"/>
      </w:pPr>
      <w:rPr>
        <w:rFonts w:hint="default"/>
        <w:lang w:val="en-GB" w:eastAsia="en-GB" w:bidi="en-GB"/>
      </w:rPr>
    </w:lvl>
    <w:lvl w:ilvl="4" w:tplc="5D4CBA04">
      <w:numFmt w:val="bullet"/>
      <w:lvlText w:val="•"/>
      <w:lvlJc w:val="left"/>
      <w:pPr>
        <w:ind w:left="3889" w:hanging="360"/>
      </w:pPr>
      <w:rPr>
        <w:rFonts w:hint="default"/>
        <w:lang w:val="en-GB" w:eastAsia="en-GB" w:bidi="en-GB"/>
      </w:rPr>
    </w:lvl>
    <w:lvl w:ilvl="5" w:tplc="C80E6538">
      <w:numFmt w:val="bullet"/>
      <w:lvlText w:val="•"/>
      <w:lvlJc w:val="left"/>
      <w:pPr>
        <w:ind w:left="4656" w:hanging="360"/>
      </w:pPr>
      <w:rPr>
        <w:rFonts w:hint="default"/>
        <w:lang w:val="en-GB" w:eastAsia="en-GB" w:bidi="en-GB"/>
      </w:rPr>
    </w:lvl>
    <w:lvl w:ilvl="6" w:tplc="B1662E10">
      <w:numFmt w:val="bullet"/>
      <w:lvlText w:val="•"/>
      <w:lvlJc w:val="left"/>
      <w:pPr>
        <w:ind w:left="5423" w:hanging="360"/>
      </w:pPr>
      <w:rPr>
        <w:rFonts w:hint="default"/>
        <w:lang w:val="en-GB" w:eastAsia="en-GB" w:bidi="en-GB"/>
      </w:rPr>
    </w:lvl>
    <w:lvl w:ilvl="7" w:tplc="ABC89DC2">
      <w:numFmt w:val="bullet"/>
      <w:lvlText w:val="•"/>
      <w:lvlJc w:val="left"/>
      <w:pPr>
        <w:ind w:left="6191" w:hanging="360"/>
      </w:pPr>
      <w:rPr>
        <w:rFonts w:hint="default"/>
        <w:lang w:val="en-GB" w:eastAsia="en-GB" w:bidi="en-GB"/>
      </w:rPr>
    </w:lvl>
    <w:lvl w:ilvl="8" w:tplc="BFF827E2">
      <w:numFmt w:val="bullet"/>
      <w:lvlText w:val="•"/>
      <w:lvlJc w:val="left"/>
      <w:pPr>
        <w:ind w:left="6958" w:hanging="360"/>
      </w:pPr>
      <w:rPr>
        <w:rFonts w:hint="default"/>
        <w:lang w:val="en-GB" w:eastAsia="en-GB" w:bidi="en-GB"/>
      </w:rPr>
    </w:lvl>
  </w:abstractNum>
  <w:abstractNum w:abstractNumId="4" w15:restartNumberingAfterBreak="0">
    <w:nsid w:val="65A65366"/>
    <w:multiLevelType w:val="hybridMultilevel"/>
    <w:tmpl w:val="5F3E2210"/>
    <w:lvl w:ilvl="0" w:tplc="2B88576A">
      <w:start w:val="1"/>
      <w:numFmt w:val="decimal"/>
      <w:lvlText w:val="%1."/>
      <w:lvlJc w:val="left"/>
      <w:pPr>
        <w:ind w:left="698" w:hanging="358"/>
      </w:pPr>
      <w:rPr>
        <w:rFonts w:ascii="Arial" w:eastAsia="Arial" w:hAnsi="Arial" w:cs="Arial" w:hint="default"/>
        <w:spacing w:val="-3"/>
        <w:w w:val="99"/>
        <w:sz w:val="24"/>
        <w:szCs w:val="24"/>
        <w:lang w:val="en-GB" w:eastAsia="en-GB" w:bidi="en-GB"/>
      </w:rPr>
    </w:lvl>
    <w:lvl w:ilvl="1" w:tplc="D954F7B0">
      <w:numFmt w:val="bullet"/>
      <w:lvlText w:val="•"/>
      <w:lvlJc w:val="left"/>
      <w:pPr>
        <w:ind w:left="952" w:hanging="286"/>
      </w:pPr>
      <w:rPr>
        <w:rFonts w:ascii="Arial" w:eastAsia="Arial" w:hAnsi="Arial" w:cs="Arial" w:hint="default"/>
        <w:color w:val="005EB8"/>
        <w:w w:val="99"/>
        <w:sz w:val="32"/>
        <w:szCs w:val="32"/>
        <w:lang w:val="en-GB" w:eastAsia="en-GB" w:bidi="en-GB"/>
      </w:rPr>
    </w:lvl>
    <w:lvl w:ilvl="2" w:tplc="BFFC9C16">
      <w:numFmt w:val="bullet"/>
      <w:lvlText w:val="•"/>
      <w:lvlJc w:val="left"/>
      <w:pPr>
        <w:ind w:left="1969" w:hanging="286"/>
      </w:pPr>
      <w:rPr>
        <w:rFonts w:hint="default"/>
        <w:lang w:val="en-GB" w:eastAsia="en-GB" w:bidi="en-GB"/>
      </w:rPr>
    </w:lvl>
    <w:lvl w:ilvl="3" w:tplc="6D805254">
      <w:numFmt w:val="bullet"/>
      <w:lvlText w:val="•"/>
      <w:lvlJc w:val="left"/>
      <w:pPr>
        <w:ind w:left="2979" w:hanging="286"/>
      </w:pPr>
      <w:rPr>
        <w:rFonts w:hint="default"/>
        <w:lang w:val="en-GB" w:eastAsia="en-GB" w:bidi="en-GB"/>
      </w:rPr>
    </w:lvl>
    <w:lvl w:ilvl="4" w:tplc="EF226A84">
      <w:numFmt w:val="bullet"/>
      <w:lvlText w:val="•"/>
      <w:lvlJc w:val="left"/>
      <w:pPr>
        <w:ind w:left="3988" w:hanging="286"/>
      </w:pPr>
      <w:rPr>
        <w:rFonts w:hint="default"/>
        <w:lang w:val="en-GB" w:eastAsia="en-GB" w:bidi="en-GB"/>
      </w:rPr>
    </w:lvl>
    <w:lvl w:ilvl="5" w:tplc="BEC05D7E">
      <w:numFmt w:val="bullet"/>
      <w:lvlText w:val="•"/>
      <w:lvlJc w:val="left"/>
      <w:pPr>
        <w:ind w:left="4998" w:hanging="286"/>
      </w:pPr>
      <w:rPr>
        <w:rFonts w:hint="default"/>
        <w:lang w:val="en-GB" w:eastAsia="en-GB" w:bidi="en-GB"/>
      </w:rPr>
    </w:lvl>
    <w:lvl w:ilvl="6" w:tplc="028C1590">
      <w:numFmt w:val="bullet"/>
      <w:lvlText w:val="•"/>
      <w:lvlJc w:val="left"/>
      <w:pPr>
        <w:ind w:left="6008" w:hanging="286"/>
      </w:pPr>
      <w:rPr>
        <w:rFonts w:hint="default"/>
        <w:lang w:val="en-GB" w:eastAsia="en-GB" w:bidi="en-GB"/>
      </w:rPr>
    </w:lvl>
    <w:lvl w:ilvl="7" w:tplc="87626440">
      <w:numFmt w:val="bullet"/>
      <w:lvlText w:val="•"/>
      <w:lvlJc w:val="left"/>
      <w:pPr>
        <w:ind w:left="7017" w:hanging="286"/>
      </w:pPr>
      <w:rPr>
        <w:rFonts w:hint="default"/>
        <w:lang w:val="en-GB" w:eastAsia="en-GB" w:bidi="en-GB"/>
      </w:rPr>
    </w:lvl>
    <w:lvl w:ilvl="8" w:tplc="475868AC">
      <w:numFmt w:val="bullet"/>
      <w:lvlText w:val="•"/>
      <w:lvlJc w:val="left"/>
      <w:pPr>
        <w:ind w:left="8027" w:hanging="286"/>
      </w:pPr>
      <w:rPr>
        <w:rFonts w:hint="default"/>
        <w:lang w:val="en-GB" w:eastAsia="en-GB" w:bidi="en-GB"/>
      </w:rPr>
    </w:lvl>
  </w:abstractNum>
  <w:abstractNum w:abstractNumId="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6BC7093F"/>
    <w:multiLevelType w:val="hybridMultilevel"/>
    <w:tmpl w:val="EFC87448"/>
    <w:lvl w:ilvl="0" w:tplc="6A2A40C4">
      <w:numFmt w:val="bullet"/>
      <w:lvlText w:val=""/>
      <w:lvlJc w:val="left"/>
      <w:pPr>
        <w:ind w:left="828" w:hanging="360"/>
      </w:pPr>
      <w:rPr>
        <w:rFonts w:ascii="Symbol" w:eastAsia="Symbol" w:hAnsi="Symbol" w:cs="Symbol" w:hint="default"/>
        <w:w w:val="100"/>
        <w:sz w:val="22"/>
        <w:szCs w:val="22"/>
        <w:lang w:val="en-GB" w:eastAsia="en-GB" w:bidi="en-GB"/>
      </w:rPr>
    </w:lvl>
    <w:lvl w:ilvl="1" w:tplc="23F82252">
      <w:numFmt w:val="bullet"/>
      <w:lvlText w:val="•"/>
      <w:lvlJc w:val="left"/>
      <w:pPr>
        <w:ind w:left="1587" w:hanging="360"/>
      </w:pPr>
      <w:rPr>
        <w:rFonts w:hint="default"/>
        <w:lang w:val="en-GB" w:eastAsia="en-GB" w:bidi="en-GB"/>
      </w:rPr>
    </w:lvl>
    <w:lvl w:ilvl="2" w:tplc="2BA6CED2">
      <w:numFmt w:val="bullet"/>
      <w:lvlText w:val="•"/>
      <w:lvlJc w:val="left"/>
      <w:pPr>
        <w:ind w:left="2354" w:hanging="360"/>
      </w:pPr>
      <w:rPr>
        <w:rFonts w:hint="default"/>
        <w:lang w:val="en-GB" w:eastAsia="en-GB" w:bidi="en-GB"/>
      </w:rPr>
    </w:lvl>
    <w:lvl w:ilvl="3" w:tplc="D11CBCC6">
      <w:numFmt w:val="bullet"/>
      <w:lvlText w:val="•"/>
      <w:lvlJc w:val="left"/>
      <w:pPr>
        <w:ind w:left="3121" w:hanging="360"/>
      </w:pPr>
      <w:rPr>
        <w:rFonts w:hint="default"/>
        <w:lang w:val="en-GB" w:eastAsia="en-GB" w:bidi="en-GB"/>
      </w:rPr>
    </w:lvl>
    <w:lvl w:ilvl="4" w:tplc="8EBA1172">
      <w:numFmt w:val="bullet"/>
      <w:lvlText w:val="•"/>
      <w:lvlJc w:val="left"/>
      <w:pPr>
        <w:ind w:left="3889" w:hanging="360"/>
      </w:pPr>
      <w:rPr>
        <w:rFonts w:hint="default"/>
        <w:lang w:val="en-GB" w:eastAsia="en-GB" w:bidi="en-GB"/>
      </w:rPr>
    </w:lvl>
    <w:lvl w:ilvl="5" w:tplc="ACA02130">
      <w:numFmt w:val="bullet"/>
      <w:lvlText w:val="•"/>
      <w:lvlJc w:val="left"/>
      <w:pPr>
        <w:ind w:left="4656" w:hanging="360"/>
      </w:pPr>
      <w:rPr>
        <w:rFonts w:hint="default"/>
        <w:lang w:val="en-GB" w:eastAsia="en-GB" w:bidi="en-GB"/>
      </w:rPr>
    </w:lvl>
    <w:lvl w:ilvl="6" w:tplc="7EDACF30">
      <w:numFmt w:val="bullet"/>
      <w:lvlText w:val="•"/>
      <w:lvlJc w:val="left"/>
      <w:pPr>
        <w:ind w:left="5423" w:hanging="360"/>
      </w:pPr>
      <w:rPr>
        <w:rFonts w:hint="default"/>
        <w:lang w:val="en-GB" w:eastAsia="en-GB" w:bidi="en-GB"/>
      </w:rPr>
    </w:lvl>
    <w:lvl w:ilvl="7" w:tplc="EC1A2208">
      <w:numFmt w:val="bullet"/>
      <w:lvlText w:val="•"/>
      <w:lvlJc w:val="left"/>
      <w:pPr>
        <w:ind w:left="6191" w:hanging="360"/>
      </w:pPr>
      <w:rPr>
        <w:rFonts w:hint="default"/>
        <w:lang w:val="en-GB" w:eastAsia="en-GB" w:bidi="en-GB"/>
      </w:rPr>
    </w:lvl>
    <w:lvl w:ilvl="8" w:tplc="0016A67E">
      <w:numFmt w:val="bullet"/>
      <w:lvlText w:val="•"/>
      <w:lvlJc w:val="left"/>
      <w:pPr>
        <w:ind w:left="6958" w:hanging="360"/>
      </w:pPr>
      <w:rPr>
        <w:rFonts w:hint="default"/>
        <w:lang w:val="en-GB" w:eastAsia="en-GB" w:bidi="en-GB"/>
      </w:rPr>
    </w:lvl>
  </w:abstractNum>
  <w:abstractNum w:abstractNumId="7" w15:restartNumberingAfterBreak="0">
    <w:nsid w:val="7DFA32D2"/>
    <w:multiLevelType w:val="hybridMultilevel"/>
    <w:tmpl w:val="A8148340"/>
    <w:lvl w:ilvl="0" w:tplc="8D28E3E8">
      <w:numFmt w:val="bullet"/>
      <w:lvlText w:val="•"/>
      <w:lvlJc w:val="left"/>
      <w:pPr>
        <w:ind w:left="952" w:hanging="286"/>
      </w:pPr>
      <w:rPr>
        <w:rFonts w:ascii="Arial" w:eastAsia="Arial" w:hAnsi="Arial" w:cs="Arial" w:hint="default"/>
        <w:color w:val="005EB8"/>
        <w:w w:val="99"/>
        <w:sz w:val="32"/>
        <w:szCs w:val="32"/>
        <w:lang w:val="en-GB" w:eastAsia="en-GB" w:bidi="en-GB"/>
      </w:rPr>
    </w:lvl>
    <w:lvl w:ilvl="1" w:tplc="C420AB5C">
      <w:numFmt w:val="bullet"/>
      <w:lvlText w:val="•"/>
      <w:lvlJc w:val="left"/>
      <w:pPr>
        <w:ind w:left="1868" w:hanging="286"/>
      </w:pPr>
      <w:rPr>
        <w:rFonts w:hint="default"/>
        <w:lang w:val="en-GB" w:eastAsia="en-GB" w:bidi="en-GB"/>
      </w:rPr>
    </w:lvl>
    <w:lvl w:ilvl="2" w:tplc="54440512">
      <w:numFmt w:val="bullet"/>
      <w:lvlText w:val="•"/>
      <w:lvlJc w:val="left"/>
      <w:pPr>
        <w:ind w:left="2777" w:hanging="286"/>
      </w:pPr>
      <w:rPr>
        <w:rFonts w:hint="default"/>
        <w:lang w:val="en-GB" w:eastAsia="en-GB" w:bidi="en-GB"/>
      </w:rPr>
    </w:lvl>
    <w:lvl w:ilvl="3" w:tplc="F51A8E00">
      <w:numFmt w:val="bullet"/>
      <w:lvlText w:val="•"/>
      <w:lvlJc w:val="left"/>
      <w:pPr>
        <w:ind w:left="3685" w:hanging="286"/>
      </w:pPr>
      <w:rPr>
        <w:rFonts w:hint="default"/>
        <w:lang w:val="en-GB" w:eastAsia="en-GB" w:bidi="en-GB"/>
      </w:rPr>
    </w:lvl>
    <w:lvl w:ilvl="4" w:tplc="2332987C">
      <w:numFmt w:val="bullet"/>
      <w:lvlText w:val="•"/>
      <w:lvlJc w:val="left"/>
      <w:pPr>
        <w:ind w:left="4594" w:hanging="286"/>
      </w:pPr>
      <w:rPr>
        <w:rFonts w:hint="default"/>
        <w:lang w:val="en-GB" w:eastAsia="en-GB" w:bidi="en-GB"/>
      </w:rPr>
    </w:lvl>
    <w:lvl w:ilvl="5" w:tplc="5F303F6C">
      <w:numFmt w:val="bullet"/>
      <w:lvlText w:val="•"/>
      <w:lvlJc w:val="left"/>
      <w:pPr>
        <w:ind w:left="5503" w:hanging="286"/>
      </w:pPr>
      <w:rPr>
        <w:rFonts w:hint="default"/>
        <w:lang w:val="en-GB" w:eastAsia="en-GB" w:bidi="en-GB"/>
      </w:rPr>
    </w:lvl>
    <w:lvl w:ilvl="6" w:tplc="6EE264D8">
      <w:numFmt w:val="bullet"/>
      <w:lvlText w:val="•"/>
      <w:lvlJc w:val="left"/>
      <w:pPr>
        <w:ind w:left="6411" w:hanging="286"/>
      </w:pPr>
      <w:rPr>
        <w:rFonts w:hint="default"/>
        <w:lang w:val="en-GB" w:eastAsia="en-GB" w:bidi="en-GB"/>
      </w:rPr>
    </w:lvl>
    <w:lvl w:ilvl="7" w:tplc="36469DA4">
      <w:numFmt w:val="bullet"/>
      <w:lvlText w:val="•"/>
      <w:lvlJc w:val="left"/>
      <w:pPr>
        <w:ind w:left="7320" w:hanging="286"/>
      </w:pPr>
      <w:rPr>
        <w:rFonts w:hint="default"/>
        <w:lang w:val="en-GB" w:eastAsia="en-GB" w:bidi="en-GB"/>
      </w:rPr>
    </w:lvl>
    <w:lvl w:ilvl="8" w:tplc="3E2EC146">
      <w:numFmt w:val="bullet"/>
      <w:lvlText w:val="•"/>
      <w:lvlJc w:val="left"/>
      <w:pPr>
        <w:ind w:left="8229" w:hanging="286"/>
      </w:pPr>
      <w:rPr>
        <w:rFonts w:hint="default"/>
        <w:lang w:val="en-GB" w:eastAsia="en-GB" w:bidi="en-GB"/>
      </w:rPr>
    </w:lvl>
  </w:abstractNum>
  <w:num w:numId="1">
    <w:abstractNumId w:val="6"/>
  </w:num>
  <w:num w:numId="2">
    <w:abstractNumId w:val="3"/>
  </w:num>
  <w:num w:numId="3">
    <w:abstractNumId w:val="2"/>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19"/>
    <w:rsid w:val="00056DB8"/>
    <w:rsid w:val="000E29A5"/>
    <w:rsid w:val="0014347F"/>
    <w:rsid w:val="001A0914"/>
    <w:rsid w:val="00344E71"/>
    <w:rsid w:val="00370772"/>
    <w:rsid w:val="00441D59"/>
    <w:rsid w:val="004A11AF"/>
    <w:rsid w:val="00622EA4"/>
    <w:rsid w:val="00645D15"/>
    <w:rsid w:val="007907DC"/>
    <w:rsid w:val="0079632E"/>
    <w:rsid w:val="007F47DB"/>
    <w:rsid w:val="008E0E31"/>
    <w:rsid w:val="008E1C86"/>
    <w:rsid w:val="00915F1C"/>
    <w:rsid w:val="009A25CA"/>
    <w:rsid w:val="00A662AD"/>
    <w:rsid w:val="00B16F7D"/>
    <w:rsid w:val="00B74249"/>
    <w:rsid w:val="00BB5B1F"/>
    <w:rsid w:val="00BC2B64"/>
    <w:rsid w:val="00C32130"/>
    <w:rsid w:val="00C42A32"/>
    <w:rsid w:val="00CB08DD"/>
    <w:rsid w:val="00CE203F"/>
    <w:rsid w:val="00CF5ED7"/>
    <w:rsid w:val="00D028E0"/>
    <w:rsid w:val="00D36F7D"/>
    <w:rsid w:val="00D71CC8"/>
    <w:rsid w:val="00D75117"/>
    <w:rsid w:val="00EE0219"/>
    <w:rsid w:val="00F42E9C"/>
    <w:rsid w:val="00F91519"/>
    <w:rsid w:val="00FA7647"/>
    <w:rsid w:val="00FD391D"/>
    <w:rsid w:val="00FF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00C"/>
  <w15:docId w15:val="{131616F9-6842-430A-9CB6-77A51CE8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9C"/>
    <w:rPr>
      <w:rFonts w:ascii="Arial" w:eastAsia="Arial" w:hAnsi="Arial" w:cs="Arial"/>
      <w:lang w:val="en-GB" w:eastAsia="en-GB" w:bidi="en-GB"/>
    </w:rPr>
  </w:style>
  <w:style w:type="paragraph" w:styleId="Heading1">
    <w:name w:val="heading 1"/>
    <w:basedOn w:val="Normal"/>
    <w:uiPriority w:val="9"/>
    <w:qFormat/>
    <w:pPr>
      <w:ind w:left="1020"/>
      <w:outlineLvl w:val="0"/>
    </w:pPr>
    <w:rPr>
      <w:b/>
      <w:bCs/>
      <w:sz w:val="28"/>
      <w:szCs w:val="28"/>
    </w:rPr>
  </w:style>
  <w:style w:type="paragraph" w:styleId="Heading2">
    <w:name w:val="heading 2"/>
    <w:basedOn w:val="Normal"/>
    <w:uiPriority w:val="9"/>
    <w:unhideWhenUsed/>
    <w:qFormat/>
    <w:pPr>
      <w:ind w:left="10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72"/>
    </w:pPr>
    <w:rPr>
      <w:sz w:val="24"/>
      <w:szCs w:val="24"/>
    </w:rPr>
  </w:style>
  <w:style w:type="paragraph" w:styleId="ListParagraph">
    <w:name w:val="List Paragraph"/>
    <w:basedOn w:val="Normal"/>
    <w:uiPriority w:val="1"/>
    <w:qFormat/>
    <w:pPr>
      <w:ind w:left="1872" w:hanging="286"/>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D3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1D"/>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C32130"/>
    <w:rPr>
      <w:color w:val="0000FF" w:themeColor="hyperlink"/>
      <w:u w:val="single"/>
    </w:rPr>
  </w:style>
  <w:style w:type="character" w:styleId="UnresolvedMention">
    <w:name w:val="Unresolved Mention"/>
    <w:basedOn w:val="DefaultParagraphFont"/>
    <w:uiPriority w:val="99"/>
    <w:semiHidden/>
    <w:unhideWhenUsed/>
    <w:rsid w:val="00C32130"/>
    <w:rPr>
      <w:color w:val="605E5C"/>
      <w:shd w:val="clear" w:color="auto" w:fill="E1DFDD"/>
    </w:rPr>
  </w:style>
  <w:style w:type="character" w:styleId="CommentReference">
    <w:name w:val="annotation reference"/>
    <w:basedOn w:val="DefaultParagraphFont"/>
    <w:uiPriority w:val="99"/>
    <w:semiHidden/>
    <w:unhideWhenUsed/>
    <w:rsid w:val="009A25CA"/>
    <w:rPr>
      <w:sz w:val="16"/>
      <w:szCs w:val="16"/>
    </w:rPr>
  </w:style>
  <w:style w:type="paragraph" w:styleId="CommentText">
    <w:name w:val="annotation text"/>
    <w:basedOn w:val="Normal"/>
    <w:link w:val="CommentTextChar"/>
    <w:uiPriority w:val="99"/>
    <w:semiHidden/>
    <w:unhideWhenUsed/>
    <w:rsid w:val="009A25CA"/>
    <w:rPr>
      <w:sz w:val="20"/>
      <w:szCs w:val="20"/>
    </w:rPr>
  </w:style>
  <w:style w:type="character" w:customStyle="1" w:styleId="CommentTextChar">
    <w:name w:val="Comment Text Char"/>
    <w:basedOn w:val="DefaultParagraphFont"/>
    <w:link w:val="CommentText"/>
    <w:uiPriority w:val="99"/>
    <w:semiHidden/>
    <w:rsid w:val="009A25C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A25CA"/>
    <w:rPr>
      <w:b/>
      <w:bCs/>
    </w:rPr>
  </w:style>
  <w:style w:type="character" w:customStyle="1" w:styleId="CommentSubjectChar">
    <w:name w:val="Comment Subject Char"/>
    <w:basedOn w:val="CommentTextChar"/>
    <w:link w:val="CommentSubject"/>
    <w:uiPriority w:val="99"/>
    <w:semiHidden/>
    <w:rsid w:val="009A25C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9A25CA"/>
    <w:rPr>
      <w:color w:val="800080" w:themeColor="followedHyperlink"/>
      <w:u w:val="single"/>
    </w:rPr>
  </w:style>
  <w:style w:type="paragraph" w:styleId="Caption">
    <w:name w:val="caption"/>
    <w:basedOn w:val="Normal"/>
    <w:next w:val="Normal"/>
    <w:unhideWhenUsed/>
    <w:qFormat/>
    <w:rsid w:val="00FF5CCA"/>
    <w:pPr>
      <w:keepNext/>
      <w:widowControl/>
      <w:autoSpaceDE/>
      <w:autoSpaceDN/>
      <w:spacing w:after="200" w:line="360" w:lineRule="auto"/>
    </w:pPr>
    <w:rPr>
      <w:rFonts w:eastAsia="Times New Roman" w:cs="Times New Roman"/>
      <w:b/>
      <w:iCs/>
      <w:sz w:val="24"/>
      <w:szCs w:val="18"/>
      <w:lang w:eastAsia="en-US" w:bidi="ar-SA"/>
    </w:rPr>
  </w:style>
  <w:style w:type="paragraph" w:customStyle="1" w:styleId="Tabletext">
    <w:name w:val="Table text"/>
    <w:basedOn w:val="Normal"/>
    <w:rsid w:val="00FF5CCA"/>
    <w:pPr>
      <w:keepNext/>
      <w:widowControl/>
      <w:autoSpaceDE/>
      <w:autoSpaceDN/>
      <w:spacing w:after="60"/>
    </w:pPr>
    <w:rPr>
      <w:rFonts w:eastAsia="Times New Roman" w:cs="Times New Roman"/>
      <w:szCs w:val="24"/>
      <w:lang w:eastAsia="en-US" w:bidi="ar-SA"/>
    </w:rPr>
  </w:style>
  <w:style w:type="paragraph" w:customStyle="1" w:styleId="Tablebullet">
    <w:name w:val="Table bullet"/>
    <w:basedOn w:val="Tabletext"/>
    <w:qFormat/>
    <w:rsid w:val="00FF5CCA"/>
    <w:pPr>
      <w:numPr>
        <w:numId w:val="8"/>
      </w:numPr>
    </w:pPr>
  </w:style>
  <w:style w:type="paragraph" w:customStyle="1" w:styleId="Tableheading">
    <w:name w:val="Table heading"/>
    <w:basedOn w:val="Tabletext"/>
    <w:qFormat/>
    <w:rsid w:val="00FF5CCA"/>
    <w:rPr>
      <w:b/>
    </w:rPr>
  </w:style>
  <w:style w:type="table" w:styleId="TableGrid">
    <w:name w:val="Table Grid"/>
    <w:basedOn w:val="TableNormal"/>
    <w:uiPriority w:val="39"/>
    <w:rsid w:val="00FF5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434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4347F"/>
    <w:pPr>
      <w:widowControl/>
      <w:autoSpaceDE/>
      <w:autoSpaceDN/>
    </w:pPr>
    <w:rPr>
      <w:rFonts w:ascii="Arial" w:eastAsia="Arial" w:hAnsi="Arial" w:cs="Arial"/>
      <w:lang w:val="en-GB" w:eastAsia="en-GB" w:bidi="en-GB"/>
    </w:rPr>
  </w:style>
  <w:style w:type="paragraph" w:styleId="Header">
    <w:name w:val="header"/>
    <w:basedOn w:val="Normal"/>
    <w:link w:val="HeaderChar"/>
    <w:uiPriority w:val="99"/>
    <w:unhideWhenUsed/>
    <w:rsid w:val="00BC2B64"/>
    <w:pPr>
      <w:tabs>
        <w:tab w:val="center" w:pos="4513"/>
        <w:tab w:val="right" w:pos="9026"/>
      </w:tabs>
    </w:pPr>
  </w:style>
  <w:style w:type="character" w:customStyle="1" w:styleId="HeaderChar">
    <w:name w:val="Header Char"/>
    <w:basedOn w:val="DefaultParagraphFont"/>
    <w:link w:val="Header"/>
    <w:uiPriority w:val="99"/>
    <w:rsid w:val="00BC2B64"/>
    <w:rPr>
      <w:rFonts w:ascii="Arial" w:eastAsia="Arial" w:hAnsi="Arial" w:cs="Arial"/>
      <w:lang w:val="en-GB" w:eastAsia="en-GB" w:bidi="en-GB"/>
    </w:rPr>
  </w:style>
  <w:style w:type="paragraph" w:styleId="Footer">
    <w:name w:val="footer"/>
    <w:basedOn w:val="Normal"/>
    <w:link w:val="FooterChar"/>
    <w:uiPriority w:val="99"/>
    <w:unhideWhenUsed/>
    <w:rsid w:val="00BC2B64"/>
    <w:pPr>
      <w:tabs>
        <w:tab w:val="center" w:pos="4513"/>
        <w:tab w:val="right" w:pos="9026"/>
      </w:tabs>
    </w:pPr>
  </w:style>
  <w:style w:type="character" w:customStyle="1" w:styleId="FooterChar">
    <w:name w:val="Footer Char"/>
    <w:basedOn w:val="DefaultParagraphFont"/>
    <w:link w:val="Footer"/>
    <w:uiPriority w:val="99"/>
    <w:rsid w:val="00BC2B64"/>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59311">
      <w:bodyDiv w:val="1"/>
      <w:marLeft w:val="0"/>
      <w:marRight w:val="0"/>
      <w:marTop w:val="0"/>
      <w:marBottom w:val="0"/>
      <w:divBdr>
        <w:top w:val="none" w:sz="0" w:space="0" w:color="auto"/>
        <w:left w:val="none" w:sz="0" w:space="0" w:color="auto"/>
        <w:bottom w:val="none" w:sz="0" w:space="0" w:color="auto"/>
        <w:right w:val="none" w:sz="0" w:space="0" w:color="auto"/>
      </w:divBdr>
    </w:div>
    <w:div w:id="1118063723">
      <w:bodyDiv w:val="1"/>
      <w:marLeft w:val="0"/>
      <w:marRight w:val="0"/>
      <w:marTop w:val="0"/>
      <w:marBottom w:val="0"/>
      <w:divBdr>
        <w:top w:val="none" w:sz="0" w:space="0" w:color="auto"/>
        <w:left w:val="none" w:sz="0" w:space="0" w:color="auto"/>
        <w:bottom w:val="none" w:sz="0" w:space="0" w:color="auto"/>
        <w:right w:val="none" w:sz="0" w:space="0" w:color="auto"/>
      </w:divBdr>
    </w:div>
    <w:div w:id="1646082530">
      <w:bodyDiv w:val="1"/>
      <w:marLeft w:val="0"/>
      <w:marRight w:val="0"/>
      <w:marTop w:val="0"/>
      <w:marBottom w:val="0"/>
      <w:divBdr>
        <w:top w:val="none" w:sz="0" w:space="0" w:color="auto"/>
        <w:left w:val="none" w:sz="0" w:space="0" w:color="auto"/>
        <w:bottom w:val="none" w:sz="0" w:space="0" w:color="auto"/>
        <w:right w:val="none" w:sz="0" w:space="0" w:color="auto"/>
      </w:divBdr>
    </w:div>
    <w:div w:id="1957523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hf.org.uk/" TargetMode="External"/><Relationship Id="rId18" Type="http://schemas.openxmlformats.org/officeDocument/2006/relationships/image" Target="media/image6.jpeg"/><Relationship Id="rId26" Type="http://schemas.openxmlformats.org/officeDocument/2006/relationships/hyperlink" Target="https://academic.oup.com/eurheartj/article/39/16/1330/4942493?guestAccessKey=e7e62356-8aa6-472a-aeb1-eb5b58315d49" TargetMode="External"/><Relationship Id="rId3" Type="http://schemas.openxmlformats.org/officeDocument/2006/relationships/settings" Target="settings.xml"/><Relationship Id="rId21" Type="http://schemas.openxmlformats.org/officeDocument/2006/relationships/hyperlink" Target="https://www.medicines.org.uk/emc/product/2878/smpc"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heartrhythmalliance.org/afa/uk/" TargetMode="External"/><Relationship Id="rId17" Type="http://schemas.openxmlformats.org/officeDocument/2006/relationships/image" Target="media/image5.jpeg"/><Relationship Id="rId25" Type="http://schemas.openxmlformats.org/officeDocument/2006/relationships/hyperlink" Target="https://academic.oup.com/eurheartj/article/39/16/1330/4942493?guestAccessKey=e7e62356-8aa6-472a-aeb1-eb5b58315d49" TargetMode="External"/><Relationship Id="rId33" Type="http://schemas.openxmlformats.org/officeDocument/2006/relationships/hyperlink" Target="https://www.nice.org.uk/guidance/dg14"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hiv-druginteractions.org/" TargetMode="External"/><Relationship Id="rId29" Type="http://schemas.openxmlformats.org/officeDocument/2006/relationships/hyperlink" Target="http://www.bnf.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coagulationuk.org/" TargetMode="External"/><Relationship Id="rId24" Type="http://schemas.openxmlformats.org/officeDocument/2006/relationships/hyperlink" Target="https://www.medicines.org.uk/emc/product/2793/smpc" TargetMode="External"/><Relationship Id="rId32" Type="http://schemas.openxmlformats.org/officeDocument/2006/relationships/hyperlink" Target="https://academic.oup.com/eurheartj/article/39/16/1330/4942493?guestAccessKey=e7e62356-8aa6-472a-aeb1-eb5b58315d49"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medicines.org.uk/emc/product/6905/smpc" TargetMode="External"/><Relationship Id="rId28" Type="http://schemas.openxmlformats.org/officeDocument/2006/relationships/hyperlink" Target="https://academic.oup.com/eurheartj/article/39/16/1330/4942493?guestAccessKey=e7e62356-8aa6-472a-aeb1-eb5b58315d49" TargetMode="External"/><Relationship Id="rId36" Type="http://schemas.openxmlformats.org/officeDocument/2006/relationships/theme" Target="theme/theme1.xml"/><Relationship Id="rId10" Type="http://schemas.openxmlformats.org/officeDocument/2006/relationships/hyperlink" Target="https://www.nice.org.uk/guidance/dg14" TargetMode="External"/><Relationship Id="rId19" Type="http://schemas.openxmlformats.org/officeDocument/2006/relationships/hyperlink" Target="https://gbr01.safelinks.protection.outlook.com/?url=https%3A%2F%2Fwww.rpharms.com%2Fdevelopment%2Fcoronavirus-cpd-resources%23warfarindoac&amp;amp;data=02%7C01%7CVincent.Ng%40rpharms.com%7C15752408b1434ff8aebe08d7d234736b%7C99193c61658d4076952f07c345a3be97%7C0%7C0%7C637208995025784749&amp;amp;sdata=ul3NA4j7Sa485WajDRsBrGGrIulmFBcKvfix8G0VvoE%3D&amp;amp;reserved=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iv-druginteractions.org/" TargetMode="External"/><Relationship Id="rId14" Type="http://schemas.openxmlformats.org/officeDocument/2006/relationships/footer" Target="footer1.xml"/><Relationship Id="rId22" Type="http://schemas.openxmlformats.org/officeDocument/2006/relationships/hyperlink" Target="https://www.medicines.org.uk/emc/product/4703/smpc" TargetMode="External"/><Relationship Id="rId27" Type="http://schemas.openxmlformats.org/officeDocument/2006/relationships/hyperlink" Target="https://academic.oup.com/eurheartj/article/39/16/1330/4942493?guestAccessKey=e7e62356-8aa6-472a-aeb1-eb5b58315d49" TargetMode="External"/><Relationship Id="rId30" Type="http://schemas.openxmlformats.org/officeDocument/2006/relationships/hyperlink" Target="http://www.medicines.org.uk/"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4515</Words>
  <Characters>25739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Clinical guide for the management of anticoagulant services during the coronavirus pandemic</vt:lpstr>
    </vt:vector>
  </TitlesOfParts>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guide for the management of anticoagulant services during the coronavirus pandemic</dc:title>
  <dc:creator>NHS England</dc:creator>
  <cp:keywords/>
  <cp:lastModifiedBy>Jonathan Purkis</cp:lastModifiedBy>
  <cp:revision>6</cp:revision>
  <cp:lastPrinted>2021-02-04T15:15:00Z</cp:lastPrinted>
  <dcterms:created xsi:type="dcterms:W3CDTF">2021-02-04T15:13:00Z</dcterms:created>
  <dcterms:modified xsi:type="dcterms:W3CDTF">2022-02-03T12:33:00Z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for Office 365</vt:lpwstr>
  </property>
  <property fmtid="{D5CDD505-2E9C-101B-9397-08002B2CF9AE}" pid="4" name="LastSaved">
    <vt:filetime>2020-07-18T00:00:00Z</vt:filetime>
  </property>
</Properties>
</file>