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A1E4" w14:textId="77777777" w:rsidR="001A71E8" w:rsidRPr="00367FB8" w:rsidRDefault="005C3B58" w:rsidP="009F29F9">
      <w:pPr>
        <w:keepNext/>
        <w:spacing w:before="240" w:line="360" w:lineRule="auto"/>
        <w:jc w:val="both"/>
        <w:rPr>
          <w:rFonts w:ascii="Arial" w:hAnsi="Arial" w:cs="Arial"/>
          <w:sz w:val="36"/>
        </w:rPr>
      </w:pPr>
      <w:bookmarkStart w:id="0" w:name="_GoBack"/>
      <w:bookmarkEnd w:id="0"/>
      <w:r w:rsidRPr="00367FB8">
        <w:rPr>
          <w:rFonts w:ascii="Arial" w:hAnsi="Arial" w:cs="Arial"/>
          <w:b/>
          <w:noProof/>
          <w:sz w:val="36"/>
        </w:rPr>
        <w:drawing>
          <wp:anchor distT="0" distB="0" distL="114300" distR="114300" simplePos="0" relativeHeight="251659264" behindDoc="0" locked="0" layoutInCell="1" allowOverlap="1" wp14:anchorId="3C63C6E4" wp14:editId="5AD1E4CE">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14:paraId="6C768E41" w14:textId="77777777" w:rsidR="005C3B58" w:rsidRPr="00367FB8" w:rsidRDefault="005C3B58" w:rsidP="009F29F9">
      <w:pPr>
        <w:keepNext/>
        <w:spacing w:before="240" w:line="360" w:lineRule="auto"/>
        <w:jc w:val="both"/>
        <w:rPr>
          <w:rFonts w:ascii="Arial" w:hAnsi="Arial" w:cs="Arial"/>
          <w:sz w:val="36"/>
        </w:rPr>
      </w:pPr>
    </w:p>
    <w:p w14:paraId="1B3C3912" w14:textId="77777777" w:rsidR="005C3B58" w:rsidRPr="00367FB8" w:rsidRDefault="005C3B58" w:rsidP="009F29F9">
      <w:pPr>
        <w:keepNext/>
        <w:spacing w:before="240" w:line="360" w:lineRule="auto"/>
        <w:jc w:val="both"/>
        <w:rPr>
          <w:rFonts w:ascii="Arial" w:hAnsi="Arial" w:cs="Arial"/>
          <w:sz w:val="36"/>
        </w:rPr>
      </w:pPr>
    </w:p>
    <w:p w14:paraId="706618EA" w14:textId="77777777" w:rsidR="00DE7C7F" w:rsidRPr="00367FB8" w:rsidRDefault="00DE7C7F" w:rsidP="00DE7C7F">
      <w:pPr>
        <w:pStyle w:val="TCMainHeading"/>
        <w:rPr>
          <w:rFonts w:cs="Arial"/>
          <w:sz w:val="44"/>
          <w:szCs w:val="44"/>
        </w:rPr>
      </w:pPr>
      <w:bookmarkStart w:id="1" w:name="_Toc272854012"/>
      <w:bookmarkStart w:id="2" w:name="_Toc272854105"/>
      <w:bookmarkStart w:id="3" w:name="_Toc272939146"/>
      <w:r w:rsidRPr="00367FB8">
        <w:rPr>
          <w:rFonts w:cs="Arial"/>
          <w:sz w:val="44"/>
          <w:szCs w:val="44"/>
        </w:rPr>
        <w:t xml:space="preserve">NATIONAL INSTITUTE FOR HEALTH </w:t>
      </w:r>
    </w:p>
    <w:p w14:paraId="17D6BDC0" w14:textId="77777777" w:rsidR="00DE7C7F" w:rsidRPr="00367FB8" w:rsidRDefault="00DE7C7F" w:rsidP="00DE7C7F">
      <w:pPr>
        <w:pStyle w:val="TCMainHeading"/>
        <w:rPr>
          <w:rFonts w:cs="Arial"/>
          <w:sz w:val="44"/>
          <w:szCs w:val="44"/>
        </w:rPr>
      </w:pPr>
      <w:r w:rsidRPr="00367FB8">
        <w:rPr>
          <w:rFonts w:cs="Arial"/>
          <w:sz w:val="44"/>
          <w:szCs w:val="44"/>
        </w:rPr>
        <w:t>AND CARE EXCELLENCE</w:t>
      </w:r>
    </w:p>
    <w:p w14:paraId="243A223A" w14:textId="77777777" w:rsidR="00DE7C7F" w:rsidRPr="00367FB8" w:rsidRDefault="00DE7C7F" w:rsidP="00DE7C7F">
      <w:pPr>
        <w:pStyle w:val="TCMainHeading"/>
        <w:rPr>
          <w:rFonts w:cs="Arial"/>
        </w:rPr>
      </w:pPr>
    </w:p>
    <w:p w14:paraId="653FDCBD" w14:textId="77777777" w:rsidR="00DE7C7F" w:rsidRPr="00367FB8" w:rsidRDefault="00DE7C7F" w:rsidP="00DE7C7F">
      <w:pPr>
        <w:keepNext/>
        <w:rPr>
          <w:rFonts w:ascii="Arial" w:hAnsi="Arial" w:cs="Arial"/>
        </w:rPr>
      </w:pPr>
    </w:p>
    <w:p w14:paraId="5E043E69" w14:textId="77777777" w:rsidR="00DE7C7F" w:rsidRPr="00367FB8" w:rsidRDefault="00DE7C7F" w:rsidP="00DE7C7F">
      <w:pPr>
        <w:keepNext/>
        <w:rPr>
          <w:rFonts w:ascii="Arial" w:hAnsi="Arial" w:cs="Arial"/>
        </w:rPr>
      </w:pPr>
    </w:p>
    <w:p w14:paraId="63DB36BB" w14:textId="77777777" w:rsidR="00285D9C" w:rsidRPr="00367FB8" w:rsidRDefault="00764357" w:rsidP="00DC04DF">
      <w:pPr>
        <w:pStyle w:val="TCHeading1"/>
        <w:numPr>
          <w:ilvl w:val="0"/>
          <w:numId w:val="0"/>
        </w:numPr>
        <w:jc w:val="center"/>
        <w:rPr>
          <w:sz w:val="40"/>
          <w:szCs w:val="40"/>
        </w:rPr>
      </w:pPr>
      <w:bookmarkStart w:id="4" w:name="_Toc374628960"/>
      <w:bookmarkStart w:id="5" w:name="_Toc447292565"/>
      <w:bookmarkStart w:id="6" w:name="_Toc459291910"/>
      <w:r>
        <w:rPr>
          <w:sz w:val="40"/>
          <w:szCs w:val="40"/>
        </w:rPr>
        <w:t xml:space="preserve">MA Healthcare Ltd. </w:t>
      </w:r>
      <w:r w:rsidR="003820F5">
        <w:rPr>
          <w:sz w:val="40"/>
          <w:szCs w:val="40"/>
        </w:rPr>
        <w:t xml:space="preserve">Provider </w:t>
      </w:r>
      <w:r w:rsidR="00285D9C" w:rsidRPr="004472E8">
        <w:rPr>
          <w:sz w:val="40"/>
          <w:szCs w:val="40"/>
        </w:rPr>
        <w:t>Licenc</w:t>
      </w:r>
      <w:bookmarkEnd w:id="4"/>
      <w:bookmarkEnd w:id="5"/>
      <w:r w:rsidR="003820F5" w:rsidRPr="004472E8">
        <w:rPr>
          <w:sz w:val="40"/>
          <w:szCs w:val="40"/>
        </w:rPr>
        <w:t>e</w:t>
      </w:r>
      <w:bookmarkEnd w:id="6"/>
    </w:p>
    <w:p w14:paraId="6BCF960C" w14:textId="77777777" w:rsidR="00285D9C" w:rsidRPr="00367FB8" w:rsidRDefault="00BB3123" w:rsidP="00DE7C7F">
      <w:pPr>
        <w:pStyle w:val="TCMainHeading2"/>
        <w:rPr>
          <w:rFonts w:cs="Arial"/>
        </w:rPr>
      </w:pPr>
      <w:r w:rsidRPr="00367FB8">
        <w:rPr>
          <w:rFonts w:cs="Arial"/>
        </w:rPr>
        <w:t>For the</w:t>
      </w:r>
    </w:p>
    <w:p w14:paraId="15BC3CB4" w14:textId="77777777" w:rsidR="00DE7C7F" w:rsidRDefault="00DE7C7F" w:rsidP="00DE7C7F">
      <w:pPr>
        <w:pStyle w:val="TCMainHeading2"/>
        <w:rPr>
          <w:rFonts w:cs="Arial"/>
          <w:b/>
          <w:sz w:val="40"/>
          <w:szCs w:val="40"/>
        </w:rPr>
      </w:pPr>
      <w:r w:rsidRPr="00367FB8">
        <w:rPr>
          <w:rFonts w:cs="Arial"/>
          <w:b/>
          <w:sz w:val="40"/>
          <w:szCs w:val="40"/>
        </w:rPr>
        <w:t>NICE Electronic and Print Content</w:t>
      </w:r>
      <w:r w:rsidRPr="00367FB8">
        <w:rPr>
          <w:rFonts w:cs="Arial"/>
          <w:b/>
          <w:sz w:val="40"/>
          <w:szCs w:val="40"/>
        </w:rPr>
        <w:br/>
        <w:t>Framework Agreement</w:t>
      </w:r>
    </w:p>
    <w:p w14:paraId="7171800F" w14:textId="77777777" w:rsidR="00662EDF" w:rsidRPr="00662EDF" w:rsidRDefault="00662EDF" w:rsidP="00DE7C7F">
      <w:pPr>
        <w:pStyle w:val="TCMainHeading2"/>
        <w:rPr>
          <w:rFonts w:cs="Arial"/>
          <w:b/>
          <w:sz w:val="32"/>
          <w:szCs w:val="32"/>
        </w:rPr>
      </w:pPr>
      <w:r w:rsidRPr="004472E8">
        <w:rPr>
          <w:rFonts w:cs="Arial"/>
          <w:b/>
          <w:sz w:val="32"/>
          <w:szCs w:val="32"/>
        </w:rPr>
        <w:t>LOT 2</w:t>
      </w:r>
    </w:p>
    <w:p w14:paraId="2A4AA1E8" w14:textId="77777777" w:rsidR="0098380A" w:rsidRPr="00367FB8" w:rsidRDefault="0098380A" w:rsidP="00DE7C7F">
      <w:pPr>
        <w:pStyle w:val="TCMainHeading2"/>
        <w:rPr>
          <w:rFonts w:cs="Arial"/>
          <w:b/>
          <w:sz w:val="40"/>
          <w:szCs w:val="40"/>
        </w:rPr>
      </w:pPr>
    </w:p>
    <w:p w14:paraId="0C320ED6" w14:textId="77777777" w:rsidR="0098380A" w:rsidRPr="00367FB8" w:rsidRDefault="0098380A" w:rsidP="00DE7C7F">
      <w:pPr>
        <w:pStyle w:val="TCMainHeading2"/>
        <w:rPr>
          <w:rFonts w:cs="Arial"/>
          <w:b/>
          <w:sz w:val="32"/>
          <w:szCs w:val="32"/>
        </w:rPr>
      </w:pPr>
      <w:r w:rsidRPr="00367FB8">
        <w:rPr>
          <w:rFonts w:cs="Arial"/>
          <w:b/>
          <w:sz w:val="32"/>
          <w:szCs w:val="32"/>
        </w:rPr>
        <w:t>FOR THE PROVISION OF</w:t>
      </w:r>
    </w:p>
    <w:p w14:paraId="776FDB24" w14:textId="77777777" w:rsidR="00662EDF" w:rsidRPr="00662EDF" w:rsidRDefault="00764357" w:rsidP="00662EDF">
      <w:pPr>
        <w:pStyle w:val="TCMainHeading2"/>
        <w:rPr>
          <w:rFonts w:cs="Arial"/>
          <w:sz w:val="32"/>
          <w:szCs w:val="32"/>
        </w:rPr>
      </w:pPr>
      <w:r>
        <w:rPr>
          <w:rFonts w:cs="Arial"/>
          <w:i/>
          <w:sz w:val="32"/>
          <w:szCs w:val="32"/>
        </w:rPr>
        <w:t xml:space="preserve">Electronic Journals </w:t>
      </w:r>
    </w:p>
    <w:bookmarkEnd w:id="1"/>
    <w:bookmarkEnd w:id="2"/>
    <w:bookmarkEnd w:id="3"/>
    <w:p w14:paraId="1936E526" w14:textId="77777777" w:rsidR="00C770B9" w:rsidRPr="00367FB8" w:rsidRDefault="00C770B9" w:rsidP="007A3762">
      <w:pPr>
        <w:pStyle w:val="TCMainHeading3"/>
      </w:pPr>
    </w:p>
    <w:p w14:paraId="6A019A06" w14:textId="43F0E250" w:rsidR="007A3762" w:rsidRPr="00367FB8" w:rsidRDefault="007A3762" w:rsidP="007A3762">
      <w:pPr>
        <w:pStyle w:val="TCMainHeading3"/>
      </w:pPr>
    </w:p>
    <w:p w14:paraId="27CEC59F" w14:textId="77777777" w:rsidR="00F87733" w:rsidRPr="00367FB8" w:rsidRDefault="00F87733">
      <w:pPr>
        <w:rPr>
          <w:rFonts w:ascii="Arial" w:hAnsi="Arial" w:cs="Arial"/>
          <w:b/>
          <w:sz w:val="40"/>
          <w:szCs w:val="40"/>
          <w:lang w:eastAsia="en-US"/>
        </w:rPr>
      </w:pPr>
    </w:p>
    <w:p w14:paraId="42803742" w14:textId="77777777" w:rsidR="00903833" w:rsidRDefault="00903833">
      <w:pPr>
        <w:rPr>
          <w:rFonts w:ascii="Arial" w:hAnsi="Arial" w:cs="Arial"/>
          <w:b/>
          <w:sz w:val="40"/>
          <w:szCs w:val="40"/>
          <w:lang w:eastAsia="en-US"/>
        </w:rPr>
      </w:pPr>
      <w:r>
        <w:rPr>
          <w:rFonts w:cs="Arial"/>
        </w:rPr>
        <w:br w:type="page"/>
      </w:r>
    </w:p>
    <w:p w14:paraId="4BD4B84A" w14:textId="77777777" w:rsidR="001B1A8F" w:rsidRPr="00367FB8" w:rsidRDefault="001B1A8F" w:rsidP="001B1A8F">
      <w:pPr>
        <w:pStyle w:val="TCMainHeading"/>
        <w:rPr>
          <w:rFonts w:cs="Arial"/>
        </w:rPr>
      </w:pPr>
      <w:r w:rsidRPr="00367FB8">
        <w:rPr>
          <w:rFonts w:cs="Arial"/>
        </w:rPr>
        <w:lastRenderedPageBreak/>
        <w:t>Contents</w:t>
      </w:r>
    </w:p>
    <w:p w14:paraId="04F9A391" w14:textId="5414839F" w:rsidR="00DB4A43" w:rsidRPr="00DB4A43" w:rsidRDefault="00D30A68">
      <w:pPr>
        <w:pStyle w:val="TOC1"/>
        <w:tabs>
          <w:tab w:val="right" w:leader="dot" w:pos="9004"/>
        </w:tabs>
        <w:rPr>
          <w:rFonts w:ascii="Arial" w:hAnsi="Arial" w:cs="Arial"/>
          <w:noProof/>
        </w:rPr>
      </w:pPr>
      <w:r w:rsidRPr="00DB4A43">
        <w:rPr>
          <w:rFonts w:ascii="Arial" w:hAnsi="Arial" w:cs="Arial"/>
        </w:rPr>
        <w:fldChar w:fldCharType="begin"/>
      </w:r>
      <w:r w:rsidR="001B1A8F" w:rsidRPr="00DB4A43">
        <w:rPr>
          <w:rFonts w:ascii="Arial" w:hAnsi="Arial" w:cs="Arial"/>
        </w:rPr>
        <w:instrText xml:space="preserve"> TOC \h \z \t "T&amp;C Heading 1,1,T&amp;C Heading 2,2,T&amp;C Heading 3,3" </w:instrText>
      </w:r>
      <w:r w:rsidRPr="00DB4A43">
        <w:rPr>
          <w:rFonts w:ascii="Arial" w:hAnsi="Arial" w:cs="Arial"/>
        </w:rPr>
        <w:fldChar w:fldCharType="separate"/>
      </w:r>
    </w:p>
    <w:p w14:paraId="780498DD" w14:textId="77777777" w:rsidR="00DB4A43" w:rsidRPr="00DB4A43" w:rsidRDefault="00CD3C57">
      <w:pPr>
        <w:pStyle w:val="TOC1"/>
        <w:tabs>
          <w:tab w:val="right" w:leader="dot" w:pos="9004"/>
        </w:tabs>
        <w:rPr>
          <w:rFonts w:ascii="Arial" w:eastAsiaTheme="minorEastAsia" w:hAnsi="Arial" w:cs="Arial"/>
          <w:noProof/>
          <w:sz w:val="22"/>
          <w:szCs w:val="22"/>
        </w:rPr>
      </w:pPr>
      <w:hyperlink w:anchor="_Toc459291910" w:history="1">
        <w:r w:rsidR="00DB4A43" w:rsidRPr="00DB4A43">
          <w:rPr>
            <w:rStyle w:val="Hyperlink"/>
            <w:rFonts w:ascii="Arial" w:hAnsi="Arial" w:cs="Arial"/>
            <w:noProof/>
          </w:rPr>
          <w:t>MA Healthcare Ltd. Provider Licence</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_Toc459291910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w:t>
        </w:r>
        <w:r w:rsidR="00DB4A43" w:rsidRPr="00DB4A43">
          <w:rPr>
            <w:rFonts w:ascii="Arial" w:hAnsi="Arial" w:cs="Arial"/>
            <w:noProof/>
            <w:webHidden/>
          </w:rPr>
          <w:fldChar w:fldCharType="end"/>
        </w:r>
      </w:hyperlink>
    </w:p>
    <w:p w14:paraId="6369470C"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11" w:history="1">
        <w:r w:rsidR="00DB4A43" w:rsidRPr="00DB4A43">
          <w:rPr>
            <w:rStyle w:val="Hyperlink"/>
            <w:rFonts w:ascii="Arial" w:hAnsi="Arial" w:cs="Arial"/>
            <w:noProof/>
          </w:rPr>
          <w:t>1.</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Introduction</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_Toc459291911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3</w:t>
        </w:r>
        <w:r w:rsidR="00DB4A43" w:rsidRPr="00DB4A43">
          <w:rPr>
            <w:rFonts w:ascii="Arial" w:hAnsi="Arial" w:cs="Arial"/>
            <w:noProof/>
            <w:webHidden/>
          </w:rPr>
          <w:fldChar w:fldCharType="end"/>
        </w:r>
      </w:hyperlink>
    </w:p>
    <w:p w14:paraId="58D777CA"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12" w:history="1">
        <w:r w:rsidR="00DB4A43" w:rsidRPr="00DB4A43">
          <w:rPr>
            <w:rStyle w:val="Hyperlink"/>
            <w:rFonts w:ascii="Arial" w:hAnsi="Arial" w:cs="Arial"/>
            <w:noProof/>
          </w:rPr>
          <w:t>2.</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Defined Terms</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_Toc459291912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3</w:t>
        </w:r>
        <w:r w:rsidR="00DB4A43" w:rsidRPr="00DB4A43">
          <w:rPr>
            <w:rFonts w:ascii="Arial" w:hAnsi="Arial" w:cs="Arial"/>
            <w:noProof/>
            <w:webHidden/>
          </w:rPr>
          <w:fldChar w:fldCharType="end"/>
        </w:r>
      </w:hyperlink>
    </w:p>
    <w:p w14:paraId="5D1B77D1"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13" w:history="1">
        <w:r w:rsidR="00DB4A43" w:rsidRPr="00DB4A43">
          <w:rPr>
            <w:rStyle w:val="Hyperlink"/>
            <w:rFonts w:ascii="Arial" w:hAnsi="Arial" w:cs="Arial"/>
            <w:noProof/>
          </w:rPr>
          <w:t>3.</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Contact Details</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_Toc459291913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6</w:t>
        </w:r>
        <w:r w:rsidR="00DB4A43" w:rsidRPr="00DB4A43">
          <w:rPr>
            <w:rFonts w:ascii="Arial" w:hAnsi="Arial" w:cs="Arial"/>
            <w:noProof/>
            <w:webHidden/>
          </w:rPr>
          <w:fldChar w:fldCharType="end"/>
        </w:r>
      </w:hyperlink>
    </w:p>
    <w:p w14:paraId="01D07B4D"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14" w:history="1">
        <w:r w:rsidR="00DB4A43" w:rsidRPr="00DB4A43">
          <w:rPr>
            <w:rStyle w:val="Hyperlink"/>
            <w:rFonts w:ascii="Arial" w:hAnsi="Arial" w:cs="Arial"/>
            <w:noProof/>
          </w:rPr>
          <w:t>4.</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Service Usage</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_Toc459291914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6</w:t>
        </w:r>
        <w:r w:rsidR="00DB4A43" w:rsidRPr="00DB4A43">
          <w:rPr>
            <w:rFonts w:ascii="Arial" w:hAnsi="Arial" w:cs="Arial"/>
            <w:noProof/>
            <w:webHidden/>
          </w:rPr>
          <w:fldChar w:fldCharType="end"/>
        </w:r>
      </w:hyperlink>
    </w:p>
    <w:p w14:paraId="2AEA0C1E"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18" w:history="1">
        <w:r w:rsidR="00DB4A43" w:rsidRPr="00DB4A43">
          <w:rPr>
            <w:rStyle w:val="Hyperlink"/>
            <w:rFonts w:ascii="Arial" w:hAnsi="Arial" w:cs="Arial"/>
            <w:noProof/>
          </w:rPr>
          <w:t>5.</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Service Availability</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_Toc459291918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9</w:t>
        </w:r>
        <w:r w:rsidR="00DB4A43" w:rsidRPr="00DB4A43">
          <w:rPr>
            <w:rFonts w:ascii="Arial" w:hAnsi="Arial" w:cs="Arial"/>
            <w:noProof/>
            <w:webHidden/>
          </w:rPr>
          <w:fldChar w:fldCharType="end"/>
        </w:r>
      </w:hyperlink>
    </w:p>
    <w:p w14:paraId="6FDFA141"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19" w:history="1">
        <w:r w:rsidR="00DB4A43" w:rsidRPr="00DB4A43">
          <w:rPr>
            <w:rStyle w:val="Hyperlink"/>
            <w:rFonts w:ascii="Arial" w:hAnsi="Arial" w:cs="Arial"/>
            <w:noProof/>
          </w:rPr>
          <w:t>6.</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Service Access</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_Toc459291919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10</w:t>
        </w:r>
        <w:r w:rsidR="00DB4A43" w:rsidRPr="00DB4A43">
          <w:rPr>
            <w:rFonts w:ascii="Arial" w:hAnsi="Arial" w:cs="Arial"/>
            <w:noProof/>
            <w:webHidden/>
          </w:rPr>
          <w:fldChar w:fldCharType="end"/>
        </w:r>
      </w:hyperlink>
    </w:p>
    <w:p w14:paraId="713A29F4"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20" w:history="1">
        <w:r w:rsidR="00DB4A43" w:rsidRPr="00DB4A43">
          <w:rPr>
            <w:rStyle w:val="Hyperlink"/>
            <w:rFonts w:ascii="Arial" w:hAnsi="Arial" w:cs="Arial"/>
            <w:noProof/>
          </w:rPr>
          <w:t>7.</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Technical</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_Toc459291920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11</w:t>
        </w:r>
        <w:r w:rsidR="00DB4A43" w:rsidRPr="00DB4A43">
          <w:rPr>
            <w:rFonts w:ascii="Arial" w:hAnsi="Arial" w:cs="Arial"/>
            <w:noProof/>
            <w:webHidden/>
          </w:rPr>
          <w:fldChar w:fldCharType="end"/>
        </w:r>
      </w:hyperlink>
    </w:p>
    <w:p w14:paraId="5F6872B2"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21" w:history="1">
        <w:r w:rsidR="00DB4A43" w:rsidRPr="00DB4A43">
          <w:rPr>
            <w:rStyle w:val="Hyperlink"/>
            <w:rFonts w:ascii="Arial" w:hAnsi="Arial" w:cs="Arial"/>
            <w:noProof/>
          </w:rPr>
          <w:t>8.</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User Support</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_Toc459291921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12</w:t>
        </w:r>
        <w:r w:rsidR="00DB4A43" w:rsidRPr="00DB4A43">
          <w:rPr>
            <w:rFonts w:ascii="Arial" w:hAnsi="Arial" w:cs="Arial"/>
            <w:noProof/>
            <w:webHidden/>
          </w:rPr>
          <w:fldChar w:fldCharType="end"/>
        </w:r>
      </w:hyperlink>
    </w:p>
    <w:p w14:paraId="4504F6A6" w14:textId="77777777" w:rsidR="00DB4A43" w:rsidRPr="00DB4A43" w:rsidRDefault="00CD3C57">
      <w:pPr>
        <w:pStyle w:val="TOC1"/>
        <w:tabs>
          <w:tab w:val="left" w:pos="480"/>
          <w:tab w:val="right" w:leader="dot" w:pos="9004"/>
        </w:tabs>
        <w:rPr>
          <w:rFonts w:ascii="Arial" w:eastAsiaTheme="minorEastAsia" w:hAnsi="Arial" w:cs="Arial"/>
          <w:noProof/>
          <w:sz w:val="22"/>
          <w:szCs w:val="22"/>
        </w:rPr>
      </w:pPr>
      <w:hyperlink w:anchor="_Toc459291922" w:history="1">
        <w:r w:rsidR="00DB4A43" w:rsidRPr="00DB4A43">
          <w:rPr>
            <w:rStyle w:val="Hyperlink"/>
            <w:rFonts w:ascii="Arial" w:hAnsi="Arial" w:cs="Arial"/>
            <w:noProof/>
          </w:rPr>
          <w:t>9.</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Service Notifications</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_Toc459291922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13</w:t>
        </w:r>
        <w:r w:rsidR="00DB4A43" w:rsidRPr="00DB4A43">
          <w:rPr>
            <w:rFonts w:ascii="Arial" w:hAnsi="Arial" w:cs="Arial"/>
            <w:noProof/>
            <w:webHidden/>
          </w:rPr>
          <w:fldChar w:fldCharType="end"/>
        </w:r>
      </w:hyperlink>
    </w:p>
    <w:p w14:paraId="74118A31" w14:textId="77777777" w:rsidR="00DB4A43" w:rsidRPr="00DB4A43" w:rsidRDefault="00CD3C57">
      <w:pPr>
        <w:pStyle w:val="TOC1"/>
        <w:tabs>
          <w:tab w:val="left" w:pos="660"/>
          <w:tab w:val="right" w:leader="dot" w:pos="9004"/>
        </w:tabs>
        <w:rPr>
          <w:rFonts w:ascii="Arial" w:eastAsiaTheme="minorEastAsia" w:hAnsi="Arial" w:cs="Arial"/>
          <w:noProof/>
          <w:sz w:val="22"/>
          <w:szCs w:val="22"/>
        </w:rPr>
      </w:pPr>
      <w:hyperlink w:anchor="_Toc459291924" w:history="1">
        <w:r w:rsidR="00DB4A43" w:rsidRPr="00DB4A43">
          <w:rPr>
            <w:rStyle w:val="Hyperlink"/>
            <w:rFonts w:ascii="Arial" w:hAnsi="Arial" w:cs="Arial"/>
            <w:noProof/>
          </w:rPr>
          <w:t>10.</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Service Reporting</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_Toc459291924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13</w:t>
        </w:r>
        <w:r w:rsidR="00DB4A43" w:rsidRPr="00DB4A43">
          <w:rPr>
            <w:rFonts w:ascii="Arial" w:hAnsi="Arial" w:cs="Arial"/>
            <w:noProof/>
            <w:webHidden/>
          </w:rPr>
          <w:fldChar w:fldCharType="end"/>
        </w:r>
      </w:hyperlink>
    </w:p>
    <w:p w14:paraId="7E458B45" w14:textId="77777777" w:rsidR="00DB4A43" w:rsidRPr="00DB4A43" w:rsidRDefault="00CD3C57">
      <w:pPr>
        <w:pStyle w:val="TOC1"/>
        <w:tabs>
          <w:tab w:val="left" w:pos="660"/>
          <w:tab w:val="right" w:leader="dot" w:pos="9004"/>
        </w:tabs>
        <w:rPr>
          <w:rFonts w:ascii="Arial" w:eastAsiaTheme="minorEastAsia" w:hAnsi="Arial" w:cs="Arial"/>
          <w:noProof/>
          <w:sz w:val="22"/>
          <w:szCs w:val="22"/>
        </w:rPr>
      </w:pPr>
      <w:hyperlink w:anchor="_Toc459291926" w:history="1">
        <w:r w:rsidR="00DB4A43" w:rsidRPr="00DB4A43">
          <w:rPr>
            <w:rStyle w:val="Hyperlink"/>
            <w:rFonts w:ascii="Arial" w:hAnsi="Arial" w:cs="Arial"/>
            <w:noProof/>
          </w:rPr>
          <w:t>11.</w:t>
        </w:r>
        <w:r w:rsidR="00DB4A43" w:rsidRPr="00DB4A43">
          <w:rPr>
            <w:rFonts w:ascii="Arial" w:eastAsiaTheme="minorEastAsia" w:hAnsi="Arial" w:cs="Arial"/>
            <w:noProof/>
            <w:sz w:val="22"/>
            <w:szCs w:val="22"/>
          </w:rPr>
          <w:tab/>
        </w:r>
        <w:r w:rsidR="00DB4A43" w:rsidRPr="00DB4A43">
          <w:rPr>
            <w:rStyle w:val="Hyperlink"/>
            <w:rFonts w:ascii="Arial" w:hAnsi="Arial" w:cs="Arial"/>
            <w:noProof/>
          </w:rPr>
          <w:t>Measurement &amp; Related Payment</w:t>
        </w:r>
        <w:r w:rsidR="00DB4A43" w:rsidRPr="00DB4A43">
          <w:rPr>
            <w:rFonts w:ascii="Arial" w:hAnsi="Arial" w:cs="Arial"/>
            <w:noProof/>
            <w:webHidden/>
          </w:rPr>
          <w:tab/>
        </w:r>
        <w:r w:rsidR="00DB4A43" w:rsidRPr="00DB4A43">
          <w:rPr>
            <w:rFonts w:ascii="Arial" w:hAnsi="Arial" w:cs="Arial"/>
            <w:noProof/>
            <w:webHidden/>
          </w:rPr>
          <w:fldChar w:fldCharType="begin"/>
        </w:r>
        <w:r w:rsidR="00DB4A43" w:rsidRPr="00DB4A43">
          <w:rPr>
            <w:rFonts w:ascii="Arial" w:hAnsi="Arial" w:cs="Arial"/>
            <w:noProof/>
            <w:webHidden/>
          </w:rPr>
          <w:instrText xml:space="preserve"> PAGEREF _Toc459291926 \h </w:instrText>
        </w:r>
        <w:r w:rsidR="00DB4A43" w:rsidRPr="00DB4A43">
          <w:rPr>
            <w:rFonts w:ascii="Arial" w:hAnsi="Arial" w:cs="Arial"/>
            <w:noProof/>
            <w:webHidden/>
          </w:rPr>
        </w:r>
        <w:r w:rsidR="00DB4A43" w:rsidRPr="00DB4A43">
          <w:rPr>
            <w:rFonts w:ascii="Arial" w:hAnsi="Arial" w:cs="Arial"/>
            <w:noProof/>
            <w:webHidden/>
          </w:rPr>
          <w:fldChar w:fldCharType="separate"/>
        </w:r>
        <w:r w:rsidR="00DB4A43" w:rsidRPr="00DB4A43">
          <w:rPr>
            <w:rFonts w:ascii="Arial" w:hAnsi="Arial" w:cs="Arial"/>
            <w:noProof/>
            <w:webHidden/>
          </w:rPr>
          <w:t>14</w:t>
        </w:r>
        <w:r w:rsidR="00DB4A43" w:rsidRPr="00DB4A43">
          <w:rPr>
            <w:rFonts w:ascii="Arial" w:hAnsi="Arial" w:cs="Arial"/>
            <w:noProof/>
            <w:webHidden/>
          </w:rPr>
          <w:fldChar w:fldCharType="end"/>
        </w:r>
      </w:hyperlink>
    </w:p>
    <w:p w14:paraId="6BDF6671" w14:textId="77777777" w:rsidR="001B1A8F" w:rsidRPr="00367FB8" w:rsidRDefault="00D30A68" w:rsidP="00155E4B">
      <w:pPr>
        <w:pStyle w:val="TCBodyNormal"/>
        <w:numPr>
          <w:ilvl w:val="0"/>
          <w:numId w:val="0"/>
        </w:numPr>
        <w:rPr>
          <w:szCs w:val="22"/>
        </w:rPr>
      </w:pPr>
      <w:r w:rsidRPr="00DB4A43">
        <w:rPr>
          <w:szCs w:val="24"/>
        </w:rPr>
        <w:fldChar w:fldCharType="end"/>
      </w:r>
    </w:p>
    <w:p w14:paraId="7469E2E0" w14:textId="77777777" w:rsidR="001B1A8F" w:rsidRPr="00367FB8" w:rsidRDefault="001B1A8F" w:rsidP="00155E4B">
      <w:pPr>
        <w:rPr>
          <w:rFonts w:ascii="Arial" w:hAnsi="Arial" w:cs="Arial"/>
          <w:szCs w:val="36"/>
        </w:rPr>
      </w:pPr>
      <w:r w:rsidRPr="00367FB8">
        <w:rPr>
          <w:rFonts w:ascii="Arial" w:hAnsi="Arial" w:cs="Arial"/>
        </w:rPr>
        <w:br w:type="page"/>
      </w:r>
    </w:p>
    <w:p w14:paraId="1D31A5E3" w14:textId="77777777" w:rsidR="009D37A7" w:rsidRDefault="009D37A7" w:rsidP="009D37A7">
      <w:pPr>
        <w:pStyle w:val="TCHeading1"/>
      </w:pPr>
      <w:bookmarkStart w:id="7" w:name="_Toc459291911"/>
      <w:bookmarkStart w:id="8" w:name="_Toc374628961"/>
      <w:r w:rsidRPr="009D37A7">
        <w:lastRenderedPageBreak/>
        <w:t>Introduction</w:t>
      </w:r>
      <w:bookmarkEnd w:id="7"/>
    </w:p>
    <w:p w14:paraId="14B5A858" w14:textId="77777777" w:rsidR="009D37A7" w:rsidRPr="004472E8" w:rsidRDefault="003820F5" w:rsidP="009D37A7">
      <w:pPr>
        <w:pStyle w:val="TCBodyafterH1"/>
      </w:pPr>
      <w:r>
        <w:t xml:space="preserve">This Provider </w:t>
      </w:r>
      <w:r w:rsidR="009D37A7" w:rsidRPr="004472E8">
        <w:t>Licence</w:t>
      </w:r>
      <w:r w:rsidR="009D37A7">
        <w:t xml:space="preserve"> must be used when placing an Order for the supply of </w:t>
      </w:r>
      <w:r w:rsidR="004C4E1D" w:rsidRPr="004472E8">
        <w:t xml:space="preserve">electronic journals under </w:t>
      </w:r>
      <w:r w:rsidR="009D37A7" w:rsidRPr="004472E8">
        <w:t>Lot 2 of the NICE Electronic and Print Content Framework Agreement.</w:t>
      </w:r>
    </w:p>
    <w:p w14:paraId="1807F843" w14:textId="77777777" w:rsidR="009D37A7" w:rsidRPr="004472E8" w:rsidRDefault="009D37A7" w:rsidP="009D37A7">
      <w:pPr>
        <w:pStyle w:val="TCBodyafterH1"/>
      </w:pPr>
      <w:r w:rsidRPr="004472E8">
        <w:t xml:space="preserve">The Provider Licence is specific to </w:t>
      </w:r>
      <w:r w:rsidR="004C4E1D" w:rsidRPr="004472E8">
        <w:t xml:space="preserve">MA Healthcare Ltd.’s </w:t>
      </w:r>
      <w:r w:rsidRPr="004472E8">
        <w:t xml:space="preserve">supply of </w:t>
      </w:r>
      <w:r w:rsidR="004C4E1D" w:rsidRPr="004472E8">
        <w:t xml:space="preserve">electronic journals </w:t>
      </w:r>
      <w:r w:rsidR="005858B9" w:rsidRPr="004472E8">
        <w:t>under Lot 2</w:t>
      </w:r>
      <w:r w:rsidRPr="004472E8">
        <w:t>. It must be used in conjunction with the “Order Terms</w:t>
      </w:r>
      <w:r w:rsidR="00DC72B3" w:rsidRPr="004472E8">
        <w:t xml:space="preserve"> &amp; Conditions” and any Annexes to form the whole Agreement.</w:t>
      </w:r>
    </w:p>
    <w:p w14:paraId="04CBCFFA" w14:textId="77777777" w:rsidR="009D37A7" w:rsidRPr="004472E8" w:rsidRDefault="009D37A7" w:rsidP="005858B9">
      <w:pPr>
        <w:pStyle w:val="TCBodyafterH1"/>
      </w:pPr>
      <w:r w:rsidRPr="004472E8">
        <w:t>All terms in this Provider Licence must not be altered and are non-negotiable</w:t>
      </w:r>
      <w:r w:rsidR="005858B9" w:rsidRPr="004472E8">
        <w:t>.</w:t>
      </w:r>
      <w:r w:rsidRPr="004472E8">
        <w:t xml:space="preserve"> Where additional terms are agreed these should be set out in Annex SEVEN: “Additional Terms” of the “Order Terms &amp; Conditions”. These additional terms must not conflict with, or </w:t>
      </w:r>
      <w:r w:rsidR="005858B9" w:rsidRPr="004472E8">
        <w:t>materially change, the terms in:</w:t>
      </w:r>
    </w:p>
    <w:p w14:paraId="19F64EB0" w14:textId="0F34BA65" w:rsidR="009D37A7" w:rsidRPr="004472E8" w:rsidRDefault="009D37A7" w:rsidP="00EE7123">
      <w:pPr>
        <w:pStyle w:val="TCBodyafterH2"/>
      </w:pPr>
      <w:r w:rsidRPr="004472E8">
        <w:t xml:space="preserve">the “Terms and Conditions of Contract for NICE Electronic and Print </w:t>
      </w:r>
      <w:r w:rsidR="00734B5B" w:rsidRPr="004472E8">
        <w:t>Content” and</w:t>
      </w:r>
      <w:r w:rsidRPr="004472E8">
        <w:t xml:space="preserve"> any Annexes”; </w:t>
      </w:r>
      <w:r w:rsidR="005858B9" w:rsidRPr="004472E8">
        <w:t>AND</w:t>
      </w:r>
    </w:p>
    <w:p w14:paraId="19357781" w14:textId="77777777" w:rsidR="009D37A7" w:rsidRPr="004472E8" w:rsidRDefault="009D37A7" w:rsidP="00B52B1A">
      <w:pPr>
        <w:pStyle w:val="TCBodyafterH2"/>
      </w:pPr>
      <w:r w:rsidRPr="004472E8">
        <w:t>the “Order Terms &amp; Conditions” and any Annexes,</w:t>
      </w:r>
      <w:r w:rsidR="005858B9" w:rsidRPr="004472E8">
        <w:t xml:space="preserve"> AND</w:t>
      </w:r>
      <w:r w:rsidRPr="004472E8">
        <w:t xml:space="preserve"> </w:t>
      </w:r>
    </w:p>
    <w:p w14:paraId="333640DE" w14:textId="77777777" w:rsidR="009D37A7" w:rsidRPr="004472E8" w:rsidRDefault="009D37A7" w:rsidP="00B52B1A">
      <w:pPr>
        <w:pStyle w:val="TCBodyafterH2"/>
      </w:pPr>
      <w:r w:rsidRPr="004472E8">
        <w:t>this Provider Licence.</w:t>
      </w:r>
    </w:p>
    <w:p w14:paraId="4363568C" w14:textId="77278AD4" w:rsidR="001A71E8" w:rsidRPr="00367FB8" w:rsidRDefault="001A71E8" w:rsidP="00F87733">
      <w:pPr>
        <w:pStyle w:val="TCHeading1"/>
        <w:ind w:left="851" w:hanging="851"/>
      </w:pPr>
      <w:bookmarkStart w:id="9" w:name="_Toc459291912"/>
      <w:r w:rsidRPr="00367FB8">
        <w:t>D</w:t>
      </w:r>
      <w:r w:rsidR="005D3A69" w:rsidRPr="00367FB8">
        <w:t>efin</w:t>
      </w:r>
      <w:r w:rsidR="00A13ADA" w:rsidRPr="00367FB8">
        <w:t>ed Terms</w:t>
      </w:r>
      <w:bookmarkEnd w:id="8"/>
      <w:bookmarkEnd w:id="9"/>
    </w:p>
    <w:p w14:paraId="54FC00CA" w14:textId="77777777" w:rsidR="001A71E8" w:rsidRDefault="006D661D" w:rsidP="00285D9C">
      <w:pPr>
        <w:pStyle w:val="TCBodyafterH1"/>
      </w:pPr>
      <w:r w:rsidRPr="00367FB8">
        <w:t>In this Agreement the words and expressions below will be interpreted to have the meanings adjacent to them:</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p>
    <w:p w14:paraId="285D868D" w14:textId="2286CD46" w:rsidR="00D34EA5" w:rsidRDefault="00D34EA5" w:rsidP="004472E8">
      <w:pPr>
        <w:pStyle w:val="TCBodyafterH1"/>
        <w:numPr>
          <w:ilvl w:val="0"/>
          <w:numId w:val="0"/>
        </w:numPr>
        <w:ind w:left="4320" w:hanging="3462"/>
      </w:pPr>
      <w:r>
        <w:rPr>
          <w:b/>
        </w:rPr>
        <w:t>“</w:t>
      </w:r>
      <w:r w:rsidRPr="004472E8">
        <w:rPr>
          <w:b/>
        </w:rPr>
        <w:t>Authorised Users</w:t>
      </w:r>
      <w:r>
        <w:rPr>
          <w:b/>
        </w:rPr>
        <w:t>”</w:t>
      </w:r>
      <w:r>
        <w:tab/>
        <w:t xml:space="preserve">As defined in the Order Terms &amp; Conditions; </w:t>
      </w:r>
    </w:p>
    <w:p w14:paraId="26FF90A3" w14:textId="287DA916" w:rsidR="00D34EA5" w:rsidRDefault="00D34EA5" w:rsidP="004472E8">
      <w:pPr>
        <w:pStyle w:val="TCBodyafterH1"/>
        <w:numPr>
          <w:ilvl w:val="0"/>
          <w:numId w:val="0"/>
        </w:numPr>
        <w:ind w:left="4320" w:hanging="3462"/>
      </w:pPr>
      <w:r>
        <w:rPr>
          <w:b/>
        </w:rPr>
        <w:t>“</w:t>
      </w:r>
      <w:r w:rsidR="00734B5B" w:rsidRPr="004472E8">
        <w:rPr>
          <w:b/>
        </w:rPr>
        <w:t>Commercial Use</w:t>
      </w:r>
      <w:r>
        <w:rPr>
          <w:b/>
        </w:rPr>
        <w:t>”</w:t>
      </w:r>
      <w:r>
        <w:tab/>
      </w:r>
      <w:r w:rsidR="00734B5B" w:rsidRPr="00D34EA5">
        <w:t>Use for the purposes of monetary reward</w:t>
      </w:r>
      <w:r w:rsidR="00BE04BB">
        <w:t xml:space="preserve"> (whether by or for the </w:t>
      </w:r>
      <w:r w:rsidR="00F96515">
        <w:t>Purchasing Authorit</w:t>
      </w:r>
      <w:r w:rsidR="00BE04BB">
        <w:t>y</w:t>
      </w:r>
      <w:r w:rsidR="00734B5B" w:rsidRPr="00D34EA5">
        <w:t xml:space="preserve"> or an Authorised User) by means of sale, resale, loan, transfer, hire or other form of exploitation of the Licensed Materials.  For the avoidance of doubt, neither recovery of direct costs by the </w:t>
      </w:r>
      <w:r w:rsidR="00F96515">
        <w:t>Purchasing Authority</w:t>
      </w:r>
      <w:r w:rsidR="00734B5B" w:rsidRPr="00D34EA5">
        <w:t xml:space="preserve"> from Authorised Users, nor use by the </w:t>
      </w:r>
      <w:r w:rsidR="00F96515">
        <w:t>Purchasing Authority o</w:t>
      </w:r>
      <w:r w:rsidR="00734B5B" w:rsidRPr="00D34EA5">
        <w:t xml:space="preserve">r by an Authorised User of the Licensed Materials in the course of research </w:t>
      </w:r>
      <w:r w:rsidR="00734B5B" w:rsidRPr="00D34EA5">
        <w:lastRenderedPageBreak/>
        <w:t>funded by a commercial organisation, is deemed to be Commercial Use.</w:t>
      </w:r>
    </w:p>
    <w:p w14:paraId="39A64215" w14:textId="77A42E14" w:rsidR="00401A62" w:rsidRDefault="00401A62" w:rsidP="004472E8">
      <w:pPr>
        <w:pStyle w:val="TCBodyafterH1"/>
        <w:numPr>
          <w:ilvl w:val="0"/>
          <w:numId w:val="0"/>
        </w:numPr>
        <w:ind w:left="4320" w:hanging="4320"/>
      </w:pPr>
      <w:r>
        <w:rPr>
          <w:b/>
        </w:rPr>
        <w:tab/>
        <w:t>“Fee”</w:t>
      </w:r>
      <w:r>
        <w:rPr>
          <w:b/>
        </w:rPr>
        <w:tab/>
      </w:r>
      <w:r w:rsidR="004472E8">
        <w:t>t</w:t>
      </w:r>
      <w:r w:rsidRPr="00401A62">
        <w:t>he fee for the Licensed Materials agreed by the parties from time to time, as set out in the Order Terms &amp; Conditions.</w:t>
      </w:r>
    </w:p>
    <w:p w14:paraId="0D408279" w14:textId="4AEF50DC" w:rsidR="00401A62" w:rsidRPr="004472E8" w:rsidRDefault="00401A62" w:rsidP="004472E8">
      <w:pPr>
        <w:pStyle w:val="TCBodyafterH1"/>
        <w:numPr>
          <w:ilvl w:val="0"/>
          <w:numId w:val="0"/>
        </w:numPr>
        <w:ind w:left="4320" w:hanging="4320"/>
        <w:rPr>
          <w:b/>
        </w:rPr>
      </w:pPr>
      <w:r>
        <w:tab/>
        <w:t>“</w:t>
      </w:r>
      <w:r w:rsidR="005B018F" w:rsidRPr="004472E8">
        <w:rPr>
          <w:b/>
        </w:rPr>
        <w:t>Incident</w:t>
      </w:r>
      <w:r>
        <w:t>”</w:t>
      </w:r>
      <w:r>
        <w:tab/>
      </w:r>
      <w:r w:rsidR="00F96515">
        <w:t>A</w:t>
      </w:r>
      <w:r w:rsidR="005B018F" w:rsidRPr="00401A62">
        <w:t xml:space="preserve"> service or quality incident that results in</w:t>
      </w:r>
      <w:r w:rsidR="005B018F" w:rsidRPr="004472E8">
        <w:rPr>
          <w:b/>
        </w:rPr>
        <w:t xml:space="preserve"> </w:t>
      </w:r>
      <w:r w:rsidR="005B018F" w:rsidRPr="00401A62">
        <w:t xml:space="preserve">the unavailability of the Licensed Materials as set out in clause </w:t>
      </w:r>
      <w:r>
        <w:t xml:space="preserve">5 </w:t>
      </w:r>
      <w:r w:rsidR="005B018F" w:rsidRPr="00401A62">
        <w:t>of this Agreement.</w:t>
      </w:r>
    </w:p>
    <w:p w14:paraId="741EC6DC" w14:textId="79D0DE45" w:rsidR="00401A62" w:rsidRPr="00401A62" w:rsidRDefault="00401A62" w:rsidP="004472E8">
      <w:pPr>
        <w:pStyle w:val="TCBodyafterH1"/>
        <w:numPr>
          <w:ilvl w:val="0"/>
          <w:numId w:val="0"/>
        </w:numPr>
        <w:ind w:left="4320" w:hanging="4320"/>
      </w:pPr>
      <w:r>
        <w:tab/>
        <w:t>“</w:t>
      </w:r>
      <w:r w:rsidR="005B018F" w:rsidRPr="004472E8">
        <w:rPr>
          <w:b/>
        </w:rPr>
        <w:t>Level 1 Incident</w:t>
      </w:r>
      <w:r>
        <w:t>”</w:t>
      </w:r>
      <w:r w:rsidR="005B018F" w:rsidRPr="00401A62">
        <w:tab/>
        <w:t>Incidents of urgent severity: the Service is totally unavailable, key functionality (search, browse, view and download content) is materially inoperative, or a majority of end users are unable to authenticate or be authorised.</w:t>
      </w:r>
    </w:p>
    <w:p w14:paraId="6965688B" w14:textId="5CEBF939" w:rsidR="005B018F" w:rsidRDefault="00401A62" w:rsidP="004472E8">
      <w:pPr>
        <w:pStyle w:val="TCBodyafterH1"/>
        <w:numPr>
          <w:ilvl w:val="0"/>
          <w:numId w:val="0"/>
        </w:numPr>
        <w:ind w:left="4320" w:hanging="4320"/>
      </w:pPr>
      <w:r>
        <w:tab/>
        <w:t>“</w:t>
      </w:r>
      <w:r w:rsidR="005B018F" w:rsidRPr="00401A62">
        <w:rPr>
          <w:b/>
        </w:rPr>
        <w:t>Level 2 Incident</w:t>
      </w:r>
      <w:r>
        <w:rPr>
          <w:b/>
        </w:rPr>
        <w:t>”</w:t>
      </w:r>
      <w:r w:rsidR="005B018F" w:rsidRPr="00401A62">
        <w:rPr>
          <w:b/>
        </w:rPr>
        <w:tab/>
      </w:r>
      <w:r w:rsidR="005B018F" w:rsidRPr="00401A62">
        <w:t>Incidents o</w:t>
      </w:r>
      <w:r w:rsidR="005B018F" w:rsidRPr="004472E8">
        <w:t>f</w:t>
      </w:r>
      <w:r w:rsidR="005B018F" w:rsidRPr="00401A62">
        <w:rPr>
          <w:b/>
        </w:rPr>
        <w:t xml:space="preserve"> </w:t>
      </w:r>
      <w:r w:rsidR="005B018F" w:rsidRPr="00401A62">
        <w:t>high severity: the Service is available, but key functionality (administration, content management, and web content management) is materially inoperative, or there are intermittent or isolated authentication or authorisation failures.</w:t>
      </w:r>
    </w:p>
    <w:p w14:paraId="72688A57" w14:textId="77777777" w:rsidR="00EA3243" w:rsidRDefault="00401A62" w:rsidP="004472E8">
      <w:pPr>
        <w:pStyle w:val="TCBodyafterH1"/>
        <w:numPr>
          <w:ilvl w:val="0"/>
          <w:numId w:val="0"/>
        </w:numPr>
        <w:ind w:left="4320" w:hanging="4320"/>
      </w:pPr>
      <w:r>
        <w:tab/>
        <w:t>“</w:t>
      </w:r>
      <w:r w:rsidRPr="004472E8">
        <w:rPr>
          <w:b/>
        </w:rPr>
        <w:t>Licensed Materials</w:t>
      </w:r>
      <w:r>
        <w:t>”</w:t>
      </w:r>
      <w:r>
        <w:tab/>
        <w:t xml:space="preserve">The electronic materials </w:t>
      </w:r>
      <w:r w:rsidR="00EA3243">
        <w:t>subject to this Agreement as defined in the Order Terms &amp; Conditions and set out in the Specification.</w:t>
      </w:r>
    </w:p>
    <w:p w14:paraId="2F901063" w14:textId="77777777" w:rsidR="00EF3A7B" w:rsidRDefault="00EA3243" w:rsidP="004472E8">
      <w:pPr>
        <w:pStyle w:val="TCBodyafterH1"/>
        <w:numPr>
          <w:ilvl w:val="0"/>
          <w:numId w:val="0"/>
        </w:numPr>
        <w:ind w:left="4320" w:hanging="4320"/>
      </w:pPr>
      <w:r>
        <w:tab/>
        <w:t>“</w:t>
      </w:r>
      <w:r w:rsidRPr="004472E8">
        <w:rPr>
          <w:b/>
        </w:rPr>
        <w:t>Order Terms &amp; Conditions</w:t>
      </w:r>
      <w:r>
        <w:t>”</w:t>
      </w:r>
      <w:r>
        <w:tab/>
        <w:t>The Terms and Conditions of Contract to be agreed between the parties and set out in the NICE Electronic and Print Content Framework Agreement Order Terms &amp; Conditions.</w:t>
      </w:r>
    </w:p>
    <w:p w14:paraId="44D16547" w14:textId="77777777" w:rsidR="002B1DBA" w:rsidRDefault="002B1DBA" w:rsidP="004472E8">
      <w:pPr>
        <w:pStyle w:val="TCBodyafterH1"/>
        <w:numPr>
          <w:ilvl w:val="0"/>
          <w:numId w:val="0"/>
        </w:numPr>
        <w:ind w:left="4320" w:hanging="4320"/>
      </w:pPr>
      <w:r>
        <w:tab/>
        <w:t>“</w:t>
      </w:r>
      <w:r w:rsidRPr="004472E8">
        <w:rPr>
          <w:b/>
        </w:rPr>
        <w:t>Provider</w:t>
      </w:r>
      <w:r>
        <w:t>”</w:t>
      </w:r>
      <w:r>
        <w:tab/>
        <w:t>MA Healthcare Limited, whose registered address is at St. Jude’s Church, Dulwich Road, London, SE24 0PB.</w:t>
      </w:r>
    </w:p>
    <w:p w14:paraId="3027414A" w14:textId="77777777" w:rsidR="005147D1" w:rsidRDefault="00EF3A7B" w:rsidP="004472E8">
      <w:pPr>
        <w:pStyle w:val="TCBodyafterH1"/>
        <w:numPr>
          <w:ilvl w:val="0"/>
          <w:numId w:val="0"/>
        </w:numPr>
        <w:ind w:left="4320" w:hanging="4320"/>
      </w:pPr>
      <w:r>
        <w:tab/>
        <w:t>“</w:t>
      </w:r>
      <w:r w:rsidR="002B1DBA" w:rsidRPr="002B1DBA">
        <w:rPr>
          <w:b/>
        </w:rPr>
        <w:t>Provider</w:t>
      </w:r>
      <w:r w:rsidRPr="004472E8">
        <w:rPr>
          <w:b/>
        </w:rPr>
        <w:t>’s Service</w:t>
      </w:r>
      <w:r>
        <w:t>”</w:t>
      </w:r>
      <w:r>
        <w:tab/>
        <w:t>The</w:t>
      </w:r>
      <w:r w:rsidR="002B1DBA">
        <w:t xml:space="preserve"> Provider</w:t>
      </w:r>
      <w:r>
        <w:t>’s provision of the technical infrastructure and functionality to assess and use the Service and/or the Licensed Materials, pursuant to or in accordance with this Agreement, as detailed in the Specification.</w:t>
      </w:r>
    </w:p>
    <w:p w14:paraId="4960C2D8" w14:textId="63C4D8CB" w:rsidR="00EA3243" w:rsidRPr="00401A62" w:rsidRDefault="005147D1" w:rsidP="00F70083">
      <w:pPr>
        <w:pStyle w:val="TCBodyafterH1"/>
        <w:numPr>
          <w:ilvl w:val="0"/>
          <w:numId w:val="0"/>
        </w:numPr>
        <w:rPr>
          <w:b/>
        </w:rPr>
      </w:pPr>
      <w:r>
        <w:tab/>
        <w:t>“</w:t>
      </w:r>
      <w:r w:rsidRPr="004472E8">
        <w:rPr>
          <w:b/>
        </w:rPr>
        <w:t>Purchasing Authority</w:t>
      </w:r>
      <w:r>
        <w:t>”</w:t>
      </w:r>
      <w:r>
        <w:tab/>
      </w:r>
      <w:r w:rsidR="0007625E">
        <w:tab/>
      </w:r>
      <w:r>
        <w:t>As defined in the Order Terms &amp; Conditions.</w:t>
      </w:r>
    </w:p>
    <w:p w14:paraId="7BCBC993" w14:textId="11BDE2D4" w:rsidR="00734B5B" w:rsidRDefault="00EA3243" w:rsidP="004472E8">
      <w:pPr>
        <w:pStyle w:val="TCBodyafterH1"/>
        <w:numPr>
          <w:ilvl w:val="0"/>
          <w:numId w:val="0"/>
        </w:numPr>
        <w:ind w:left="4320" w:hanging="4320"/>
      </w:pPr>
      <w:r>
        <w:tab/>
        <w:t>“</w:t>
      </w:r>
      <w:r w:rsidR="00734B5B" w:rsidRPr="004472E8">
        <w:rPr>
          <w:b/>
        </w:rPr>
        <w:t>Secure Network</w:t>
      </w:r>
      <w:r>
        <w:t>”</w:t>
      </w:r>
      <w:r w:rsidR="00734B5B" w:rsidRPr="00EA3243">
        <w:tab/>
        <w:t xml:space="preserve">A network (whether a standalone network or a virtual </w:t>
      </w:r>
      <w:r w:rsidR="00734B5B">
        <w:t xml:space="preserve">    </w:t>
      </w:r>
      <w:r w:rsidR="00734B5B" w:rsidRPr="00EA3243">
        <w:t>network within the Internet) which is only accessible to Authorise</w:t>
      </w:r>
      <w:r w:rsidR="00F96515">
        <w:t xml:space="preserve">d Users </w:t>
      </w:r>
      <w:r w:rsidR="00F96515">
        <w:lastRenderedPageBreak/>
        <w:t>approved by the Purchasing Authority</w:t>
      </w:r>
      <w:r w:rsidR="00734B5B" w:rsidRPr="00EA3243">
        <w:t xml:space="preserve"> whose identity is authenticated at the time of log-in and periodically thereafter consistent with current best prac</w:t>
      </w:r>
      <w:r w:rsidR="00734B5B" w:rsidRPr="005147D1">
        <w:t>tice, and whose conduct is subje</w:t>
      </w:r>
      <w:r w:rsidR="00F96515">
        <w:t>ct to regulation by the Purchasing Authority</w:t>
      </w:r>
      <w:r w:rsidR="00734B5B">
        <w:t>.</w:t>
      </w:r>
    </w:p>
    <w:p w14:paraId="54010077" w14:textId="77777777" w:rsidR="00EF3A7B" w:rsidRPr="00EF3A7B" w:rsidRDefault="00EF3A7B" w:rsidP="004472E8">
      <w:pPr>
        <w:pStyle w:val="TCBodyafterH1"/>
        <w:numPr>
          <w:ilvl w:val="0"/>
          <w:numId w:val="0"/>
        </w:numPr>
        <w:ind w:left="4320" w:hanging="4320"/>
      </w:pPr>
      <w:r>
        <w:tab/>
        <w:t>“</w:t>
      </w:r>
      <w:r>
        <w:rPr>
          <w:b/>
        </w:rPr>
        <w:t>Server</w:t>
      </w:r>
      <w:r w:rsidRPr="00EF3A7B">
        <w:t>”</w:t>
      </w:r>
      <w:r>
        <w:rPr>
          <w:b/>
        </w:rPr>
        <w:tab/>
      </w:r>
      <w:r w:rsidRPr="00EF3A7B">
        <w:t>The server</w:t>
      </w:r>
      <w:r w:rsidR="002B1DBA">
        <w:t>, either by the Provider</w:t>
      </w:r>
      <w:r>
        <w:t>’s server or a third party se</w:t>
      </w:r>
      <w:r w:rsidR="002B1DBA">
        <w:t>rver designated by the Provider</w:t>
      </w:r>
      <w:r>
        <w:t>, on which the Licensed Materials are mounted and may be accessed.</w:t>
      </w:r>
    </w:p>
    <w:p w14:paraId="457BBD02" w14:textId="77777777" w:rsidR="00446AD2" w:rsidRDefault="00446AD2" w:rsidP="005B018F">
      <w:pPr>
        <w:ind w:left="2880" w:hanging="2160"/>
        <w:jc w:val="both"/>
        <w:rPr>
          <w:b/>
        </w:rPr>
      </w:pPr>
    </w:p>
    <w:p w14:paraId="370EBF28" w14:textId="77777777" w:rsidR="00446AD2" w:rsidRDefault="00446AD2" w:rsidP="004472E8">
      <w:pPr>
        <w:ind w:left="4320" w:hanging="3600"/>
        <w:jc w:val="both"/>
        <w:rPr>
          <w:rFonts w:ascii="Arial" w:hAnsi="Arial" w:cs="Arial"/>
          <w:b/>
        </w:rPr>
      </w:pPr>
      <w:r w:rsidRPr="004472E8">
        <w:rPr>
          <w:rFonts w:ascii="Arial" w:hAnsi="Arial" w:cs="Arial"/>
          <w:b/>
        </w:rPr>
        <w:t>“Service”</w:t>
      </w:r>
      <w:r w:rsidRPr="004472E8">
        <w:rPr>
          <w:rFonts w:ascii="Arial" w:hAnsi="Arial" w:cs="Arial"/>
          <w:b/>
        </w:rPr>
        <w:tab/>
      </w:r>
      <w:r>
        <w:rPr>
          <w:rFonts w:ascii="Arial" w:hAnsi="Arial" w:cs="Arial"/>
        </w:rPr>
        <w:t>As such term is</w:t>
      </w:r>
      <w:r w:rsidRPr="00446AD2">
        <w:rPr>
          <w:rFonts w:ascii="Arial" w:hAnsi="Arial" w:cs="Arial"/>
        </w:rPr>
        <w:t xml:space="preserve"> defined in the </w:t>
      </w:r>
      <w:r>
        <w:rPr>
          <w:rFonts w:ascii="Arial" w:hAnsi="Arial" w:cs="Arial"/>
        </w:rPr>
        <w:t>Order Terms &amp; Conditions.</w:t>
      </w:r>
    </w:p>
    <w:p w14:paraId="4BC83BAB" w14:textId="77777777" w:rsidR="00446AD2" w:rsidRDefault="00446AD2" w:rsidP="004472E8">
      <w:pPr>
        <w:ind w:left="4320" w:hanging="3600"/>
        <w:jc w:val="both"/>
        <w:rPr>
          <w:rFonts w:ascii="Arial" w:hAnsi="Arial" w:cs="Arial"/>
          <w:b/>
        </w:rPr>
      </w:pPr>
    </w:p>
    <w:p w14:paraId="5BA5FCAA" w14:textId="1CC8D44F" w:rsidR="005B018F" w:rsidRPr="004472E8" w:rsidRDefault="00446AD2" w:rsidP="004472E8">
      <w:pPr>
        <w:ind w:left="4320" w:hanging="3600"/>
        <w:jc w:val="both"/>
        <w:rPr>
          <w:rFonts w:ascii="Arial" w:hAnsi="Arial" w:cs="Arial"/>
          <w:b/>
        </w:rPr>
      </w:pPr>
      <w:r>
        <w:rPr>
          <w:rFonts w:ascii="Arial" w:hAnsi="Arial" w:cs="Arial"/>
          <w:b/>
        </w:rPr>
        <w:t>“</w:t>
      </w:r>
      <w:r w:rsidR="005B018F" w:rsidRPr="004472E8">
        <w:rPr>
          <w:rFonts w:ascii="Arial" w:hAnsi="Arial" w:cs="Arial"/>
          <w:b/>
        </w:rPr>
        <w:t>Service Availability</w:t>
      </w:r>
      <w:r>
        <w:rPr>
          <w:rFonts w:ascii="Arial" w:hAnsi="Arial" w:cs="Arial"/>
          <w:b/>
        </w:rPr>
        <w:t>”</w:t>
      </w:r>
      <w:r w:rsidR="005B018F" w:rsidRPr="004472E8">
        <w:rPr>
          <w:rFonts w:ascii="Arial" w:hAnsi="Arial" w:cs="Arial"/>
          <w:b/>
        </w:rPr>
        <w:tab/>
      </w:r>
      <w:r w:rsidR="005B018F" w:rsidRPr="004472E8">
        <w:rPr>
          <w:rFonts w:ascii="Arial" w:hAnsi="Arial" w:cs="Arial"/>
        </w:rPr>
        <w:t xml:space="preserve">The availability of the Service as calculated by the </w:t>
      </w:r>
      <w:r>
        <w:rPr>
          <w:rFonts w:ascii="Arial" w:hAnsi="Arial" w:cs="Arial"/>
        </w:rPr>
        <w:t>s</w:t>
      </w:r>
      <w:r w:rsidR="005B018F" w:rsidRPr="004472E8">
        <w:rPr>
          <w:rFonts w:ascii="Arial" w:hAnsi="Arial" w:cs="Arial"/>
        </w:rPr>
        <w:t xml:space="preserve">ervice </w:t>
      </w:r>
      <w:r>
        <w:rPr>
          <w:rFonts w:ascii="Arial" w:hAnsi="Arial" w:cs="Arial"/>
        </w:rPr>
        <w:t>a</w:t>
      </w:r>
      <w:r w:rsidR="005B018F" w:rsidRPr="004472E8">
        <w:rPr>
          <w:rFonts w:ascii="Arial" w:hAnsi="Arial" w:cs="Arial"/>
        </w:rPr>
        <w:t xml:space="preserve">vailability </w:t>
      </w:r>
      <w:r>
        <w:rPr>
          <w:rFonts w:ascii="Arial" w:hAnsi="Arial" w:cs="Arial"/>
        </w:rPr>
        <w:t>c</w:t>
      </w:r>
      <w:r w:rsidR="005B018F" w:rsidRPr="004472E8">
        <w:rPr>
          <w:rFonts w:ascii="Arial" w:hAnsi="Arial" w:cs="Arial"/>
        </w:rPr>
        <w:t>alculation</w:t>
      </w:r>
      <w:r>
        <w:rPr>
          <w:rFonts w:ascii="Arial" w:hAnsi="Arial" w:cs="Arial"/>
        </w:rPr>
        <w:t xml:space="preserve"> as set out in Schedule 1</w:t>
      </w:r>
      <w:r w:rsidR="005B018F" w:rsidRPr="004472E8">
        <w:rPr>
          <w:rFonts w:ascii="Arial" w:hAnsi="Arial" w:cs="Arial"/>
        </w:rPr>
        <w:t>.</w:t>
      </w:r>
    </w:p>
    <w:p w14:paraId="3B4C0524" w14:textId="77777777" w:rsidR="005B018F" w:rsidRPr="004472E8" w:rsidRDefault="005B018F" w:rsidP="005B018F">
      <w:pPr>
        <w:ind w:left="2880" w:hanging="2160"/>
        <w:jc w:val="both"/>
        <w:rPr>
          <w:rFonts w:ascii="Arial" w:hAnsi="Arial" w:cs="Arial"/>
        </w:rPr>
      </w:pPr>
    </w:p>
    <w:p w14:paraId="6E6E10E4" w14:textId="59FEEF32" w:rsidR="005B018F" w:rsidRDefault="00446AD2" w:rsidP="004472E8">
      <w:pPr>
        <w:ind w:left="4320" w:hanging="3600"/>
        <w:jc w:val="both"/>
        <w:rPr>
          <w:rFonts w:ascii="Arial" w:hAnsi="Arial" w:cs="Arial"/>
          <w:b/>
        </w:rPr>
      </w:pPr>
      <w:r>
        <w:rPr>
          <w:rFonts w:ascii="Arial" w:hAnsi="Arial" w:cs="Arial"/>
          <w:b/>
        </w:rPr>
        <w:t>“</w:t>
      </w:r>
      <w:r w:rsidR="005B018F" w:rsidRPr="004472E8">
        <w:rPr>
          <w:rFonts w:ascii="Arial" w:hAnsi="Arial" w:cs="Arial"/>
          <w:b/>
        </w:rPr>
        <w:t>Service Credit</w:t>
      </w:r>
      <w:r>
        <w:rPr>
          <w:rFonts w:ascii="Arial" w:hAnsi="Arial" w:cs="Arial"/>
          <w:b/>
        </w:rPr>
        <w:t>”</w:t>
      </w:r>
      <w:r w:rsidR="005B018F" w:rsidRPr="004472E8">
        <w:rPr>
          <w:rFonts w:ascii="Arial" w:hAnsi="Arial" w:cs="Arial"/>
          <w:b/>
        </w:rPr>
        <w:tab/>
      </w:r>
      <w:r w:rsidR="00F96515">
        <w:rPr>
          <w:rFonts w:ascii="Arial" w:hAnsi="Arial" w:cs="Arial"/>
          <w:b/>
        </w:rPr>
        <w:t>T</w:t>
      </w:r>
      <w:r w:rsidR="005B018F" w:rsidRPr="004472E8">
        <w:rPr>
          <w:rFonts w:ascii="Arial" w:hAnsi="Arial" w:cs="Arial"/>
        </w:rPr>
        <w:t>he credit provided by the P</w:t>
      </w:r>
      <w:r w:rsidR="002B1DBA">
        <w:rPr>
          <w:rFonts w:ascii="Arial" w:hAnsi="Arial" w:cs="Arial"/>
        </w:rPr>
        <w:t>rovider</w:t>
      </w:r>
      <w:r w:rsidR="005B018F" w:rsidRPr="004472E8">
        <w:rPr>
          <w:rFonts w:ascii="Arial" w:hAnsi="Arial" w:cs="Arial"/>
        </w:rPr>
        <w:t xml:space="preserve"> to the </w:t>
      </w:r>
      <w:r w:rsidR="00F96515">
        <w:rPr>
          <w:rFonts w:ascii="Arial" w:hAnsi="Arial" w:cs="Arial"/>
        </w:rPr>
        <w:t>Purchasing Authority f</w:t>
      </w:r>
      <w:r w:rsidR="005B018F" w:rsidRPr="004472E8">
        <w:rPr>
          <w:rFonts w:ascii="Arial" w:hAnsi="Arial" w:cs="Arial"/>
        </w:rPr>
        <w:t xml:space="preserve">or non-availability of the Service as calculated by the </w:t>
      </w:r>
      <w:r w:rsidR="005147D1">
        <w:rPr>
          <w:rFonts w:ascii="Arial" w:hAnsi="Arial" w:cs="Arial"/>
        </w:rPr>
        <w:t>s</w:t>
      </w:r>
      <w:r w:rsidR="005B018F" w:rsidRPr="004472E8">
        <w:rPr>
          <w:rFonts w:ascii="Arial" w:hAnsi="Arial" w:cs="Arial"/>
        </w:rPr>
        <w:t xml:space="preserve">ervice </w:t>
      </w:r>
      <w:r w:rsidR="005147D1">
        <w:rPr>
          <w:rFonts w:ascii="Arial" w:hAnsi="Arial" w:cs="Arial"/>
        </w:rPr>
        <w:t>c</w:t>
      </w:r>
      <w:r w:rsidR="005B018F" w:rsidRPr="004472E8">
        <w:rPr>
          <w:rFonts w:ascii="Arial" w:hAnsi="Arial" w:cs="Arial"/>
        </w:rPr>
        <w:t xml:space="preserve">redit </w:t>
      </w:r>
      <w:r w:rsidR="005147D1">
        <w:rPr>
          <w:rFonts w:ascii="Arial" w:hAnsi="Arial" w:cs="Arial"/>
        </w:rPr>
        <w:t>c</w:t>
      </w:r>
      <w:r w:rsidR="005B018F" w:rsidRPr="004472E8">
        <w:rPr>
          <w:rFonts w:ascii="Arial" w:hAnsi="Arial" w:cs="Arial"/>
        </w:rPr>
        <w:t>alculation</w:t>
      </w:r>
      <w:r w:rsidR="005147D1">
        <w:rPr>
          <w:rFonts w:ascii="Arial" w:hAnsi="Arial" w:cs="Arial"/>
        </w:rPr>
        <w:t xml:space="preserve"> as set out in Schedule 1</w:t>
      </w:r>
      <w:r w:rsidR="005B018F" w:rsidRPr="004472E8">
        <w:rPr>
          <w:rFonts w:ascii="Arial" w:hAnsi="Arial" w:cs="Arial"/>
        </w:rPr>
        <w:t>.</w:t>
      </w:r>
      <w:r w:rsidR="005B018F" w:rsidRPr="004472E8">
        <w:rPr>
          <w:rFonts w:ascii="Arial" w:hAnsi="Arial" w:cs="Arial"/>
          <w:b/>
        </w:rPr>
        <w:t xml:space="preserve"> </w:t>
      </w:r>
    </w:p>
    <w:p w14:paraId="0F8ADA5D" w14:textId="77777777" w:rsidR="00446AD2" w:rsidRDefault="00446AD2" w:rsidP="004472E8">
      <w:pPr>
        <w:ind w:left="4320" w:hanging="3600"/>
        <w:jc w:val="both"/>
        <w:rPr>
          <w:rFonts w:ascii="Arial" w:hAnsi="Arial" w:cs="Arial"/>
          <w:b/>
        </w:rPr>
      </w:pPr>
    </w:p>
    <w:p w14:paraId="5CE7EC0A" w14:textId="77777777" w:rsidR="00446AD2" w:rsidRPr="004472E8" w:rsidRDefault="00446AD2" w:rsidP="004472E8">
      <w:pPr>
        <w:ind w:left="4320" w:hanging="3600"/>
        <w:jc w:val="both"/>
        <w:rPr>
          <w:rFonts w:ascii="Arial" w:hAnsi="Arial" w:cs="Arial"/>
        </w:rPr>
      </w:pPr>
      <w:r>
        <w:rPr>
          <w:rFonts w:ascii="Arial" w:hAnsi="Arial" w:cs="Arial"/>
          <w:b/>
        </w:rPr>
        <w:t>“Service Standards”</w:t>
      </w:r>
      <w:r>
        <w:rPr>
          <w:rFonts w:ascii="Arial" w:hAnsi="Arial" w:cs="Arial"/>
          <w:b/>
        </w:rPr>
        <w:tab/>
      </w:r>
      <w:r w:rsidRPr="004472E8">
        <w:rPr>
          <w:rFonts w:ascii="Arial" w:hAnsi="Arial" w:cs="Arial"/>
        </w:rPr>
        <w:t>The</w:t>
      </w:r>
      <w:r>
        <w:rPr>
          <w:rFonts w:ascii="Arial" w:hAnsi="Arial" w:cs="Arial"/>
        </w:rPr>
        <w:t xml:space="preserve"> expected standards and objectives of the Service.</w:t>
      </w:r>
    </w:p>
    <w:p w14:paraId="485715B2" w14:textId="77777777" w:rsidR="00446AD2" w:rsidRDefault="00446AD2" w:rsidP="004472E8">
      <w:pPr>
        <w:ind w:left="4320" w:hanging="3600"/>
        <w:jc w:val="both"/>
        <w:rPr>
          <w:rFonts w:ascii="Arial" w:hAnsi="Arial" w:cs="Arial"/>
        </w:rPr>
      </w:pPr>
    </w:p>
    <w:p w14:paraId="4FE8343E" w14:textId="77777777" w:rsidR="005147D1" w:rsidRDefault="005147D1" w:rsidP="004472E8">
      <w:pPr>
        <w:ind w:left="4320" w:hanging="3600"/>
        <w:jc w:val="both"/>
        <w:rPr>
          <w:rFonts w:ascii="Arial" w:hAnsi="Arial" w:cs="Arial"/>
        </w:rPr>
      </w:pPr>
      <w:r>
        <w:rPr>
          <w:rFonts w:ascii="Arial" w:hAnsi="Arial" w:cs="Arial"/>
        </w:rPr>
        <w:t>“</w:t>
      </w:r>
      <w:r w:rsidRPr="004472E8">
        <w:rPr>
          <w:rFonts w:ascii="Arial" w:hAnsi="Arial" w:cs="Arial"/>
          <w:b/>
        </w:rPr>
        <w:t>Specification</w:t>
      </w:r>
      <w:r>
        <w:rPr>
          <w:rFonts w:ascii="Arial" w:hAnsi="Arial" w:cs="Arial"/>
        </w:rPr>
        <w:t>”</w:t>
      </w:r>
      <w:r>
        <w:rPr>
          <w:rFonts w:ascii="Arial" w:hAnsi="Arial" w:cs="Arial"/>
        </w:rPr>
        <w:tab/>
        <w:t xml:space="preserve">The description of the Licenced Materials together with (where applicable) a brief description of Deliverables (as such term is defined in the Order Terms &amp; Conditions) as defined and set out in the Order Terms &amp; Conditions. </w:t>
      </w:r>
    </w:p>
    <w:p w14:paraId="147EA44A" w14:textId="1DEA0A41" w:rsidR="000025BD" w:rsidRDefault="000025BD" w:rsidP="004472E8">
      <w:pPr>
        <w:ind w:left="4320" w:hanging="3600"/>
        <w:jc w:val="both"/>
        <w:rPr>
          <w:rFonts w:ascii="Arial" w:hAnsi="Arial" w:cs="Arial"/>
        </w:rPr>
      </w:pPr>
      <w:r w:rsidRPr="000025BD">
        <w:rPr>
          <w:rFonts w:ascii="Arial" w:hAnsi="Arial" w:cs="Arial"/>
        </w:rPr>
        <w:t>“Third Party Systems”</w:t>
      </w:r>
      <w:r w:rsidRPr="000025BD">
        <w:rPr>
          <w:rFonts w:ascii="Arial" w:hAnsi="Arial" w:cs="Arial"/>
        </w:rPr>
        <w:tab/>
      </w:r>
      <w:r w:rsidRPr="000025BD">
        <w:rPr>
          <w:rFonts w:ascii="Arial" w:hAnsi="Arial" w:cs="Arial"/>
        </w:rPr>
        <w:tab/>
        <w:t xml:space="preserve">means, </w:t>
      </w:r>
      <w:r w:rsidR="00A96946" w:rsidRPr="00A96946">
        <w:rPr>
          <w:rFonts w:ascii="Arial" w:hAnsi="Arial" w:cs="Arial"/>
        </w:rPr>
        <w:t>online services utilised by Authorised Users to discover and access the Licensed Materials</w:t>
      </w:r>
      <w:r w:rsidRPr="000025BD">
        <w:rPr>
          <w:rFonts w:ascii="Arial" w:hAnsi="Arial" w:cs="Arial"/>
        </w:rPr>
        <w:t>;</w:t>
      </w:r>
    </w:p>
    <w:p w14:paraId="1A28FB8D" w14:textId="77777777" w:rsidR="005147D1" w:rsidRPr="004472E8" w:rsidRDefault="005147D1" w:rsidP="004472E8">
      <w:pPr>
        <w:ind w:left="4320" w:hanging="3600"/>
        <w:jc w:val="both"/>
        <w:rPr>
          <w:rFonts w:ascii="Arial" w:hAnsi="Arial" w:cs="Arial"/>
        </w:rPr>
      </w:pPr>
    </w:p>
    <w:p w14:paraId="7532D488" w14:textId="77777777" w:rsidR="000025BD" w:rsidRDefault="000025BD" w:rsidP="004472E8">
      <w:pPr>
        <w:ind w:left="4320" w:hanging="3600"/>
        <w:jc w:val="both"/>
        <w:rPr>
          <w:rFonts w:ascii="Arial" w:hAnsi="Arial" w:cs="Arial"/>
          <w:b/>
        </w:rPr>
      </w:pPr>
    </w:p>
    <w:p w14:paraId="10930B98" w14:textId="29931AB7" w:rsidR="00734B5B" w:rsidRPr="004472E8" w:rsidRDefault="005147D1" w:rsidP="004472E8">
      <w:pPr>
        <w:ind w:left="4320" w:hanging="3600"/>
        <w:jc w:val="both"/>
        <w:rPr>
          <w:rFonts w:ascii="Arial" w:hAnsi="Arial" w:cs="Arial"/>
        </w:rPr>
      </w:pPr>
      <w:r>
        <w:rPr>
          <w:rFonts w:ascii="Arial" w:hAnsi="Arial" w:cs="Arial"/>
          <w:b/>
        </w:rPr>
        <w:t>“</w:t>
      </w:r>
      <w:r w:rsidR="00734B5B" w:rsidRPr="004472E8">
        <w:rPr>
          <w:rFonts w:ascii="Arial" w:hAnsi="Arial" w:cs="Arial"/>
          <w:b/>
        </w:rPr>
        <w:t>Working Day</w:t>
      </w:r>
      <w:r>
        <w:rPr>
          <w:rFonts w:ascii="Arial" w:hAnsi="Arial" w:cs="Arial"/>
          <w:b/>
        </w:rPr>
        <w:t>”</w:t>
      </w:r>
      <w:r w:rsidR="00734B5B" w:rsidRPr="004472E8">
        <w:rPr>
          <w:rFonts w:ascii="Arial" w:hAnsi="Arial" w:cs="Arial"/>
          <w:b/>
        </w:rPr>
        <w:tab/>
      </w:r>
      <w:r w:rsidR="00734B5B" w:rsidRPr="004472E8">
        <w:rPr>
          <w:rFonts w:ascii="Arial" w:hAnsi="Arial" w:cs="Arial"/>
        </w:rPr>
        <w:t>Any day which is not a Saturday, a Sunday or a bank or public holiday in</w:t>
      </w:r>
      <w:r w:rsidR="00734B5B" w:rsidRPr="004472E8">
        <w:rPr>
          <w:rFonts w:ascii="Arial" w:hAnsi="Arial" w:cs="Arial"/>
          <w:b/>
        </w:rPr>
        <w:t xml:space="preserve"> </w:t>
      </w:r>
      <w:r w:rsidR="00734B5B" w:rsidRPr="004472E8">
        <w:rPr>
          <w:rFonts w:ascii="Arial" w:hAnsi="Arial" w:cs="Arial"/>
        </w:rPr>
        <w:t>England, or</w:t>
      </w:r>
      <w:r w:rsidR="00734B5B" w:rsidRPr="004472E8">
        <w:rPr>
          <w:rFonts w:ascii="Arial" w:hAnsi="Arial" w:cs="Arial"/>
          <w:b/>
        </w:rPr>
        <w:t xml:space="preserve"> </w:t>
      </w:r>
      <w:r w:rsidR="00734B5B" w:rsidRPr="004472E8">
        <w:rPr>
          <w:rFonts w:ascii="Arial" w:hAnsi="Arial" w:cs="Arial"/>
        </w:rPr>
        <w:t>any location where a third party provider to the P</w:t>
      </w:r>
      <w:r w:rsidR="002B1DBA">
        <w:rPr>
          <w:rFonts w:ascii="Arial" w:hAnsi="Arial" w:cs="Arial"/>
        </w:rPr>
        <w:t>rovider</w:t>
      </w:r>
      <w:r w:rsidR="00734B5B" w:rsidRPr="004472E8">
        <w:rPr>
          <w:rFonts w:ascii="Arial" w:hAnsi="Arial" w:cs="Arial"/>
        </w:rPr>
        <w:t xml:space="preserve"> in respect of the Services is located.</w:t>
      </w:r>
    </w:p>
    <w:p w14:paraId="74307ABE" w14:textId="77777777" w:rsidR="00734B5B" w:rsidRPr="004472E8" w:rsidRDefault="00734B5B" w:rsidP="00734B5B">
      <w:pPr>
        <w:ind w:left="2880" w:hanging="2160"/>
        <w:jc w:val="both"/>
        <w:rPr>
          <w:rFonts w:ascii="Arial" w:hAnsi="Arial" w:cs="Arial"/>
          <w:b/>
        </w:rPr>
      </w:pPr>
    </w:p>
    <w:p w14:paraId="02E1B188" w14:textId="77777777" w:rsidR="00734B5B" w:rsidRPr="004472E8" w:rsidRDefault="005147D1" w:rsidP="004472E8">
      <w:pPr>
        <w:ind w:left="4320" w:hanging="3600"/>
        <w:jc w:val="both"/>
        <w:rPr>
          <w:rFonts w:ascii="Arial" w:hAnsi="Arial" w:cs="Arial"/>
          <w:b/>
        </w:rPr>
      </w:pPr>
      <w:r>
        <w:rPr>
          <w:rFonts w:ascii="Arial" w:hAnsi="Arial" w:cs="Arial"/>
          <w:b/>
        </w:rPr>
        <w:t>“</w:t>
      </w:r>
      <w:r w:rsidR="00734B5B" w:rsidRPr="004472E8">
        <w:rPr>
          <w:rFonts w:ascii="Arial" w:hAnsi="Arial" w:cs="Arial"/>
          <w:b/>
        </w:rPr>
        <w:t>Working Hours</w:t>
      </w:r>
      <w:r>
        <w:rPr>
          <w:rFonts w:ascii="Arial" w:hAnsi="Arial" w:cs="Arial"/>
          <w:b/>
        </w:rPr>
        <w:t>”</w:t>
      </w:r>
      <w:r w:rsidR="00734B5B" w:rsidRPr="004472E8">
        <w:rPr>
          <w:rFonts w:ascii="Arial" w:hAnsi="Arial" w:cs="Arial"/>
          <w:b/>
        </w:rPr>
        <w:tab/>
      </w:r>
      <w:r w:rsidR="00734B5B" w:rsidRPr="004472E8">
        <w:rPr>
          <w:rFonts w:ascii="Arial" w:hAnsi="Arial" w:cs="Arial"/>
        </w:rPr>
        <w:t>Monday – Friday 9:00-17:00 Pacific Time (excluding US national holidays).</w:t>
      </w:r>
    </w:p>
    <w:p w14:paraId="27644E1A" w14:textId="77777777" w:rsidR="00734B5B" w:rsidRDefault="00734B5B" w:rsidP="004472E8">
      <w:pPr>
        <w:pStyle w:val="TCHeading1"/>
        <w:numPr>
          <w:ilvl w:val="0"/>
          <w:numId w:val="0"/>
        </w:numPr>
        <w:ind w:left="858" w:hanging="138"/>
      </w:pPr>
    </w:p>
    <w:p w14:paraId="4E150EEB" w14:textId="77777777" w:rsidR="00734B5B" w:rsidRPr="00367FB8" w:rsidRDefault="00734B5B" w:rsidP="004472E8">
      <w:pPr>
        <w:pStyle w:val="TCHeading1"/>
        <w:numPr>
          <w:ilvl w:val="0"/>
          <w:numId w:val="0"/>
        </w:numPr>
      </w:pPr>
    </w:p>
    <w:p w14:paraId="18EA2531" w14:textId="77777777" w:rsidR="00CC1E9D" w:rsidRPr="00367FB8" w:rsidRDefault="00CC1E9D" w:rsidP="00CC1E9D">
      <w:pPr>
        <w:pStyle w:val="TCHeading1"/>
        <w:ind w:left="851" w:hanging="851"/>
      </w:pPr>
      <w:bookmarkStart w:id="10" w:name="_Toc459291913"/>
      <w:r w:rsidRPr="00367FB8">
        <w:t>Contact Details</w:t>
      </w:r>
      <w:bookmarkEnd w:id="10"/>
    </w:p>
    <w:p w14:paraId="69A177C7" w14:textId="77777777" w:rsidR="001E417C" w:rsidRPr="00367FB8" w:rsidRDefault="001E417C" w:rsidP="00285D9C">
      <w:pPr>
        <w:pStyle w:val="TCBodyafterH1"/>
        <w:numPr>
          <w:ilvl w:val="0"/>
          <w:numId w:val="0"/>
        </w:numPr>
        <w:ind w:left="858"/>
      </w:pPr>
      <w:r w:rsidRPr="00367FB8">
        <w:t>Name</w:t>
      </w:r>
      <w:r w:rsidR="003820F5">
        <w:t>: Jas Atwal</w:t>
      </w:r>
    </w:p>
    <w:p w14:paraId="727D0939" w14:textId="77777777" w:rsidR="001E417C" w:rsidRPr="00367FB8" w:rsidRDefault="001E417C" w:rsidP="00285D9C">
      <w:pPr>
        <w:pStyle w:val="TCBodyafterH1"/>
        <w:numPr>
          <w:ilvl w:val="0"/>
          <w:numId w:val="0"/>
        </w:numPr>
      </w:pPr>
      <w:r w:rsidRPr="00367FB8">
        <w:tab/>
        <w:t>Job Title</w:t>
      </w:r>
      <w:r w:rsidR="003820F5">
        <w:t>: Business Development Manager</w:t>
      </w:r>
    </w:p>
    <w:p w14:paraId="41D7BA2E" w14:textId="5B43464B" w:rsidR="001E417C" w:rsidRPr="00367FB8" w:rsidRDefault="001E417C" w:rsidP="004472E8">
      <w:pPr>
        <w:pStyle w:val="TCBodyafterH1"/>
        <w:numPr>
          <w:ilvl w:val="0"/>
          <w:numId w:val="0"/>
        </w:numPr>
        <w:ind w:left="851"/>
      </w:pPr>
      <w:r w:rsidRPr="00367FB8">
        <w:t>Address</w:t>
      </w:r>
      <w:r w:rsidR="003820F5">
        <w:t xml:space="preserve">: MA Healthcare Ltd., St. Jude’s Church, Dulwich Road, </w:t>
      </w:r>
      <w:r w:rsidR="004472E8">
        <w:t>London, SE</w:t>
      </w:r>
      <w:r w:rsidR="003820F5">
        <w:t>24 0PB. United Kingdom</w:t>
      </w:r>
    </w:p>
    <w:p w14:paraId="0C0E54E6" w14:textId="77777777" w:rsidR="001E417C" w:rsidRPr="00367FB8" w:rsidRDefault="001E417C" w:rsidP="00285D9C">
      <w:pPr>
        <w:pStyle w:val="TCBodyafterH1"/>
        <w:numPr>
          <w:ilvl w:val="0"/>
          <w:numId w:val="0"/>
        </w:numPr>
      </w:pPr>
      <w:r w:rsidRPr="00367FB8">
        <w:tab/>
        <w:t>Telephone</w:t>
      </w:r>
      <w:r w:rsidR="003820F5">
        <w:t xml:space="preserve">: 020 7501 6738 </w:t>
      </w:r>
    </w:p>
    <w:p w14:paraId="1CDBBB65" w14:textId="77777777" w:rsidR="001E417C" w:rsidRPr="00367FB8" w:rsidRDefault="001E417C" w:rsidP="00285D9C">
      <w:pPr>
        <w:pStyle w:val="TCBodyafterH1"/>
        <w:numPr>
          <w:ilvl w:val="0"/>
          <w:numId w:val="0"/>
        </w:numPr>
      </w:pPr>
      <w:r w:rsidRPr="00367FB8">
        <w:tab/>
        <w:t>Facsimile</w:t>
      </w:r>
      <w:r w:rsidR="003820F5">
        <w:t>: n/a</w:t>
      </w:r>
    </w:p>
    <w:p w14:paraId="34B0E23E" w14:textId="77777777" w:rsidR="001E417C" w:rsidRPr="00367FB8" w:rsidRDefault="001E417C" w:rsidP="00285D9C">
      <w:pPr>
        <w:pStyle w:val="TCBodyafterH1"/>
        <w:numPr>
          <w:ilvl w:val="0"/>
          <w:numId w:val="0"/>
        </w:numPr>
      </w:pPr>
      <w:r w:rsidRPr="00367FB8">
        <w:tab/>
        <w:t>Email</w:t>
      </w:r>
      <w:r w:rsidR="003820F5">
        <w:t>: jas.atwal@markallengroup.com</w:t>
      </w:r>
      <w:r w:rsidRPr="00367FB8">
        <w:tab/>
      </w:r>
    </w:p>
    <w:p w14:paraId="00E4221E" w14:textId="77777777" w:rsidR="0039748D" w:rsidRPr="00367FB8" w:rsidRDefault="00035CD6" w:rsidP="0039748D">
      <w:pPr>
        <w:pStyle w:val="TCHeading1"/>
      </w:pPr>
      <w:bookmarkStart w:id="11" w:name="_Toc459291914"/>
      <w:r>
        <w:t xml:space="preserve">Service </w:t>
      </w:r>
      <w:r w:rsidR="0039748D" w:rsidRPr="00367FB8">
        <w:t>Usage</w:t>
      </w:r>
      <w:bookmarkEnd w:id="11"/>
      <w:r w:rsidR="0039748D" w:rsidRPr="00367FB8">
        <w:t xml:space="preserve"> </w:t>
      </w:r>
    </w:p>
    <w:p w14:paraId="4AFD9836" w14:textId="788DD847" w:rsidR="0007625E" w:rsidRDefault="0007625E" w:rsidP="00285D9C">
      <w:pPr>
        <w:pStyle w:val="TCBodyafterH1"/>
      </w:pPr>
      <w:r>
        <w:t>The Purchasing Authority, subject to clause 4.3 below, may:</w:t>
      </w:r>
    </w:p>
    <w:p w14:paraId="7DC53C1C" w14:textId="77777777" w:rsidR="0007625E" w:rsidRDefault="0007625E" w:rsidP="004472E8">
      <w:pPr>
        <w:pStyle w:val="TCBodyafterH2"/>
      </w:pPr>
      <w:r>
        <w:t>allow Authorised Users to have access to the Licensed Materials from the Server via the Secure Network;</w:t>
      </w:r>
    </w:p>
    <w:p w14:paraId="12A00A71" w14:textId="77777777" w:rsidR="0007625E" w:rsidRDefault="0007625E" w:rsidP="004472E8">
      <w:pPr>
        <w:pStyle w:val="TCBodyafterH2"/>
      </w:pPr>
      <w:r>
        <w:t>provide</w:t>
      </w:r>
      <w:r w:rsidR="00EF116E">
        <w:t xml:space="preserve"> Authorised Users with integrated access and an integrated author, article title, abstract and keyword index to the Licensed Materials;</w:t>
      </w:r>
    </w:p>
    <w:p w14:paraId="20BD45BA" w14:textId="77777777" w:rsidR="00EF116E" w:rsidRDefault="00EF116E" w:rsidP="004472E8">
      <w:pPr>
        <w:pStyle w:val="TCBodyafterH2"/>
      </w:pPr>
      <w:r>
        <w:t>provide single printed or electronic copies of single articles at the request of individual Authorised Users;</w:t>
      </w:r>
    </w:p>
    <w:p w14:paraId="1828BEA6" w14:textId="77777777" w:rsidR="00EF116E" w:rsidRDefault="00EF116E" w:rsidP="004472E8">
      <w:pPr>
        <w:pStyle w:val="TCBodyafterH2"/>
      </w:pPr>
      <w:r>
        <w:t>display, download or print the Licensed Materials, including screenshots, for the purpose of internal marketing or testing for training Authorised Users or groups of Authorised Users;</w:t>
      </w:r>
    </w:p>
    <w:p w14:paraId="6E26A41E" w14:textId="77777777" w:rsidR="00EF116E" w:rsidRDefault="00EF116E" w:rsidP="004472E8">
      <w:pPr>
        <w:pStyle w:val="TCBodyafterH2"/>
      </w:pPr>
      <w:r>
        <w:t>alter or modify the format of the Licensed Materials as necessary to provide an equivalent level of service to Authorised Users with appropriate documented print or other disabilities.</w:t>
      </w:r>
    </w:p>
    <w:p w14:paraId="7B5156C2" w14:textId="71D25EBC" w:rsidR="000025BD" w:rsidRPr="004472E8" w:rsidRDefault="000025BD" w:rsidP="000025BD">
      <w:pPr>
        <w:pStyle w:val="TCBodyafterH1"/>
      </w:pPr>
      <w:r w:rsidRPr="001A19C7">
        <w:t xml:space="preserve">The Purchasing Authority may incorporate link resolving software at </w:t>
      </w:r>
      <w:r>
        <w:t>its</w:t>
      </w:r>
      <w:r w:rsidRPr="001A19C7">
        <w:t xml:space="preserve"> authorised organisations to access the Licensed Materials via Third Party </w:t>
      </w:r>
      <w:r w:rsidRPr="001A19C7">
        <w:lastRenderedPageBreak/>
        <w:t xml:space="preserve">Systems, if hosted on a Secure Network </w:t>
      </w:r>
      <w:r>
        <w:t xml:space="preserve">and </w:t>
      </w:r>
      <w:r w:rsidRPr="001A19C7">
        <w:t>using an appropriate method of authentication</w:t>
      </w:r>
    </w:p>
    <w:p w14:paraId="5B730D7B" w14:textId="77777777" w:rsidR="0039748D" w:rsidRPr="00367FB8" w:rsidRDefault="0039748D" w:rsidP="00285D9C">
      <w:pPr>
        <w:pStyle w:val="TCBodyafterH1"/>
      </w:pPr>
      <w:r w:rsidRPr="004472E8">
        <w:t>Authorised Users</w:t>
      </w:r>
      <w:r w:rsidRPr="00367FB8">
        <w:t xml:space="preserve"> may, in accordance with the terms of this Licence:</w:t>
      </w:r>
    </w:p>
    <w:p w14:paraId="67D907D1" w14:textId="77777777" w:rsidR="0039748D" w:rsidRPr="00367FB8" w:rsidRDefault="0039748D" w:rsidP="00EE7123">
      <w:pPr>
        <w:pStyle w:val="TCBodyafterH2"/>
      </w:pPr>
      <w:r w:rsidRPr="00367FB8">
        <w:t>search, view, retrieve and display the Licensed Materials;</w:t>
      </w:r>
    </w:p>
    <w:p w14:paraId="0C0DB87E" w14:textId="77777777" w:rsidR="0039748D" w:rsidRPr="00367FB8" w:rsidRDefault="0039748D" w:rsidP="00B52B1A">
      <w:pPr>
        <w:pStyle w:val="TCBodyafterH2"/>
      </w:pPr>
      <w:r w:rsidRPr="00367FB8">
        <w:t>electronically save individual (where relevant for content type) articles, pages or chapters, short passages, figures and/or tables from or items of the Licensed Materials for personal use for as long as required;</w:t>
      </w:r>
    </w:p>
    <w:p w14:paraId="056B6BE8" w14:textId="77777777" w:rsidR="0039748D" w:rsidRPr="00367FB8" w:rsidRDefault="0039748D">
      <w:pPr>
        <w:pStyle w:val="TCBodyafterH2"/>
      </w:pPr>
      <w:r w:rsidRPr="00367FB8">
        <w:t>electronically export to reference management software individual Bibliographic Data and / or Abstracts of the Licensed Materials for personal use only;</w:t>
      </w:r>
    </w:p>
    <w:p w14:paraId="05174441" w14:textId="77777777" w:rsidR="0039748D" w:rsidRPr="00367FB8" w:rsidRDefault="0039748D">
      <w:pPr>
        <w:pStyle w:val="TCBodyafterH2"/>
      </w:pPr>
      <w:r w:rsidRPr="00367FB8">
        <w:t>print off an individual copy, or parts of (where relevant for content type) single articles, topics, pages or chapters from the Licensed Materials;</w:t>
      </w:r>
    </w:p>
    <w:p w14:paraId="68A22217" w14:textId="77777777" w:rsidR="0039748D" w:rsidRPr="00367FB8" w:rsidRDefault="0039748D">
      <w:pPr>
        <w:pStyle w:val="TCBodyafterH2"/>
      </w:pPr>
      <w:r w:rsidRPr="00367FB8">
        <w:t>distribute parts of the Licensed Materials in print or electronic form to other Authorised Users. For the avoidance of doubt, this shall include the distribution of a copy for teaching purposes to each individual Authorised User at the Authorised User’s institution;</w:t>
      </w:r>
    </w:p>
    <w:p w14:paraId="2F02BA34" w14:textId="77777777" w:rsidR="0039748D" w:rsidRDefault="0039748D">
      <w:pPr>
        <w:pStyle w:val="TCBodyafterH2"/>
      </w:pPr>
      <w:r w:rsidRPr="00367FB8">
        <w:t xml:space="preserve">copy, paste and publish the Bibliographic Data and Abstracts of the Licensed Material(s) for non-authenticated access for </w:t>
      </w:r>
      <w:r w:rsidR="00CE619E" w:rsidRPr="00367FB8">
        <w:t>Authorised Users</w:t>
      </w:r>
      <w:r w:rsidRPr="00367FB8">
        <w:t>. Each item copied and published shall carry appropriate acknowledgement of the source, listing title and copyright owner;</w:t>
      </w:r>
    </w:p>
    <w:p w14:paraId="00519058" w14:textId="709D8162" w:rsidR="000025BD" w:rsidRDefault="000025BD" w:rsidP="000025BD">
      <w:pPr>
        <w:pStyle w:val="TCBodyafterH2"/>
      </w:pPr>
      <w:r w:rsidRPr="000025BD">
        <w:t>incorporate link resolving software at their authorised organisations to access the Licensed Materials via Third Party Systems, if hosted on a Secure Network and using an appropriate method of authentication.”</w:t>
      </w:r>
    </w:p>
    <w:p w14:paraId="16AE1B4F" w14:textId="453D9939" w:rsidR="003820F5" w:rsidRDefault="0062501F" w:rsidP="004472E8">
      <w:pPr>
        <w:pStyle w:val="TCBodyafterH2"/>
      </w:pPr>
      <w:r w:rsidRPr="004D07FE">
        <w:t xml:space="preserve">Subject to any restrictions provided by the </w:t>
      </w:r>
      <w:r w:rsidRPr="00B27E3E">
        <w:t>publisher</w:t>
      </w:r>
      <w:r w:rsidRPr="004D07FE">
        <w:t xml:space="preserve">(s) and specified in the Licensed Materials, the Purchasing Authority or </w:t>
      </w:r>
      <w:r w:rsidRPr="004472E8">
        <w:t xml:space="preserve">Authorised Users may, subject to </w:t>
      </w:r>
      <w:r w:rsidR="00352194" w:rsidRPr="004472E8">
        <w:t xml:space="preserve">any </w:t>
      </w:r>
      <w:r w:rsidR="003820F5" w:rsidRPr="004472E8">
        <w:t>Prohibited</w:t>
      </w:r>
      <w:r w:rsidR="00352194" w:rsidRPr="004472E8">
        <w:t xml:space="preserve"> Uses set out in this Licence </w:t>
      </w:r>
      <w:r w:rsidRPr="004472E8">
        <w:t>fulfil occasional requests from non-commercial libraries to supply to an Authorised User of another library within the same country</w:t>
      </w:r>
      <w:r w:rsidRPr="004D07FE">
        <w:t xml:space="preserve"> as the Purchasing Authority a copy of an individual document being part of the Licensed Materials for inter library loans (“ILL”).  Such supply by the requesting non</w:t>
      </w:r>
      <w:r w:rsidRPr="00B27E3E">
        <w:t>-</w:t>
      </w:r>
      <w:r w:rsidRPr="004D07FE">
        <w:t xml:space="preserve">commercial library must be for the purposes of research or private study and not for Commercial Use. For the avoidance of doubt, requests for ILL is deemed to be where the loan is not carried out </w:t>
      </w:r>
      <w:r w:rsidRPr="004D07FE">
        <w:lastRenderedPageBreak/>
        <w:t>in a manner or magnitude that would replace the recipients’ own subscription to the Licensed Materials.</w:t>
      </w:r>
    </w:p>
    <w:p w14:paraId="16DF30B8" w14:textId="7AE02CB8" w:rsidR="007F3DF5" w:rsidRPr="007F3DF5" w:rsidRDefault="0041701C" w:rsidP="004472E8">
      <w:pPr>
        <w:pStyle w:val="TCBodyafterH2"/>
      </w:pPr>
      <w:r>
        <w:t xml:space="preserve">Nothing in this Licence shall in any way exclude, modify or affect any of the </w:t>
      </w:r>
      <w:r w:rsidR="00F96515">
        <w:t xml:space="preserve">Purchasing Authority’s </w:t>
      </w:r>
      <w:r>
        <w:t xml:space="preserve">rights under the Copyright Designs and Patents Act 1988 or the Copy and Rights in Databases </w:t>
      </w:r>
      <w:r w:rsidRPr="007F3DF5">
        <w:rPr>
          <w:szCs w:val="24"/>
        </w:rPr>
        <w:t>Regulations 1997 or any statutory instruments made thereunder or any amending legislation.</w:t>
      </w:r>
    </w:p>
    <w:p w14:paraId="0B5CBB0B" w14:textId="05207C2B" w:rsidR="007F3DF5" w:rsidRPr="007F3DF5" w:rsidRDefault="007F3DF5" w:rsidP="004472E8">
      <w:pPr>
        <w:pStyle w:val="TCHeading2"/>
        <w:rPr>
          <w:szCs w:val="24"/>
        </w:rPr>
      </w:pPr>
      <w:r w:rsidRPr="004472E8">
        <w:rPr>
          <w:b w:val="0"/>
          <w:sz w:val="24"/>
          <w:szCs w:val="24"/>
        </w:rPr>
        <w:tab/>
      </w:r>
      <w:bookmarkStart w:id="12" w:name="_Toc459291915"/>
      <w:r>
        <w:rPr>
          <w:b w:val="0"/>
          <w:sz w:val="24"/>
          <w:szCs w:val="24"/>
        </w:rPr>
        <w:t xml:space="preserve">Neither the Purchasing Authority nor </w:t>
      </w:r>
      <w:r w:rsidRPr="004472E8">
        <w:rPr>
          <w:b w:val="0"/>
          <w:sz w:val="24"/>
          <w:szCs w:val="24"/>
        </w:rPr>
        <w:t>Aut</w:t>
      </w:r>
      <w:r>
        <w:rPr>
          <w:b w:val="0"/>
          <w:sz w:val="24"/>
          <w:szCs w:val="24"/>
        </w:rPr>
        <w:t>horised Users may:</w:t>
      </w:r>
      <w:bookmarkEnd w:id="12"/>
    </w:p>
    <w:p w14:paraId="6ACA97F9" w14:textId="62B3341F" w:rsidR="007F3DF5" w:rsidRDefault="007F3DF5" w:rsidP="004472E8">
      <w:pPr>
        <w:pStyle w:val="TCBodyafterH2"/>
      </w:pPr>
      <w:r>
        <w:t>remove or alter the authors’ names or the</w:t>
      </w:r>
      <w:r w:rsidR="002B1DBA">
        <w:t xml:space="preserve"> Provider</w:t>
      </w:r>
      <w:r>
        <w:t xml:space="preserve">’s copyright </w:t>
      </w:r>
      <w:r w:rsidR="00422B38">
        <w:t>notices or other means of identification or disclaimers as they appear in the Licensed Materials;</w:t>
      </w:r>
    </w:p>
    <w:p w14:paraId="06FE4DF9" w14:textId="212430B5" w:rsidR="007F3DF5" w:rsidRDefault="00422B38" w:rsidP="004472E8">
      <w:pPr>
        <w:pStyle w:val="TCBodyafterH2"/>
      </w:pPr>
      <w:r>
        <w:t>systematically make print or electronic copies of multiple extracts of the Licensed Materials for any purpose or use robots, spiders, crawlers or other automated downloading programs to:</w:t>
      </w:r>
    </w:p>
    <w:p w14:paraId="14C0BCB9" w14:textId="6F82370D" w:rsidR="007F3DF5" w:rsidRDefault="00422B38" w:rsidP="004472E8">
      <w:pPr>
        <w:pStyle w:val="TCBodyafterH3"/>
      </w:pPr>
      <w:r>
        <w:t xml:space="preserve">continuously and automatically search or index any of the Licensed Materials, (except in the case of connecting the Licensed Materials to the </w:t>
      </w:r>
      <w:r w:rsidR="00572596">
        <w:t>Purchasing Authority’s f</w:t>
      </w:r>
      <w:r>
        <w:t>ederated, metasearch or discovery services), un</w:t>
      </w:r>
      <w:r w:rsidR="00B57A87">
        <w:t>less authorized by the Provider</w:t>
      </w:r>
      <w:r>
        <w:t>;</w:t>
      </w:r>
    </w:p>
    <w:p w14:paraId="1419962D" w14:textId="5D549205" w:rsidR="007F3DF5" w:rsidRDefault="00422B38" w:rsidP="004472E8">
      <w:pPr>
        <w:pStyle w:val="TCBodyafterH3"/>
      </w:pPr>
      <w:r>
        <w:t>harvest personal information for purposes of sending out unsolicited or unauthorized material; or</w:t>
      </w:r>
    </w:p>
    <w:p w14:paraId="6D2FDCC8" w14:textId="1072B2A5" w:rsidR="007F3DF5" w:rsidRDefault="00422B38" w:rsidP="004472E8">
      <w:pPr>
        <w:pStyle w:val="TCBodyafterH3"/>
      </w:pPr>
      <w:r>
        <w:t>cause disruption to the working of the Server</w:t>
      </w:r>
      <w:r w:rsidR="007F3DF5">
        <w:t>.</w:t>
      </w:r>
    </w:p>
    <w:p w14:paraId="0AF592CB" w14:textId="6C04CDE9" w:rsidR="007F3DF5" w:rsidRDefault="00422B38" w:rsidP="004472E8">
      <w:pPr>
        <w:pStyle w:val="TCBodyafterH2"/>
      </w:pPr>
      <w:r>
        <w:t>mount or distribute any part of the Licensed Material on any electronic network, including without limitation the Internet and the World Wide Web, other than the Secure Network</w:t>
      </w:r>
    </w:p>
    <w:p w14:paraId="0EB0192C" w14:textId="77777777" w:rsidR="002B1DBA" w:rsidRDefault="00B57A87" w:rsidP="004472E8">
      <w:pPr>
        <w:pStyle w:val="TCHeading2"/>
      </w:pPr>
      <w:bookmarkStart w:id="13" w:name="_Toc459291916"/>
      <w:r w:rsidRPr="004472E8">
        <w:rPr>
          <w:b w:val="0"/>
          <w:sz w:val="24"/>
          <w:szCs w:val="24"/>
        </w:rPr>
        <w:t>The Provide</w:t>
      </w:r>
      <w:r w:rsidR="00422B38" w:rsidRPr="004472E8">
        <w:rPr>
          <w:b w:val="0"/>
          <w:sz w:val="24"/>
          <w:szCs w:val="24"/>
        </w:rPr>
        <w:t>r’s explicit written permission must be obtained in order to:</w:t>
      </w:r>
      <w:bookmarkEnd w:id="13"/>
    </w:p>
    <w:p w14:paraId="08D50432" w14:textId="3BC11CD3" w:rsidR="002B1DBA" w:rsidRDefault="00422B38" w:rsidP="004472E8">
      <w:pPr>
        <w:pStyle w:val="TCBodyafterH2"/>
      </w:pPr>
      <w:r w:rsidRPr="00635F84">
        <w:t>use all or any part of the Licensed Materials for any Commercial Use;</w:t>
      </w:r>
    </w:p>
    <w:p w14:paraId="62CF03A3" w14:textId="74178ACE" w:rsidR="002B1DBA" w:rsidRPr="000A2514" w:rsidRDefault="00422B38" w:rsidP="004472E8">
      <w:pPr>
        <w:pStyle w:val="TCBodyafterH2"/>
      </w:pPr>
      <w:r w:rsidRPr="00635F84">
        <w:t xml:space="preserve">distribute the whole or any part of the Licensed Materials to anyone other than Authorised Users except as provided in </w:t>
      </w:r>
      <w:r>
        <w:t>Clause 4.</w:t>
      </w:r>
      <w:r w:rsidR="002B1DBA">
        <w:t>2</w:t>
      </w:r>
      <w:r>
        <w:t xml:space="preserve">.7 </w:t>
      </w:r>
      <w:r w:rsidRPr="00635F84">
        <w:t>above;</w:t>
      </w:r>
    </w:p>
    <w:p w14:paraId="257BBF46" w14:textId="7933BCDC" w:rsidR="002B1DBA" w:rsidRDefault="00422B38" w:rsidP="004472E8">
      <w:pPr>
        <w:pStyle w:val="TCBodyafterH2"/>
      </w:pPr>
      <w:r w:rsidRPr="00DF40BC">
        <w:t>publish, distribute or make available the Licensed Materials, works based on the</w:t>
      </w:r>
      <w:r w:rsidR="002B1DBA">
        <w:t xml:space="preserve"> </w:t>
      </w:r>
      <w:r w:rsidRPr="00DF40BC">
        <w:t xml:space="preserve">Licensed Materials or works which combine </w:t>
      </w:r>
      <w:r w:rsidRPr="00DF40BC">
        <w:lastRenderedPageBreak/>
        <w:t>them with any other material, other than as permitted in this Licence;</w:t>
      </w:r>
    </w:p>
    <w:p w14:paraId="2FBCB362" w14:textId="77777777" w:rsidR="00422B38" w:rsidRDefault="00422B38" w:rsidP="004472E8">
      <w:pPr>
        <w:pStyle w:val="TCBodyafterH2"/>
      </w:pPr>
      <w:r w:rsidRPr="000525CA">
        <w:t>alter, abridge, adapt or modify the Licensed Materials, except to the extent necessary to make them perceptible on a computer screen to Authorised Users.  For the avoidance of doubt, no alteration of the words or their order is permitted.</w:t>
      </w:r>
    </w:p>
    <w:p w14:paraId="77DFDDA6" w14:textId="586D5E52" w:rsidR="000025BD" w:rsidRPr="00A96946" w:rsidRDefault="0080604D" w:rsidP="000025BD">
      <w:pPr>
        <w:pStyle w:val="TCHeading2"/>
        <w:rPr>
          <w:szCs w:val="24"/>
        </w:rPr>
      </w:pPr>
      <w:bookmarkStart w:id="14" w:name="_Toc459291917"/>
      <w:r>
        <w:rPr>
          <w:b w:val="0"/>
          <w:sz w:val="24"/>
          <w:szCs w:val="24"/>
        </w:rPr>
        <w:t>Pursuant to clause</w:t>
      </w:r>
      <w:r w:rsidR="00065F80">
        <w:rPr>
          <w:b w:val="0"/>
          <w:sz w:val="24"/>
          <w:szCs w:val="24"/>
        </w:rPr>
        <w:t>s</w:t>
      </w:r>
      <w:r>
        <w:rPr>
          <w:b w:val="0"/>
          <w:sz w:val="24"/>
          <w:szCs w:val="24"/>
        </w:rPr>
        <w:t xml:space="preserve"> 4.4 – 4.5</w:t>
      </w:r>
      <w:r w:rsidR="000025BD" w:rsidRPr="000025BD">
        <w:rPr>
          <w:b w:val="0"/>
          <w:sz w:val="24"/>
          <w:szCs w:val="24"/>
        </w:rPr>
        <w:t>, this excludes the use by the Purchasing Authority and Authorised Users at their authorised organisations, who may incorporate link resolving software to access the Licensed Materials via Third Party Systems, if hosted on a Secure Network and using an appropriate method of authentication</w:t>
      </w:r>
    </w:p>
    <w:p w14:paraId="753A91F0" w14:textId="62471D24" w:rsidR="00AD3BBA" w:rsidRPr="001D1E9D" w:rsidRDefault="00AD3BBA" w:rsidP="000025BD">
      <w:pPr>
        <w:pStyle w:val="TCHeading2"/>
        <w:rPr>
          <w:szCs w:val="24"/>
        </w:rPr>
      </w:pPr>
      <w:r w:rsidRPr="001D1E9D">
        <w:rPr>
          <w:sz w:val="24"/>
          <w:szCs w:val="24"/>
        </w:rPr>
        <w:t>The Purchasing Authority shall:</w:t>
      </w:r>
      <w:bookmarkEnd w:id="14"/>
    </w:p>
    <w:p w14:paraId="62FD8E22" w14:textId="77777777" w:rsidR="00583092" w:rsidRPr="001D1E9D" w:rsidRDefault="00583092" w:rsidP="004472E8">
      <w:pPr>
        <w:pStyle w:val="TCBodyafterH2"/>
      </w:pPr>
      <w:r w:rsidRPr="001D1E9D">
        <w:t>use reasonable endeavours to ensure that all Authorised Users are appropriately notified of the importance of respecting the intellectual property rights in the Licensed Materials;</w:t>
      </w:r>
    </w:p>
    <w:p w14:paraId="3442A890" w14:textId="77777777" w:rsidR="00583092" w:rsidRPr="001D1E9D" w:rsidRDefault="00583092" w:rsidP="00EE7123">
      <w:pPr>
        <w:pStyle w:val="TCBodyafterH2"/>
      </w:pPr>
      <w:r w:rsidRPr="001D1E9D">
        <w:t xml:space="preserve">use reasonable endeavours to notify Authorised Users of the terms and conditions of this Licence and take steps to protect the Licensed Materials from unauthorised use or other breach of this Licence; </w:t>
      </w:r>
    </w:p>
    <w:p w14:paraId="7C49599A" w14:textId="77777777" w:rsidR="00583092" w:rsidRPr="001D1E9D" w:rsidRDefault="00583092">
      <w:pPr>
        <w:pStyle w:val="TCBodyafterH2"/>
      </w:pPr>
      <w:r w:rsidRPr="001D1E9D">
        <w:t>use reasonable endeavours to monitor compliance with this Licence and immediately upon becoming aware of any unauthorised use or other breach, inform the Provider and take all reasonable and appropriate steps, including disciplinary action, both to ensure that such activity ceases and to prevent any recurrence;</w:t>
      </w:r>
    </w:p>
    <w:p w14:paraId="24FF591D" w14:textId="77777777" w:rsidR="00583092" w:rsidRPr="001D1E9D" w:rsidRDefault="00583092">
      <w:pPr>
        <w:pStyle w:val="TCBodyafterH2"/>
      </w:pPr>
      <w:r w:rsidRPr="001D1E9D">
        <w:t>unless access to the Licensed Materials is controlled by IP address authentication, issue passwords or other access information only to Authorised Users and use all reasonable endeavours to ensure that Authorised Users do not divulge their passwords or other access information to any third party;</w:t>
      </w:r>
    </w:p>
    <w:p w14:paraId="730A8439" w14:textId="0CDB3048" w:rsidR="00583092" w:rsidRPr="001D1E9D" w:rsidRDefault="00583092">
      <w:pPr>
        <w:pStyle w:val="TCBodyafterH2"/>
      </w:pPr>
      <w:r w:rsidRPr="001D1E9D">
        <w:t xml:space="preserve">provide the Provider, within thirty (30) days of the date of this Agreement, with information </w:t>
      </w:r>
      <w:proofErr w:type="gramStart"/>
      <w:r w:rsidRPr="001D1E9D">
        <w:t>su</w:t>
      </w:r>
      <w:r w:rsidR="00121FDB" w:rsidRPr="001D1E9D">
        <w:t>fficient</w:t>
      </w:r>
      <w:proofErr w:type="gramEnd"/>
      <w:r w:rsidR="00121FDB" w:rsidRPr="001D1E9D">
        <w:t xml:space="preserve"> to enable the Provider</w:t>
      </w:r>
      <w:r w:rsidRPr="001D1E9D">
        <w:t xml:space="preserve"> to provide access to the Licensed Material in accordance with its obligation under this Agreement.  Should the </w:t>
      </w:r>
      <w:r w:rsidR="00572596" w:rsidRPr="001D1E9D">
        <w:t xml:space="preserve">Purchasing </w:t>
      </w:r>
      <w:r w:rsidR="004472E8" w:rsidRPr="001D1E9D">
        <w:t>Authority make</w:t>
      </w:r>
      <w:r w:rsidRPr="001D1E9D">
        <w:t xml:space="preserve"> any significant change to such informati</w:t>
      </w:r>
      <w:r w:rsidR="00121FDB" w:rsidRPr="001D1E9D">
        <w:t>on, it will notify the Provider</w:t>
      </w:r>
      <w:r w:rsidRPr="001D1E9D">
        <w:t xml:space="preserve"> not less than ten (10) days before the change takes effect.  </w:t>
      </w:r>
    </w:p>
    <w:p w14:paraId="757F84FA" w14:textId="77777777" w:rsidR="00121FDB" w:rsidRPr="001D1E9D" w:rsidRDefault="00121FDB">
      <w:pPr>
        <w:pStyle w:val="TCBodyafterH2"/>
      </w:pPr>
      <w:r w:rsidRPr="001D1E9D">
        <w:t xml:space="preserve">keep full and up-to-date records of all Authorised Users and their access details and authenticated IP addresses (where applicable) </w:t>
      </w:r>
      <w:r w:rsidRPr="001D1E9D">
        <w:lastRenderedPageBreak/>
        <w:t xml:space="preserve">and provide the Provider with details of such additions, deletions or other alterations to such records as are necessary to enable the Publisher to provide Authorised Users with access to the Licensed Materials as contemplated by this Licence; </w:t>
      </w:r>
    </w:p>
    <w:p w14:paraId="381D57D7" w14:textId="77777777" w:rsidR="00121FDB" w:rsidRPr="001D1E9D" w:rsidRDefault="00121FDB">
      <w:pPr>
        <w:pStyle w:val="TCBodyafterH2"/>
      </w:pPr>
      <w:r w:rsidRPr="001D1E9D">
        <w:t>use reasonable endeavours to ensure that only Authorised Users are permitted access to the Licensed Materials.</w:t>
      </w:r>
    </w:p>
    <w:p w14:paraId="58BFB808" w14:textId="4EC30D75" w:rsidR="00121FDB" w:rsidRDefault="00121FDB" w:rsidP="001D1E9D">
      <w:pPr>
        <w:pStyle w:val="TCHeading2"/>
        <w:numPr>
          <w:ilvl w:val="0"/>
          <w:numId w:val="0"/>
        </w:numPr>
        <w:ind w:left="426"/>
        <w:rPr>
          <w:szCs w:val="24"/>
        </w:rPr>
      </w:pPr>
    </w:p>
    <w:p w14:paraId="0A4538B4" w14:textId="77777777" w:rsidR="0039748D" w:rsidRPr="00F36664" w:rsidRDefault="0039748D" w:rsidP="0039748D">
      <w:pPr>
        <w:pStyle w:val="TCHeading1"/>
      </w:pPr>
      <w:bookmarkStart w:id="15" w:name="_Toc459291918"/>
      <w:r w:rsidRPr="00367FB8">
        <w:t>Service Availability</w:t>
      </w:r>
      <w:bookmarkEnd w:id="15"/>
    </w:p>
    <w:p w14:paraId="1C9D0A57" w14:textId="77777777" w:rsidR="00591163" w:rsidRDefault="00A62A2E" w:rsidP="004472E8">
      <w:pPr>
        <w:pStyle w:val="TCBodyafterH1"/>
      </w:pPr>
      <w:r>
        <w:t xml:space="preserve">The </w:t>
      </w:r>
      <w:r w:rsidR="00F56B63" w:rsidRPr="00A62A2E">
        <w:t xml:space="preserve">Provider </w:t>
      </w:r>
      <w:r w:rsidR="00752E4D">
        <w:t>will</w:t>
      </w:r>
      <w:r w:rsidR="00591163">
        <w:t xml:space="preserve">: </w:t>
      </w:r>
    </w:p>
    <w:p w14:paraId="4FA260E1" w14:textId="77777777" w:rsidR="00591163" w:rsidRDefault="009D5E45" w:rsidP="004472E8">
      <w:pPr>
        <w:pStyle w:val="TCBodyafterH2"/>
      </w:pPr>
      <w:r w:rsidRPr="00591163">
        <w:t>p</w:t>
      </w:r>
      <w:r w:rsidR="00752E4D" w:rsidRPr="00591163">
        <w:t xml:space="preserve">rovide </w:t>
      </w:r>
      <w:r w:rsidRPr="00591163">
        <w:t>notification of an Incident</w:t>
      </w:r>
      <w:r w:rsidR="00F36664" w:rsidRPr="00591163">
        <w:t xml:space="preserve">. Details are: </w:t>
      </w:r>
      <w:r w:rsidR="0041701C" w:rsidRPr="00591163">
        <w:t>support@markallengroup.com; (0044) 01722 716997</w:t>
      </w:r>
    </w:p>
    <w:p w14:paraId="236B7733" w14:textId="1D24A092" w:rsidR="00591163" w:rsidRPr="00591163" w:rsidRDefault="00591163" w:rsidP="00EE7123">
      <w:pPr>
        <w:pStyle w:val="TCBodyafterH2"/>
      </w:pPr>
      <w:r w:rsidRPr="00591163">
        <w:t>upload new issues or editions to the Server(s) within 06 working days of receipt of content from the publisher;</w:t>
      </w:r>
    </w:p>
    <w:p w14:paraId="6CC8A2BC" w14:textId="2130B770" w:rsidR="00BE083D" w:rsidRPr="00BE083D" w:rsidRDefault="00BE083D">
      <w:pPr>
        <w:pStyle w:val="TCBodyafterH2"/>
      </w:pPr>
      <w:r w:rsidRPr="00BE083D">
        <w:t>provided access to new issues or editions no later than the day of upload to Server</w:t>
      </w:r>
      <w:r w:rsidR="00572596">
        <w:t>;</w:t>
      </w:r>
    </w:p>
    <w:p w14:paraId="681803E0" w14:textId="6744F9A5" w:rsidR="00372DA7" w:rsidRDefault="00790A52" w:rsidP="004472E8">
      <w:pPr>
        <w:pStyle w:val="TCBodyafterH2"/>
      </w:pPr>
      <w:r>
        <w:t xml:space="preserve">use </w:t>
      </w:r>
      <w:r w:rsidR="00B60087">
        <w:t xml:space="preserve">all </w:t>
      </w:r>
      <w:r>
        <w:t xml:space="preserve">reasonable endeavours to make the Licensed Materials available to the Purchasing Authority and to Authorised Users at all times and on a </w:t>
      </w:r>
      <w:r w:rsidR="004472E8">
        <w:t>twenty-four-hour</w:t>
      </w:r>
      <w:r>
        <w:t xml:space="preserve"> basis, save for technical failures or acts of God, and to restore access to the Licensed </w:t>
      </w:r>
      <w:r>
        <w:lastRenderedPageBreak/>
        <w:t>Materials</w:t>
      </w:r>
      <w:r w:rsidR="00372DA7">
        <w:t xml:space="preserve"> as soon as possible in the event of an interruption or suspension of the Service.  </w:t>
      </w:r>
    </w:p>
    <w:p w14:paraId="7C5992B2" w14:textId="25362466" w:rsidR="00372DA7" w:rsidRDefault="00870482" w:rsidP="004472E8">
      <w:pPr>
        <w:pStyle w:val="TCBodyafterH2"/>
      </w:pPr>
      <w:r w:rsidRPr="00372DA7">
        <w:t xml:space="preserve">notify the </w:t>
      </w:r>
      <w:r w:rsidR="00716D10">
        <w:t xml:space="preserve">Purchasing </w:t>
      </w:r>
      <w:r w:rsidR="00B60087">
        <w:t xml:space="preserve">Authority </w:t>
      </w:r>
      <w:r w:rsidR="00B60087" w:rsidRPr="00372DA7">
        <w:t>of</w:t>
      </w:r>
      <w:r w:rsidRPr="00372DA7">
        <w:t xml:space="preserve"> any routine maintenance work at least five (5)</w:t>
      </w:r>
      <w:r w:rsidR="000A2514" w:rsidRPr="00372DA7">
        <w:t xml:space="preserve"> </w:t>
      </w:r>
      <w:r w:rsidR="000A1831" w:rsidRPr="00372DA7">
        <w:t>Working D</w:t>
      </w:r>
      <w:r w:rsidR="000A2514" w:rsidRPr="00372DA7">
        <w:t>ays in advance of undertaking</w:t>
      </w:r>
      <w:r w:rsidR="00372DA7">
        <w:t>;</w:t>
      </w:r>
    </w:p>
    <w:p w14:paraId="135DAD34" w14:textId="7DF74301" w:rsidR="00372DA7" w:rsidRPr="00372DA7" w:rsidRDefault="00B60087" w:rsidP="00EE7123">
      <w:pPr>
        <w:pStyle w:val="TCBodyafterH2"/>
      </w:pPr>
      <w:r>
        <w:t>comply with the S</w:t>
      </w:r>
      <w:r w:rsidR="00372DA7">
        <w:t xml:space="preserve">ervice </w:t>
      </w:r>
      <w:r>
        <w:t>Availability C</w:t>
      </w:r>
      <w:r w:rsidR="00372DA7" w:rsidRPr="00372DA7">
        <w:t>alculation</w:t>
      </w:r>
      <w:r w:rsidR="00372DA7">
        <w:t xml:space="preserve"> set out in </w:t>
      </w:r>
      <w:r w:rsidR="00716D10">
        <w:t>Schedule</w:t>
      </w:r>
      <w:r w:rsidR="00372DA7">
        <w:t xml:space="preserve"> 1</w:t>
      </w:r>
      <w:r w:rsidR="00372DA7" w:rsidRPr="00372DA7">
        <w:t xml:space="preserve">; </w:t>
      </w:r>
    </w:p>
    <w:p w14:paraId="0BCA6528" w14:textId="2DE4A3F0" w:rsidR="00591163" w:rsidRDefault="00372DA7" w:rsidP="004472E8">
      <w:pPr>
        <w:pStyle w:val="TCBodyafterH2"/>
      </w:pPr>
      <w:r w:rsidRPr="00372DA7">
        <w:t xml:space="preserve">measure and report the availability or the non-availability of the Service on a monthly basis; </w:t>
      </w:r>
      <w:r>
        <w:t xml:space="preserve"> </w:t>
      </w:r>
    </w:p>
    <w:p w14:paraId="6E976B06" w14:textId="02941A17" w:rsidR="00752E4D" w:rsidRDefault="00B10AB8" w:rsidP="004472E8">
      <w:pPr>
        <w:pStyle w:val="TCBodyafterH1"/>
      </w:pPr>
      <w:r w:rsidRPr="00591163">
        <w:t>In relation to any Incidents</w:t>
      </w:r>
      <w:r w:rsidR="00591163">
        <w:t>, the Provider will:</w:t>
      </w:r>
    </w:p>
    <w:p w14:paraId="6EB605D1" w14:textId="2048BAE8" w:rsidR="00591163" w:rsidRDefault="00591163" w:rsidP="00EE7123">
      <w:pPr>
        <w:pStyle w:val="TCBodyafterH2"/>
      </w:pPr>
      <w:r>
        <w:t>provide the Purchasing Authority</w:t>
      </w:r>
      <w:r w:rsidR="00B10AB8" w:rsidRPr="00591163">
        <w:t xml:space="preserve"> with a notification affecting access to Licensed Materials within two (2) Working Hours</w:t>
      </w:r>
      <w:r w:rsidR="00B10AB8">
        <w:t>:</w:t>
      </w:r>
    </w:p>
    <w:p w14:paraId="580A2034" w14:textId="77777777" w:rsidR="00BD640A" w:rsidRPr="004472E8" w:rsidRDefault="00B10AB8" w:rsidP="00EE7123">
      <w:pPr>
        <w:pStyle w:val="TCBodyafterH2"/>
      </w:pPr>
      <w:r w:rsidRPr="004472E8">
        <w:t xml:space="preserve">use all reasonable endeavours to ensure that any Incident </w:t>
      </w:r>
      <w:r w:rsidR="00045BE0" w:rsidRPr="004472E8">
        <w:t>shall be corrected as follows</w:t>
      </w:r>
      <w:r w:rsidR="00591163">
        <w:t>:</w:t>
      </w:r>
      <w:r w:rsidR="00BD640A" w:rsidRPr="004472E8">
        <w:t xml:space="preserve"> </w:t>
      </w:r>
    </w:p>
    <w:p w14:paraId="17825FB5" w14:textId="77777777" w:rsidR="00591163" w:rsidRPr="00591163" w:rsidRDefault="00591163" w:rsidP="00D94EEE">
      <w:pPr>
        <w:pStyle w:val="TCBodyafterH3"/>
      </w:pPr>
      <w:r w:rsidRPr="00591163">
        <w:t>Level 1 Incidents within eight (8) Working Hours of notification on a 24/7/365 basis; and</w:t>
      </w:r>
    </w:p>
    <w:p w14:paraId="7F9E5D0B" w14:textId="77777777" w:rsidR="00BD640A" w:rsidRDefault="00591163" w:rsidP="004472E8">
      <w:pPr>
        <w:pStyle w:val="TCBodyafterH3"/>
      </w:pPr>
      <w:r w:rsidRPr="00591163">
        <w:t>Level 2 Incidents within two (2) Working Days</w:t>
      </w:r>
      <w:r w:rsidR="000A2514" w:rsidRPr="00BD640A">
        <w:t>;</w:t>
      </w:r>
      <w:r w:rsidR="00BD640A">
        <w:t xml:space="preserve"> </w:t>
      </w:r>
    </w:p>
    <w:p w14:paraId="79647B55" w14:textId="77777777" w:rsidR="00591163" w:rsidRDefault="00591163" w:rsidP="004472E8">
      <w:pPr>
        <w:pStyle w:val="TCBodyafterH2"/>
      </w:pPr>
      <w:r>
        <w:t>provide the Purchasing Authority</w:t>
      </w:r>
      <w:r w:rsidR="00A9329C" w:rsidRPr="00A9329C">
        <w:t xml:space="preserve"> with a report of an Incident via a third-party supplier within seven (7) Working Days after resolution of the Incident.</w:t>
      </w:r>
    </w:p>
    <w:p w14:paraId="390A0125" w14:textId="2CD1F02D" w:rsidR="00285D9C" w:rsidRPr="00367FB8" w:rsidRDefault="00285D9C" w:rsidP="00285D9C">
      <w:pPr>
        <w:pStyle w:val="TCHeading1"/>
      </w:pPr>
      <w:bookmarkStart w:id="16" w:name="_Toc459291919"/>
      <w:r w:rsidRPr="00367FB8">
        <w:t>Service Access</w:t>
      </w:r>
      <w:bookmarkEnd w:id="16"/>
    </w:p>
    <w:p w14:paraId="4FDAC8B9" w14:textId="77777777" w:rsidR="00752E4D" w:rsidRDefault="00A62A2E" w:rsidP="00752E4D">
      <w:pPr>
        <w:pStyle w:val="TCBodyafterH1"/>
      </w:pPr>
      <w:r w:rsidRPr="00A62A2E">
        <w:t xml:space="preserve">The </w:t>
      </w:r>
      <w:r w:rsidR="00752E4D" w:rsidRPr="00A62A2E">
        <w:t xml:space="preserve">Provider </w:t>
      </w:r>
      <w:r w:rsidR="007F4094" w:rsidRPr="00A62A2E">
        <w:t>will</w:t>
      </w:r>
      <w:r w:rsidR="00752E4D">
        <w:t>:</w:t>
      </w:r>
    </w:p>
    <w:p w14:paraId="17534AB5" w14:textId="64735004" w:rsidR="00090EB7" w:rsidRDefault="00752E4D" w:rsidP="00EE7123">
      <w:pPr>
        <w:pStyle w:val="TCBodyafterH2"/>
      </w:pPr>
      <w:r>
        <w:t xml:space="preserve">enable access for </w:t>
      </w:r>
      <w:r w:rsidR="009D5E45">
        <w:t>Authorised</w:t>
      </w:r>
      <w:r>
        <w:t xml:space="preserve"> </w:t>
      </w:r>
      <w:r w:rsidR="009D5E45">
        <w:t>Users</w:t>
      </w:r>
      <w:r>
        <w:t xml:space="preserve"> </w:t>
      </w:r>
      <w:r w:rsidR="00090EB7" w:rsidRPr="00090EB7">
        <w:t xml:space="preserve">to the Service and </w:t>
      </w:r>
      <w:r w:rsidR="00090EB7">
        <w:t xml:space="preserve">Licensed Materials </w:t>
      </w:r>
      <w:r w:rsidR="00090EB7" w:rsidRPr="00090EB7">
        <w:t xml:space="preserve">via </w:t>
      </w:r>
      <w:r w:rsidR="00090EB7">
        <w:t xml:space="preserve">the national </w:t>
      </w:r>
      <w:r w:rsidR="00090EB7" w:rsidRPr="00090EB7">
        <w:t xml:space="preserve">Access and Identity Management </w:t>
      </w:r>
      <w:r w:rsidR="00090EB7" w:rsidRPr="00090EB7">
        <w:lastRenderedPageBreak/>
        <w:t xml:space="preserve">System (AIMS). </w:t>
      </w:r>
      <w:r w:rsidR="00090EB7">
        <w:t>Currently the national AIMS system is</w:t>
      </w:r>
      <w:r>
        <w:t xml:space="preserve"> </w:t>
      </w:r>
      <w:proofErr w:type="spellStart"/>
      <w:r>
        <w:t>EduServ</w:t>
      </w:r>
      <w:proofErr w:type="spellEnd"/>
      <w:r>
        <w:t xml:space="preserve"> </w:t>
      </w:r>
      <w:proofErr w:type="spellStart"/>
      <w:r>
        <w:t>OpenAthens</w:t>
      </w:r>
      <w:proofErr w:type="spellEnd"/>
      <w:r>
        <w:t xml:space="preserve"> with which </w:t>
      </w:r>
      <w:r w:rsidR="00870482">
        <w:t>MA Healthcare L</w:t>
      </w:r>
      <w:r w:rsidR="00541E3C">
        <w:t>imited</w:t>
      </w:r>
      <w:r w:rsidR="00870482">
        <w:t xml:space="preserve"> </w:t>
      </w:r>
      <w:r>
        <w:t>is fully compliant</w:t>
      </w:r>
      <w:r w:rsidR="00885072">
        <w:t>;</w:t>
      </w:r>
    </w:p>
    <w:p w14:paraId="7165D200" w14:textId="77777777" w:rsidR="000A2514" w:rsidRDefault="000A2514" w:rsidP="00EE7123">
      <w:pPr>
        <w:pStyle w:val="TCBodyafterH2"/>
      </w:pPr>
      <w:r>
        <w:t>be registered as a live entity in the OpenAthens Federation and UK Access Management Federation Metadata;</w:t>
      </w:r>
    </w:p>
    <w:p w14:paraId="6A363871" w14:textId="4B591420" w:rsidR="000A2514" w:rsidRDefault="000A2514" w:rsidP="00EE7123">
      <w:pPr>
        <w:pStyle w:val="TCBodyafterH2"/>
      </w:pPr>
      <w:r>
        <w:t xml:space="preserve">undertake monthly updates of </w:t>
      </w:r>
      <w:r w:rsidR="00D1622A">
        <w:t>Authorised</w:t>
      </w:r>
      <w:r>
        <w:t xml:space="preserve"> User records in cases where</w:t>
      </w:r>
      <w:r w:rsidR="00B57A87">
        <w:t xml:space="preserve"> the </w:t>
      </w:r>
      <w:r w:rsidR="00716D10">
        <w:t xml:space="preserve">Purchasing Authority </w:t>
      </w:r>
      <w:r w:rsidR="00B57A87">
        <w:t>provides Provider</w:t>
      </w:r>
      <w:r>
        <w:t xml:space="preserve"> with full details of such records;</w:t>
      </w:r>
    </w:p>
    <w:p w14:paraId="3D203D5D" w14:textId="77777777" w:rsidR="000A2514" w:rsidRDefault="000A2514" w:rsidP="00D94EEE">
      <w:pPr>
        <w:pStyle w:val="TCBodyafterH2"/>
      </w:pPr>
      <w:r>
        <w:t>use all reasonable endeavours to adhere to action notifications/action requirements sent out by Eduserv for the OpenAthens Service;</w:t>
      </w:r>
    </w:p>
    <w:p w14:paraId="18DEEB5C" w14:textId="77777777" w:rsidR="000A2514" w:rsidRDefault="000A2514" w:rsidP="00D94EEE">
      <w:pPr>
        <w:pStyle w:val="TCBodyafterH2"/>
      </w:pPr>
      <w:r>
        <w:t xml:space="preserve">support Eduserv delivery and access via OpenAthens </w:t>
      </w:r>
      <w:r w:rsidR="00682887">
        <w:t>authentication by providing a main point of contact for all service and support needs;</w:t>
      </w:r>
    </w:p>
    <w:p w14:paraId="3AF7E258" w14:textId="77777777" w:rsidR="00682887" w:rsidRDefault="00682887" w:rsidP="00EF1271">
      <w:pPr>
        <w:pStyle w:val="TCBodyafterH2"/>
      </w:pPr>
      <w:r>
        <w:t>ensure that details of the main point of contact are available via the OpenAthens Federation Metadata;</w:t>
      </w:r>
    </w:p>
    <w:p w14:paraId="52B30D1B" w14:textId="39DA152E" w:rsidR="00682887" w:rsidRDefault="00682887" w:rsidP="00B52B1A">
      <w:pPr>
        <w:pStyle w:val="TCBodyafterH2"/>
      </w:pPr>
      <w:r>
        <w:t>i</w:t>
      </w:r>
      <w:r w:rsidR="00716D10">
        <w:t>f used on the Purchasing Authority</w:t>
      </w:r>
      <w:r>
        <w:t>’s premises, make access available via a non-OpenAthens means of authentication, e.g. IP (internet protocol) authentication;</w:t>
      </w:r>
    </w:p>
    <w:p w14:paraId="3A0A950F" w14:textId="77777777" w:rsidR="00682887" w:rsidRDefault="00682887" w:rsidP="00B52B1A">
      <w:pPr>
        <w:pStyle w:val="TCBodyafterH2"/>
      </w:pPr>
      <w:r>
        <w:t>be fully compliant with KBART standards and has in place an acceptable solution with the nationally commissioned Link Resolver supplier;</w:t>
      </w:r>
    </w:p>
    <w:p w14:paraId="43052888" w14:textId="77777777" w:rsidR="00752E4D" w:rsidRDefault="00752E4D" w:rsidP="00B52B1A">
      <w:pPr>
        <w:pStyle w:val="TCBodyafterH2"/>
      </w:pPr>
      <w:r w:rsidRPr="00E430BC">
        <w:t xml:space="preserve">make the Licensed Materials compliant with OpenURL </w:t>
      </w:r>
      <w:r>
        <w:t xml:space="preserve">Link Resolver </w:t>
      </w:r>
      <w:r w:rsidRPr="00E430BC">
        <w:t>standards</w:t>
      </w:r>
      <w:r w:rsidR="00885072">
        <w:t>;</w:t>
      </w:r>
    </w:p>
    <w:p w14:paraId="37F0B935" w14:textId="36D1A1CA" w:rsidR="00682887" w:rsidRDefault="007F4094" w:rsidP="00B52B1A">
      <w:pPr>
        <w:pStyle w:val="TCBodyafterH2"/>
      </w:pPr>
      <w:r>
        <w:t>provide title information to Link Resolver and A-Z list vendors</w:t>
      </w:r>
      <w:r w:rsidR="004545ED">
        <w:t xml:space="preserve"> to include</w:t>
      </w:r>
      <w:r w:rsidR="004545ED" w:rsidRPr="004545ED">
        <w:t xml:space="preserve"> </w:t>
      </w:r>
      <w:r w:rsidR="004545ED">
        <w:t xml:space="preserve">as a </w:t>
      </w:r>
      <w:r w:rsidR="00B90098">
        <w:t>minimum</w:t>
      </w:r>
      <w:r w:rsidR="004545ED">
        <w:t xml:space="preserve">: </w:t>
      </w:r>
      <w:r w:rsidR="00716D10">
        <w:t>v</w:t>
      </w:r>
      <w:r w:rsidR="004545ED" w:rsidRPr="004545ED">
        <w:t>olume, issue,</w:t>
      </w:r>
      <w:r w:rsidR="00885072">
        <w:t xml:space="preserve"> start page, journal linking key</w:t>
      </w:r>
      <w:r w:rsidR="00682887">
        <w:t>;</w:t>
      </w:r>
    </w:p>
    <w:p w14:paraId="28FDEAE4" w14:textId="23389149" w:rsidR="00682887" w:rsidRDefault="00682887" w:rsidP="00B52B1A">
      <w:pPr>
        <w:pStyle w:val="TCBodyafterH2"/>
      </w:pPr>
      <w:r>
        <w:t xml:space="preserve">provide at least sixty (60) </w:t>
      </w:r>
      <w:r w:rsidR="000A1831">
        <w:t>Working D</w:t>
      </w:r>
      <w:r>
        <w:t>ays notification of any data changes for Link Resolver Knowledge Bases;</w:t>
      </w:r>
    </w:p>
    <w:p w14:paraId="3028EEFE" w14:textId="77777777" w:rsidR="00752E4D" w:rsidRDefault="00682887">
      <w:pPr>
        <w:pStyle w:val="TCBodyafterH2"/>
      </w:pPr>
      <w:r>
        <w:t xml:space="preserve">provide </w:t>
      </w:r>
      <w:proofErr w:type="spellStart"/>
      <w:r>
        <w:t>WAYFLess</w:t>
      </w:r>
      <w:proofErr w:type="spellEnd"/>
      <w:r>
        <w:t xml:space="preserve"> URLs for any page on the Service</w:t>
      </w:r>
      <w:r w:rsidR="001037B0">
        <w:t>;</w:t>
      </w:r>
    </w:p>
    <w:p w14:paraId="2D6548A9" w14:textId="77777777" w:rsidR="001037B0" w:rsidRDefault="001037B0">
      <w:pPr>
        <w:pStyle w:val="TCBodyafterH2"/>
      </w:pPr>
      <w:r>
        <w:t xml:space="preserve">support the national Link Resolver and Knowledge Base delivery through a main point of contact on all service and support needs, and will provide at least eight (8) weeks’ notice (in advance of the </w:t>
      </w:r>
      <w:r>
        <w:lastRenderedPageBreak/>
        <w:t>changes becoming ac</w:t>
      </w:r>
      <w:r w:rsidR="00B57A87">
        <w:t>tive) of changes to the Provide</w:t>
      </w:r>
      <w:r>
        <w:t>r’s platform linking schemes;</w:t>
      </w:r>
    </w:p>
    <w:p w14:paraId="21A152B0" w14:textId="77777777" w:rsidR="001037B0" w:rsidRDefault="001037B0">
      <w:pPr>
        <w:pStyle w:val="TCBodyafterH2"/>
      </w:pPr>
      <w:r>
        <w:t>ensure permanent access to content purchased in perpetuity through continued access to content via Service, and through guaranteed access via an archiving solution.</w:t>
      </w:r>
    </w:p>
    <w:p w14:paraId="44EDF4DE" w14:textId="237B1123" w:rsidR="00285D9C" w:rsidRPr="00367FB8" w:rsidRDefault="00285D9C" w:rsidP="00285D9C">
      <w:pPr>
        <w:pStyle w:val="TCHeading1"/>
      </w:pPr>
      <w:bookmarkStart w:id="17" w:name="_Toc459291920"/>
      <w:r w:rsidRPr="00367FB8">
        <w:t>Technical</w:t>
      </w:r>
      <w:bookmarkEnd w:id="17"/>
      <w:r w:rsidRPr="00367FB8">
        <w:t xml:space="preserve"> </w:t>
      </w:r>
    </w:p>
    <w:p w14:paraId="77D7B4B3" w14:textId="77777777" w:rsidR="00612DCD" w:rsidRDefault="00A62A2E" w:rsidP="00A62A2E">
      <w:pPr>
        <w:pStyle w:val="TCBodyafterH1"/>
        <w:jc w:val="left"/>
      </w:pPr>
      <w:r w:rsidRPr="00A62A2E">
        <w:t>The Provider will</w:t>
      </w:r>
      <w:r>
        <w:t xml:space="preserve"> </w:t>
      </w:r>
      <w:r w:rsidR="00612DCD">
        <w:t xml:space="preserve">ensure full compliance with the following </w:t>
      </w:r>
      <w:r w:rsidR="00612DCD" w:rsidRPr="00612DCD">
        <w:t>technical standards</w:t>
      </w:r>
      <w:r w:rsidR="00612DCD">
        <w:t>:</w:t>
      </w:r>
    </w:p>
    <w:p w14:paraId="293C1EE1" w14:textId="77777777" w:rsidR="00612DCD" w:rsidRDefault="00885072" w:rsidP="00EE7123">
      <w:pPr>
        <w:pStyle w:val="TCBodyafterH2"/>
      </w:pPr>
      <w:r>
        <w:t>S</w:t>
      </w:r>
      <w:r w:rsidR="00612DCD">
        <w:t>ervice and content is available and accessible on either Port 80 (for world wide web) or Port 443 (https)</w:t>
      </w:r>
      <w:r>
        <w:t>;</w:t>
      </w:r>
    </w:p>
    <w:p w14:paraId="02796E4A" w14:textId="77777777" w:rsidR="00612DCD" w:rsidRDefault="00612DCD">
      <w:pPr>
        <w:pStyle w:val="TCBodyafterH2"/>
      </w:pPr>
      <w:r>
        <w:t>Service works with full functionality on IE 9 and above and is fully supported</w:t>
      </w:r>
      <w:r w:rsidR="00885072">
        <w:t>;</w:t>
      </w:r>
    </w:p>
    <w:p w14:paraId="25CC69A4" w14:textId="4C2A5B43" w:rsidR="00367FB8" w:rsidRDefault="00612DCD" w:rsidP="004472E8">
      <w:pPr>
        <w:pStyle w:val="TCBodyafterH2"/>
      </w:pPr>
      <w:r>
        <w:t>Service works with partial functionality on IE 6, 7,</w:t>
      </w:r>
      <w:r w:rsidR="00885072">
        <w:t xml:space="preserve"> </w:t>
      </w:r>
      <w:r>
        <w:t>8.</w:t>
      </w:r>
      <w:r w:rsidR="008760C9">
        <w:br/>
      </w:r>
    </w:p>
    <w:p w14:paraId="2DFD6F58" w14:textId="77777777" w:rsidR="00B57A87" w:rsidRDefault="00B57A87" w:rsidP="004472E8">
      <w:pPr>
        <w:pStyle w:val="TCBodyafterH1"/>
        <w:numPr>
          <w:ilvl w:val="0"/>
          <w:numId w:val="0"/>
        </w:numPr>
        <w:ind w:left="720" w:hanging="720"/>
      </w:pPr>
      <w:r>
        <w:t>7.2</w:t>
      </w:r>
      <w:r>
        <w:tab/>
        <w:t>T</w:t>
      </w:r>
      <w:r w:rsidR="00ED3BAE">
        <w:t>he Provider will use</w:t>
      </w:r>
      <w:r>
        <w:t xml:space="preserve"> all reasonable efforts to comply with the following technical standards</w:t>
      </w:r>
      <w:r w:rsidR="00A84E72">
        <w:t xml:space="preserve"> where possible</w:t>
      </w:r>
      <w:r>
        <w:t>:</w:t>
      </w:r>
    </w:p>
    <w:p w14:paraId="6EA54517" w14:textId="77777777" w:rsidR="00B57A87" w:rsidRDefault="00B57A87" w:rsidP="004472E8">
      <w:pPr>
        <w:pStyle w:val="TCBodyafterH1"/>
        <w:numPr>
          <w:ilvl w:val="0"/>
          <w:numId w:val="0"/>
        </w:numPr>
        <w:ind w:left="720" w:hanging="720"/>
      </w:pPr>
      <w:r>
        <w:tab/>
        <w:t>7.2.1</w:t>
      </w:r>
      <w:r>
        <w:tab/>
      </w:r>
      <w:hyperlink r:id="rId9" w:history="1">
        <w:r w:rsidRPr="00433C59">
          <w:rPr>
            <w:rStyle w:val="Hyperlink"/>
          </w:rPr>
          <w:t>https://www.gov.uk/service-manual/user-centred-design/accessibility</w:t>
        </w:r>
      </w:hyperlink>
    </w:p>
    <w:p w14:paraId="55587BCD" w14:textId="77777777" w:rsidR="00B57A87" w:rsidRDefault="00B57A87" w:rsidP="004472E8">
      <w:pPr>
        <w:pStyle w:val="TCBodyafterH1"/>
        <w:numPr>
          <w:ilvl w:val="0"/>
          <w:numId w:val="0"/>
        </w:numPr>
        <w:ind w:left="720" w:hanging="720"/>
      </w:pPr>
      <w:r>
        <w:tab/>
        <w:t>7.2.2</w:t>
      </w:r>
      <w:r>
        <w:tab/>
      </w:r>
      <w:hyperlink r:id="rId10" w:history="1">
        <w:r w:rsidRPr="00433C59">
          <w:rPr>
            <w:rStyle w:val="Hyperlink"/>
          </w:rPr>
          <w:t>https://www.w3.org/standards/webdesign/</w:t>
        </w:r>
      </w:hyperlink>
    </w:p>
    <w:p w14:paraId="0EAF0B68" w14:textId="0FFBE698" w:rsidR="00B57A87" w:rsidRDefault="00B57A87" w:rsidP="004472E8">
      <w:pPr>
        <w:pStyle w:val="TCBodyafterH1"/>
        <w:numPr>
          <w:ilvl w:val="0"/>
          <w:numId w:val="0"/>
        </w:numPr>
        <w:ind w:left="720" w:hanging="720"/>
      </w:pPr>
      <w:r>
        <w:tab/>
        <w:t>7.2.3</w:t>
      </w:r>
      <w:r>
        <w:tab/>
      </w:r>
      <w:hyperlink r:id="rId11" w:history="1">
        <w:r w:rsidRPr="00433C59">
          <w:rPr>
            <w:rStyle w:val="Hyperlink"/>
          </w:rPr>
          <w:t>http://www.iso.org/iso/catalogue_detail.htm?csnumber=52075</w:t>
        </w:r>
      </w:hyperlink>
    </w:p>
    <w:p w14:paraId="1F8554DB" w14:textId="4DCA131C" w:rsidR="00ED3BAE" w:rsidRDefault="00A84E72" w:rsidP="004472E8">
      <w:pPr>
        <w:pStyle w:val="TCBodyafterH1"/>
        <w:numPr>
          <w:ilvl w:val="0"/>
          <w:numId w:val="0"/>
        </w:numPr>
        <w:ind w:left="720" w:hanging="720"/>
      </w:pPr>
      <w:r>
        <w:t>7.3</w:t>
      </w:r>
      <w:r>
        <w:tab/>
        <w:t>The Provider will enable the Service to be delivered to mobile devices via a mobile-optimised interface.</w:t>
      </w:r>
    </w:p>
    <w:p w14:paraId="5A8CE374" w14:textId="68EA496F" w:rsidR="00B57A87" w:rsidRPr="00367FB8" w:rsidRDefault="00A84E72" w:rsidP="004472E8">
      <w:pPr>
        <w:pStyle w:val="TCBodyafterH1"/>
        <w:numPr>
          <w:ilvl w:val="0"/>
          <w:numId w:val="0"/>
        </w:numPr>
        <w:ind w:left="720" w:hanging="720"/>
      </w:pPr>
      <w:r>
        <w:t>7.4</w:t>
      </w:r>
      <w:r>
        <w:tab/>
      </w:r>
      <w:r w:rsidR="00ED3BAE">
        <w:t>The Provider will use all reasonable efforts to enable</w:t>
      </w:r>
      <w:r w:rsidR="00ED3BAE" w:rsidRPr="00ED3BAE">
        <w:t xml:space="preserve"> </w:t>
      </w:r>
      <w:r w:rsidR="00ED3BAE">
        <w:t xml:space="preserve">the Licenced Material </w:t>
      </w:r>
      <w:r w:rsidR="00ED3BAE" w:rsidRPr="00ED3BAE">
        <w:t>to be discoverable</w:t>
      </w:r>
      <w:r w:rsidR="00B07EF7">
        <w:t xml:space="preserve"> through the required</w:t>
      </w:r>
      <w:r w:rsidR="00ED3BAE" w:rsidRPr="00ED3BAE">
        <w:t xml:space="preserve"> variety of search options</w:t>
      </w:r>
      <w:r w:rsidR="00ED3BAE">
        <w:t>.</w:t>
      </w:r>
    </w:p>
    <w:p w14:paraId="69FEB826" w14:textId="77777777" w:rsidR="00E308A3" w:rsidRDefault="00285D9C" w:rsidP="00285D9C">
      <w:pPr>
        <w:pStyle w:val="TCHeading1"/>
      </w:pPr>
      <w:bookmarkStart w:id="18" w:name="_Toc459291921"/>
      <w:r w:rsidRPr="00367FB8">
        <w:t>User Support</w:t>
      </w:r>
      <w:bookmarkEnd w:id="18"/>
    </w:p>
    <w:p w14:paraId="6BEB6FEE" w14:textId="77777777" w:rsidR="00A62A2E" w:rsidRDefault="00A62A2E" w:rsidP="00A62A2E">
      <w:pPr>
        <w:pStyle w:val="TCBodyafterH1"/>
      </w:pPr>
      <w:r w:rsidRPr="00A62A2E">
        <w:t>The Provider will</w:t>
      </w:r>
      <w:r>
        <w:t>:</w:t>
      </w:r>
    </w:p>
    <w:p w14:paraId="4231ED67" w14:textId="043E8674" w:rsidR="00024156" w:rsidRPr="00024156" w:rsidRDefault="00024156" w:rsidP="00EE7123">
      <w:pPr>
        <w:pStyle w:val="TCBodyafterH2"/>
      </w:pPr>
      <w:r w:rsidRPr="00024156">
        <w:t xml:space="preserve">provide a point of contact for helpdesk and support services. </w:t>
      </w:r>
      <w:r w:rsidR="00104C9E" w:rsidRPr="00024156">
        <w:t>Details are</w:t>
      </w:r>
      <w:r w:rsidRPr="00024156">
        <w:t xml:space="preserve">: support@markallengroup.com; (0044) 01722 716997 </w:t>
      </w:r>
    </w:p>
    <w:p w14:paraId="2AB5DDD2" w14:textId="028E8E65" w:rsidR="00024156" w:rsidRPr="00024156" w:rsidRDefault="00795CC7" w:rsidP="004472E8">
      <w:pPr>
        <w:pStyle w:val="TCBodyafterH2"/>
      </w:pPr>
      <w:r w:rsidRPr="004472E8">
        <w:t>r</w:t>
      </w:r>
      <w:r w:rsidR="00734B5B" w:rsidRPr="004472E8">
        <w:t>espond to c</w:t>
      </w:r>
      <w:r w:rsidRPr="004472E8">
        <w:t>omplaints</w:t>
      </w:r>
      <w:r w:rsidRPr="00024156">
        <w:t xml:space="preserve"> </w:t>
      </w:r>
      <w:r w:rsidRPr="004472E8">
        <w:t xml:space="preserve">sent to the designated MA Healthcare contract manager with confirmation of action within </w:t>
      </w:r>
      <w:r w:rsidR="00174146" w:rsidRPr="004472E8">
        <w:t xml:space="preserve">two (2) </w:t>
      </w:r>
      <w:r w:rsidR="000A1831" w:rsidRPr="004472E8">
        <w:t>Working D</w:t>
      </w:r>
      <w:r w:rsidRPr="004472E8">
        <w:t>ays of receipt</w:t>
      </w:r>
      <w:r w:rsidR="00174146" w:rsidRPr="004472E8">
        <w:t>.</w:t>
      </w:r>
    </w:p>
    <w:p w14:paraId="3E569225" w14:textId="31F9790E" w:rsidR="00024156" w:rsidRDefault="00174146" w:rsidP="004472E8">
      <w:pPr>
        <w:pStyle w:val="TCBodyafterH2"/>
      </w:pPr>
      <w:r w:rsidRPr="00024156">
        <w:t>respond to general enquires sent to the MAG Online Library Support Desk within two (2)</w:t>
      </w:r>
      <w:r w:rsidR="000A1831" w:rsidRPr="00024156">
        <w:t xml:space="preserve"> W</w:t>
      </w:r>
      <w:r w:rsidRPr="00024156">
        <w:t xml:space="preserve">orking </w:t>
      </w:r>
      <w:r w:rsidR="000A1831" w:rsidRPr="00024156">
        <w:t>D</w:t>
      </w:r>
      <w:r w:rsidRPr="00024156">
        <w:t>ays of receipt.</w:t>
      </w:r>
    </w:p>
    <w:p w14:paraId="72FD4C0E" w14:textId="4AA5E90D" w:rsidR="00024156" w:rsidRPr="00024156" w:rsidRDefault="00174146" w:rsidP="004472E8">
      <w:pPr>
        <w:pStyle w:val="TCBodyafterH2"/>
      </w:pPr>
      <w:r w:rsidRPr="00024156">
        <w:lastRenderedPageBreak/>
        <w:t xml:space="preserve">use all reasonable efforts to resolve </w:t>
      </w:r>
      <w:r w:rsidR="00716D10">
        <w:t>ninety-five percent (</w:t>
      </w:r>
      <w:r w:rsidRPr="00024156">
        <w:t>95%</w:t>
      </w:r>
      <w:r w:rsidR="00716D10">
        <w:t>)</w:t>
      </w:r>
      <w:r w:rsidRPr="00024156">
        <w:t xml:space="preserve"> of general queries sent to the MAG Online Library </w:t>
      </w:r>
      <w:r w:rsidR="000A1831" w:rsidRPr="000A2264">
        <w:t>Support</w:t>
      </w:r>
      <w:r w:rsidRPr="000A2264">
        <w:t xml:space="preserve"> Desk within eighteen (18) </w:t>
      </w:r>
      <w:r w:rsidR="000A1831" w:rsidRPr="000A2264">
        <w:t>Working D</w:t>
      </w:r>
      <w:r w:rsidRPr="000A2264">
        <w:t xml:space="preserve">ays, </w:t>
      </w:r>
      <w:proofErr w:type="gramStart"/>
      <w:r w:rsidRPr="000A2264">
        <w:t>with the exception of</w:t>
      </w:r>
      <w:proofErr w:type="gramEnd"/>
      <w:r w:rsidRPr="000A2264">
        <w:t xml:space="preserve"> any queries that may require further technical assistance via third party providers</w:t>
      </w:r>
      <w:r w:rsidRPr="00024156">
        <w:t>.</w:t>
      </w:r>
    </w:p>
    <w:p w14:paraId="270DDA42" w14:textId="59EA75D5" w:rsidR="00024156" w:rsidRPr="00024156" w:rsidRDefault="0038381B" w:rsidP="004472E8">
      <w:pPr>
        <w:pStyle w:val="TCBodyafterH2"/>
      </w:pPr>
      <w:r w:rsidRPr="00024156">
        <w:t xml:space="preserve">notify </w:t>
      </w:r>
      <w:r w:rsidR="00716D10">
        <w:t xml:space="preserve">Purchasing Authorities </w:t>
      </w:r>
      <w:r w:rsidRPr="00024156">
        <w:t>of any duplication of content purchases within the same organisation (under a single Athens ID).</w:t>
      </w:r>
    </w:p>
    <w:p w14:paraId="59CB1391" w14:textId="12B74B9E" w:rsidR="000A2264" w:rsidRPr="00024156" w:rsidRDefault="00E31BDC" w:rsidP="004472E8">
      <w:pPr>
        <w:pStyle w:val="TCBodyafterH2"/>
      </w:pPr>
      <w:r w:rsidRPr="00024156">
        <w:t xml:space="preserve">assist the </w:t>
      </w:r>
      <w:r w:rsidR="00716D10">
        <w:t>Purchasing Authority</w:t>
      </w:r>
      <w:r w:rsidRPr="00024156">
        <w:t xml:space="preserve"> with promotional collateral in order to support and further usage of subscriptions to </w:t>
      </w:r>
      <w:r w:rsidRPr="000A2264">
        <w:t>the Licenced Material.</w:t>
      </w:r>
    </w:p>
    <w:p w14:paraId="3D1B210F" w14:textId="6D71883A" w:rsidR="000A2264" w:rsidRDefault="00285D9C" w:rsidP="004472E8">
      <w:pPr>
        <w:pStyle w:val="TCHeading1"/>
      </w:pPr>
      <w:bookmarkStart w:id="19" w:name="_Toc459291922"/>
      <w:r w:rsidRPr="00367FB8">
        <w:t>Service Notifications</w:t>
      </w:r>
      <w:bookmarkEnd w:id="19"/>
    </w:p>
    <w:p w14:paraId="4C13DC27" w14:textId="220CDA77" w:rsidR="000A2264" w:rsidRPr="000A2264" w:rsidRDefault="00A62A2E" w:rsidP="004472E8">
      <w:pPr>
        <w:pStyle w:val="TCHeading2"/>
      </w:pPr>
      <w:bookmarkStart w:id="20" w:name="_Toc459291923"/>
      <w:r w:rsidRPr="00BE04BB">
        <w:rPr>
          <w:szCs w:val="24"/>
        </w:rPr>
        <w:t>The Provider will:</w:t>
      </w:r>
      <w:bookmarkEnd w:id="20"/>
    </w:p>
    <w:p w14:paraId="3FDD292F" w14:textId="6225CF16" w:rsidR="000A2264" w:rsidRDefault="00FE436E" w:rsidP="004472E8">
      <w:pPr>
        <w:pStyle w:val="TCBodyafterH2"/>
      </w:pPr>
      <w:r w:rsidRPr="000A2264">
        <w:t>n</w:t>
      </w:r>
      <w:r w:rsidR="00716D10">
        <w:t>otify the Purchasing Authority</w:t>
      </w:r>
      <w:r w:rsidRPr="000A2264">
        <w:t xml:space="preserve"> of any anticipated material or substantial native interface chan</w:t>
      </w:r>
      <w:r w:rsidR="000A1831" w:rsidRPr="000A2264">
        <w:t>ges within thirty (30) Working D</w:t>
      </w:r>
      <w:r w:rsidRPr="000A2264">
        <w:t>ays</w:t>
      </w:r>
      <w:r>
        <w:t>.</w:t>
      </w:r>
    </w:p>
    <w:p w14:paraId="67F54A22" w14:textId="1B0B804A" w:rsidR="000A2264" w:rsidRPr="00483D58" w:rsidRDefault="00FE436E" w:rsidP="004472E8">
      <w:pPr>
        <w:pStyle w:val="TCBodyafterH2"/>
      </w:pPr>
      <w:r w:rsidRPr="000A2264">
        <w:t>n</w:t>
      </w:r>
      <w:r w:rsidR="00716D10">
        <w:t>otify the Purchasing Authority</w:t>
      </w:r>
      <w:r w:rsidRPr="000A2264">
        <w:t xml:space="preserve"> of any significant change to users' navigation of the nativ</w:t>
      </w:r>
      <w:r w:rsidR="000A1831" w:rsidRPr="000A2264">
        <w:t>e interface within thirty (30) Working D</w:t>
      </w:r>
      <w:r w:rsidRPr="000A2264">
        <w:t>ays prior to changes going live.</w:t>
      </w:r>
    </w:p>
    <w:p w14:paraId="0DA90952" w14:textId="234563D6" w:rsidR="000A2264" w:rsidRDefault="00FE436E" w:rsidP="004472E8">
      <w:pPr>
        <w:pStyle w:val="TCBodyafterH2"/>
      </w:pPr>
      <w:r w:rsidRPr="000A2264">
        <w:t>n</w:t>
      </w:r>
      <w:r w:rsidR="00716D10">
        <w:t>otify the Purchasing Authority</w:t>
      </w:r>
      <w:r w:rsidRPr="000A2264">
        <w:t xml:space="preserve"> of any significant change which may result in an adverse effect on Authorised Users' access to or use of the Licensed Materi</w:t>
      </w:r>
      <w:r w:rsidR="000A1831" w:rsidRPr="000A2264">
        <w:t>als within thirty (30) Working D</w:t>
      </w:r>
      <w:r w:rsidRPr="000A2264">
        <w:t>ays prior to changes going live.</w:t>
      </w:r>
    </w:p>
    <w:p w14:paraId="6740C36A" w14:textId="3813D120" w:rsidR="000A2264" w:rsidRDefault="00FE436E" w:rsidP="004472E8">
      <w:pPr>
        <w:pStyle w:val="TCBodyafterH2"/>
      </w:pPr>
      <w:r w:rsidRPr="000A2264">
        <w:t>n</w:t>
      </w:r>
      <w:r w:rsidR="00716D10">
        <w:t>otify the Purchasing Authority</w:t>
      </w:r>
      <w:r w:rsidRPr="000A2264">
        <w:t xml:space="preserve"> of any withdrawal of Licen</w:t>
      </w:r>
      <w:r w:rsidR="000A1831" w:rsidRPr="000A2264">
        <w:t>sed Material within sixty (60) Working D</w:t>
      </w:r>
      <w:r w:rsidRPr="000A2264">
        <w:t>ays</w:t>
      </w:r>
      <w:r w:rsidR="000A1831" w:rsidRPr="000A2264">
        <w:t>. Fourteen (14) Working D</w:t>
      </w:r>
      <w:r w:rsidRPr="000A2264">
        <w:t xml:space="preserve">ays’ notice will be provided for content to which MA Healthcare no longer retains the right to provide or which it has reasonable </w:t>
      </w:r>
      <w:r w:rsidRPr="000A2264">
        <w:lastRenderedPageBreak/>
        <w:t>grounds to believe infring</w:t>
      </w:r>
      <w:r w:rsidRPr="00EE7123">
        <w:t>es copyright or is defamatory, obscene, unlawful or otherwise objectionable.</w:t>
      </w:r>
    </w:p>
    <w:p w14:paraId="18BB1E11" w14:textId="6B4A7DEE" w:rsidR="00EE7123" w:rsidRPr="000A2264" w:rsidRDefault="00FE436E" w:rsidP="004472E8">
      <w:pPr>
        <w:pStyle w:val="TCBodyafterH2"/>
      </w:pPr>
      <w:r w:rsidRPr="000A2264">
        <w:t>provide notification of new content additions on a monthly basis via TOC alerts or monthly report.</w:t>
      </w:r>
    </w:p>
    <w:p w14:paraId="6102103E" w14:textId="6EE80EE0" w:rsidR="00EE7123" w:rsidRPr="00367FB8" w:rsidRDefault="00285D9C">
      <w:pPr>
        <w:pStyle w:val="TCHeading1"/>
      </w:pPr>
      <w:bookmarkStart w:id="21" w:name="_Toc459291924"/>
      <w:r w:rsidRPr="00367FB8">
        <w:t>Service Reporting</w:t>
      </w:r>
      <w:bookmarkEnd w:id="21"/>
    </w:p>
    <w:p w14:paraId="613088CD" w14:textId="0C403F22" w:rsidR="00EE7123" w:rsidRPr="00EE7123" w:rsidRDefault="00A62A2E" w:rsidP="004472E8">
      <w:pPr>
        <w:pStyle w:val="TCHeading2"/>
      </w:pPr>
      <w:bookmarkStart w:id="22" w:name="_Toc459291925"/>
      <w:r w:rsidRPr="00EE7123">
        <w:t>The Provider will:</w:t>
      </w:r>
      <w:bookmarkEnd w:id="22"/>
    </w:p>
    <w:p w14:paraId="10999884" w14:textId="213E5DC3" w:rsidR="00EE7123" w:rsidRDefault="00E00FD9" w:rsidP="004472E8">
      <w:pPr>
        <w:pStyle w:val="TCBodyafterH2"/>
      </w:pPr>
      <w:r w:rsidRPr="00E00FD9">
        <w:t>attend contract review meetings on a quarterly and annual basis.</w:t>
      </w:r>
    </w:p>
    <w:p w14:paraId="21520E3A" w14:textId="3AF2EAFA" w:rsidR="00EE7123" w:rsidRDefault="00E00FD9" w:rsidP="004472E8">
      <w:pPr>
        <w:pStyle w:val="TCBodyafterH2"/>
      </w:pPr>
      <w:r>
        <w:t xml:space="preserve">provide </w:t>
      </w:r>
      <w:r w:rsidRPr="00E00FD9">
        <w:t>co</w:t>
      </w:r>
      <w:r>
        <w:t xml:space="preserve">ntract management/service reports, including </w:t>
      </w:r>
      <w:r w:rsidRPr="00E00FD9">
        <w:t>a summary of performance for key Service sta</w:t>
      </w:r>
      <w:r>
        <w:t>ndards, SLAs and KPI's, on an annual basis.</w:t>
      </w:r>
    </w:p>
    <w:p w14:paraId="4F0098D7" w14:textId="38C22370" w:rsidR="00D94EEE" w:rsidRDefault="00E00FD9" w:rsidP="004472E8">
      <w:pPr>
        <w:pStyle w:val="TCBodyafterH2"/>
      </w:pPr>
      <w:r>
        <w:t xml:space="preserve">provide </w:t>
      </w:r>
      <w:r w:rsidR="000A1831">
        <w:t xml:space="preserve">COUNTER </w:t>
      </w:r>
      <w:r w:rsidR="00EE7123">
        <w:t xml:space="preserve">(or equivalent) usage data on the number of titles, of abstracts and articles downloaded, by journal title, on a monthly basis for the Provider’s and the Purchasing Authority’s private internal use only.  Such usage data will be complied in a manner consistent with applicable privacy laws, and the anonymity of individual users shall be fully protected. </w:t>
      </w:r>
    </w:p>
    <w:p w14:paraId="0C46C942" w14:textId="5BD3A61C" w:rsidR="00D94EEE" w:rsidRDefault="004328AF" w:rsidP="004472E8">
      <w:pPr>
        <w:pStyle w:val="TCBodyafterH2"/>
      </w:pPr>
      <w:r>
        <w:t xml:space="preserve">provide on a monthly basis </w:t>
      </w:r>
      <w:r w:rsidRPr="004328AF">
        <w:t>details of the number of Gold Open Access articles published in relation to the total number of articles publ</w:t>
      </w:r>
      <w:r>
        <w:t>ished in the Licensed Materials.</w:t>
      </w:r>
    </w:p>
    <w:p w14:paraId="33597594" w14:textId="585F1328" w:rsidR="00D94EEE" w:rsidRPr="00367FB8" w:rsidRDefault="00285D9C">
      <w:pPr>
        <w:pStyle w:val="TCHeading1"/>
      </w:pPr>
      <w:bookmarkStart w:id="23" w:name="_Toc459291926"/>
      <w:r w:rsidRPr="00367FB8">
        <w:t>Measurement &amp; Related Payment</w:t>
      </w:r>
      <w:bookmarkEnd w:id="23"/>
    </w:p>
    <w:p w14:paraId="4DD3BE87" w14:textId="4BFA1B69" w:rsidR="00EF1271" w:rsidRPr="009F5469" w:rsidRDefault="00CC4695" w:rsidP="004472E8">
      <w:pPr>
        <w:pStyle w:val="TCHeading2"/>
        <w:rPr>
          <w:b w:val="0"/>
          <w:sz w:val="24"/>
          <w:szCs w:val="24"/>
        </w:rPr>
      </w:pPr>
      <w:bookmarkStart w:id="24" w:name="_Toc459291927"/>
      <w:r w:rsidRPr="009F5469">
        <w:rPr>
          <w:b w:val="0"/>
          <w:sz w:val="24"/>
          <w:szCs w:val="24"/>
        </w:rPr>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11.1, the Provider will refund that part </w:t>
      </w:r>
      <w:r w:rsidR="006F47CC" w:rsidRPr="009F5469">
        <w:rPr>
          <w:b w:val="0"/>
          <w:sz w:val="24"/>
          <w:szCs w:val="24"/>
        </w:rPr>
        <w:t>of Fee</w:t>
      </w:r>
      <w:r w:rsidRPr="009F5469">
        <w:rPr>
          <w:b w:val="0"/>
          <w:sz w:val="24"/>
          <w:szCs w:val="24"/>
        </w:rPr>
        <w:t xml:space="preserve"> paid for the remaining un-expired portion of </w:t>
      </w:r>
      <w:r w:rsidR="006F47CC" w:rsidRPr="009F5469">
        <w:rPr>
          <w:b w:val="0"/>
          <w:sz w:val="24"/>
          <w:szCs w:val="24"/>
        </w:rPr>
        <w:t>the Term</w:t>
      </w:r>
      <w:r w:rsidRPr="009F5469">
        <w:rPr>
          <w:b w:val="0"/>
          <w:sz w:val="24"/>
          <w:szCs w:val="24"/>
        </w:rPr>
        <w:t xml:space="preserve"> (proportional to the amount of the Licensed Materials / Goods unavailable)</w:t>
      </w:r>
      <w:r w:rsidR="00657D10">
        <w:rPr>
          <w:b w:val="0"/>
          <w:sz w:val="24"/>
          <w:szCs w:val="24"/>
        </w:rPr>
        <w:t>.</w:t>
      </w:r>
      <w:bookmarkEnd w:id="24"/>
    </w:p>
    <w:p w14:paraId="4F41278B" w14:textId="1ADB97BA" w:rsidR="006B1E29" w:rsidRPr="00EF1271" w:rsidRDefault="006B1E29" w:rsidP="004472E8">
      <w:pPr>
        <w:pStyle w:val="TCHeading2"/>
      </w:pPr>
      <w:bookmarkStart w:id="25" w:name="_Toc459291928"/>
      <w:r w:rsidRPr="00EF1271">
        <w:rPr>
          <w:b w:val="0"/>
          <w:sz w:val="24"/>
          <w:szCs w:val="24"/>
        </w:rPr>
        <w:t>The P</w:t>
      </w:r>
      <w:r w:rsidR="004D5CEE">
        <w:rPr>
          <w:b w:val="0"/>
          <w:sz w:val="24"/>
          <w:szCs w:val="24"/>
        </w:rPr>
        <w:t>rovider will offer the Purchasing Authority</w:t>
      </w:r>
      <w:r w:rsidRPr="00EF1271">
        <w:rPr>
          <w:b w:val="0"/>
          <w:sz w:val="24"/>
          <w:szCs w:val="24"/>
        </w:rPr>
        <w:t xml:space="preserve"> </w:t>
      </w:r>
      <w:r w:rsidR="000A1831" w:rsidRPr="00EF1271">
        <w:rPr>
          <w:b w:val="0"/>
          <w:sz w:val="24"/>
          <w:szCs w:val="24"/>
        </w:rPr>
        <w:t>a Service C</w:t>
      </w:r>
      <w:r w:rsidRPr="00EF1271">
        <w:rPr>
          <w:b w:val="0"/>
          <w:sz w:val="24"/>
          <w:szCs w:val="24"/>
        </w:rPr>
        <w:t>redit in the event of any unscheduled downtime or total loss of service occurring. This will be offered as a percentage reduction against the Fee paid. The credit percentage offered against the annual fee is as follows:</w:t>
      </w:r>
      <w:bookmarkEnd w:id="25"/>
    </w:p>
    <w:tbl>
      <w:tblPr>
        <w:tblStyle w:val="TableGrid"/>
        <w:tblW w:w="0" w:type="auto"/>
        <w:tblInd w:w="1085" w:type="dxa"/>
        <w:tblLook w:val="04A0" w:firstRow="1" w:lastRow="0" w:firstColumn="1" w:lastColumn="0" w:noHBand="0" w:noVBand="1"/>
      </w:tblPr>
      <w:tblGrid>
        <w:gridCol w:w="3085"/>
        <w:gridCol w:w="3827"/>
      </w:tblGrid>
      <w:tr w:rsidR="006B1E29" w:rsidRPr="00CC4695" w14:paraId="2D1A4449" w14:textId="77777777" w:rsidTr="004472E8">
        <w:tc>
          <w:tcPr>
            <w:tcW w:w="3085" w:type="dxa"/>
            <w:shd w:val="clear" w:color="auto" w:fill="FFFFFF" w:themeFill="background1"/>
          </w:tcPr>
          <w:p w14:paraId="1196EBEC" w14:textId="77777777" w:rsidR="006B1E29" w:rsidRPr="00CC4695" w:rsidRDefault="006B1E29" w:rsidP="00446AD2">
            <w:pPr>
              <w:pStyle w:val="Paragraphnonumbers"/>
              <w:spacing w:after="0"/>
              <w:rPr>
                <w:b/>
              </w:rPr>
            </w:pPr>
            <w:r>
              <w:rPr>
                <w:b/>
              </w:rPr>
              <w:t>Service Availability</w:t>
            </w:r>
          </w:p>
        </w:tc>
        <w:tc>
          <w:tcPr>
            <w:tcW w:w="3827" w:type="dxa"/>
            <w:shd w:val="clear" w:color="auto" w:fill="FFFFFF" w:themeFill="background1"/>
          </w:tcPr>
          <w:p w14:paraId="65E569D7" w14:textId="77777777" w:rsidR="006B1E29" w:rsidRPr="00CC4695" w:rsidRDefault="006B1E29" w:rsidP="00446AD2">
            <w:pPr>
              <w:pStyle w:val="Paragraphnonumbers"/>
              <w:spacing w:after="0"/>
              <w:rPr>
                <w:b/>
              </w:rPr>
            </w:pPr>
            <w:r>
              <w:rPr>
                <w:b/>
              </w:rPr>
              <w:t>Credit Percentage</w:t>
            </w:r>
          </w:p>
        </w:tc>
      </w:tr>
      <w:tr w:rsidR="006B1E29" w:rsidRPr="00CC4695" w14:paraId="1F23226C" w14:textId="77777777" w:rsidTr="004472E8">
        <w:tc>
          <w:tcPr>
            <w:tcW w:w="3085" w:type="dxa"/>
            <w:shd w:val="clear" w:color="auto" w:fill="FFFFFF" w:themeFill="background1"/>
          </w:tcPr>
          <w:p w14:paraId="63BA5C90" w14:textId="77777777" w:rsidR="006B1E29" w:rsidRPr="00CC4695" w:rsidRDefault="006B1E29" w:rsidP="00446AD2">
            <w:pPr>
              <w:pStyle w:val="Paragraphnonumbers"/>
              <w:spacing w:after="0"/>
            </w:pPr>
            <w:r>
              <w:t>99.3% - 100%</w:t>
            </w:r>
          </w:p>
        </w:tc>
        <w:tc>
          <w:tcPr>
            <w:tcW w:w="3827" w:type="dxa"/>
            <w:shd w:val="clear" w:color="auto" w:fill="FFFFFF" w:themeFill="background1"/>
          </w:tcPr>
          <w:p w14:paraId="7F7DFB6B" w14:textId="77777777" w:rsidR="006B1E29" w:rsidRPr="00CC4695" w:rsidRDefault="006B1E29" w:rsidP="00446AD2">
            <w:pPr>
              <w:pStyle w:val="Paragraphnonumbers"/>
              <w:spacing w:after="0"/>
            </w:pPr>
            <w:r>
              <w:t>0%</w:t>
            </w:r>
          </w:p>
        </w:tc>
      </w:tr>
      <w:tr w:rsidR="006B1E29" w:rsidRPr="00CC4695" w14:paraId="34BB7527" w14:textId="77777777" w:rsidTr="004472E8">
        <w:tc>
          <w:tcPr>
            <w:tcW w:w="3085" w:type="dxa"/>
            <w:shd w:val="clear" w:color="auto" w:fill="FFFFFF" w:themeFill="background1"/>
          </w:tcPr>
          <w:p w14:paraId="21EC481A" w14:textId="77777777" w:rsidR="006B1E29" w:rsidRPr="00CC4695" w:rsidRDefault="006B1E29" w:rsidP="00446AD2">
            <w:pPr>
              <w:pStyle w:val="Paragraphnonumbers"/>
              <w:spacing w:after="0"/>
            </w:pPr>
            <w:r>
              <w:t>99% - 99.29%</w:t>
            </w:r>
          </w:p>
        </w:tc>
        <w:tc>
          <w:tcPr>
            <w:tcW w:w="3827" w:type="dxa"/>
            <w:shd w:val="clear" w:color="auto" w:fill="FFFFFF" w:themeFill="background1"/>
          </w:tcPr>
          <w:p w14:paraId="0096D023" w14:textId="77777777" w:rsidR="006B1E29" w:rsidRPr="00CC4695" w:rsidRDefault="006B1E29" w:rsidP="00446AD2">
            <w:pPr>
              <w:pStyle w:val="Paragraphnonumbers"/>
              <w:spacing w:after="0"/>
            </w:pPr>
            <w:r>
              <w:t>3%</w:t>
            </w:r>
          </w:p>
        </w:tc>
      </w:tr>
      <w:tr w:rsidR="006B1E29" w:rsidRPr="00CC4695" w14:paraId="39CAC76D" w14:textId="77777777" w:rsidTr="004472E8">
        <w:tc>
          <w:tcPr>
            <w:tcW w:w="3085" w:type="dxa"/>
            <w:shd w:val="clear" w:color="auto" w:fill="FFFFFF" w:themeFill="background1"/>
          </w:tcPr>
          <w:p w14:paraId="168A39FB" w14:textId="77777777" w:rsidR="006B1E29" w:rsidRPr="00CC4695" w:rsidRDefault="006B1E29" w:rsidP="00446AD2">
            <w:pPr>
              <w:pStyle w:val="Paragraphnonumbers"/>
              <w:spacing w:after="0"/>
            </w:pPr>
            <w:r>
              <w:lastRenderedPageBreak/>
              <w:t>98% - 98.99%</w:t>
            </w:r>
          </w:p>
        </w:tc>
        <w:tc>
          <w:tcPr>
            <w:tcW w:w="3827" w:type="dxa"/>
            <w:shd w:val="clear" w:color="auto" w:fill="FFFFFF" w:themeFill="background1"/>
          </w:tcPr>
          <w:p w14:paraId="4FDF04DF" w14:textId="77777777" w:rsidR="006B1E29" w:rsidRPr="00CC4695" w:rsidRDefault="006B1E29" w:rsidP="00446AD2">
            <w:pPr>
              <w:pStyle w:val="Paragraphnonumbers"/>
              <w:spacing w:after="0"/>
            </w:pPr>
            <w:r>
              <w:t>5%</w:t>
            </w:r>
          </w:p>
        </w:tc>
      </w:tr>
      <w:tr w:rsidR="006B1E29" w:rsidRPr="00CC4695" w14:paraId="7592E259" w14:textId="77777777" w:rsidTr="004472E8">
        <w:tc>
          <w:tcPr>
            <w:tcW w:w="3085" w:type="dxa"/>
            <w:shd w:val="clear" w:color="auto" w:fill="FFFFFF" w:themeFill="background1"/>
          </w:tcPr>
          <w:p w14:paraId="33516BAD" w14:textId="77777777" w:rsidR="006B1E29" w:rsidRPr="00CC4695" w:rsidRDefault="006B1E29" w:rsidP="00446AD2">
            <w:pPr>
              <w:pStyle w:val="Paragraphnonumbers"/>
              <w:spacing w:after="0"/>
            </w:pPr>
            <w:r>
              <w:t>97% - 97.99%</w:t>
            </w:r>
          </w:p>
        </w:tc>
        <w:tc>
          <w:tcPr>
            <w:tcW w:w="3827" w:type="dxa"/>
            <w:shd w:val="clear" w:color="auto" w:fill="FFFFFF" w:themeFill="background1"/>
          </w:tcPr>
          <w:p w14:paraId="559CA5D6" w14:textId="77777777" w:rsidR="006B1E29" w:rsidRPr="00CC4695" w:rsidRDefault="006B1E29" w:rsidP="00446AD2">
            <w:pPr>
              <w:pStyle w:val="Paragraphnonumbers"/>
              <w:spacing w:after="0"/>
            </w:pPr>
            <w:r>
              <w:t>7%</w:t>
            </w:r>
          </w:p>
        </w:tc>
      </w:tr>
      <w:tr w:rsidR="006B1E29" w:rsidRPr="00CC4695" w14:paraId="2725F1FF" w14:textId="77777777" w:rsidTr="004472E8">
        <w:tc>
          <w:tcPr>
            <w:tcW w:w="3085" w:type="dxa"/>
            <w:shd w:val="clear" w:color="auto" w:fill="FFFFFF" w:themeFill="background1"/>
          </w:tcPr>
          <w:p w14:paraId="1F0267D8" w14:textId="77777777" w:rsidR="006B1E29" w:rsidRPr="00CC4695" w:rsidRDefault="006B1E29" w:rsidP="00446AD2">
            <w:pPr>
              <w:pStyle w:val="Paragraphnonumbers"/>
              <w:spacing w:after="0"/>
            </w:pPr>
            <w:r>
              <w:t>97.8% and below</w:t>
            </w:r>
          </w:p>
        </w:tc>
        <w:tc>
          <w:tcPr>
            <w:tcW w:w="3827" w:type="dxa"/>
            <w:shd w:val="clear" w:color="auto" w:fill="FFFFFF" w:themeFill="background1"/>
          </w:tcPr>
          <w:p w14:paraId="3A569885" w14:textId="77777777" w:rsidR="006B1E29" w:rsidRPr="00CC4695" w:rsidRDefault="006B1E29" w:rsidP="00446AD2">
            <w:pPr>
              <w:pStyle w:val="Paragraphnonumbers"/>
              <w:spacing w:after="0"/>
            </w:pPr>
            <w:r>
              <w:t>10%</w:t>
            </w:r>
          </w:p>
        </w:tc>
      </w:tr>
    </w:tbl>
    <w:p w14:paraId="75C188A5" w14:textId="39DF5600" w:rsidR="004821EB" w:rsidRDefault="004821EB" w:rsidP="004472E8">
      <w:pPr>
        <w:pStyle w:val="TCBodyafterH1"/>
        <w:numPr>
          <w:ilvl w:val="0"/>
          <w:numId w:val="0"/>
        </w:numPr>
        <w:ind w:left="858" w:hanging="858"/>
        <w:jc w:val="left"/>
      </w:pPr>
      <w:r>
        <w:t>11.3</w:t>
      </w:r>
      <w:r>
        <w:tab/>
        <w:t>The Pro</w:t>
      </w:r>
      <w:r w:rsidR="004D5CEE">
        <w:t>vider will offer the Purchasing Authority</w:t>
      </w:r>
      <w:r>
        <w:t xml:space="preserve"> a </w:t>
      </w:r>
      <w:r w:rsidR="000338D4">
        <w:t>Service C</w:t>
      </w:r>
      <w:r w:rsidRPr="004821EB">
        <w:t xml:space="preserve">redit in the event that the full </w:t>
      </w:r>
      <w:r w:rsidR="000338D4">
        <w:t>specified functionality of the S</w:t>
      </w:r>
      <w:r w:rsidRPr="004821EB">
        <w:t xml:space="preserve">ervice is not available. This will be offered as a percentage reduction against the Fee paid. The credit percentage offered against the annual fee is as follows:   </w:t>
      </w:r>
    </w:p>
    <w:tbl>
      <w:tblPr>
        <w:tblStyle w:val="TableGrid"/>
        <w:tblW w:w="0" w:type="auto"/>
        <w:tblInd w:w="1085" w:type="dxa"/>
        <w:tblLook w:val="04A0" w:firstRow="1" w:lastRow="0" w:firstColumn="1" w:lastColumn="0" w:noHBand="0" w:noVBand="1"/>
      </w:tblPr>
      <w:tblGrid>
        <w:gridCol w:w="3085"/>
        <w:gridCol w:w="3827"/>
      </w:tblGrid>
      <w:tr w:rsidR="004821EB" w:rsidRPr="00CC4695" w14:paraId="54AB869D" w14:textId="77777777" w:rsidTr="00446AD2">
        <w:tc>
          <w:tcPr>
            <w:tcW w:w="3085" w:type="dxa"/>
            <w:shd w:val="clear" w:color="auto" w:fill="FFFFFF" w:themeFill="background1"/>
          </w:tcPr>
          <w:p w14:paraId="1CA406F2" w14:textId="77777777" w:rsidR="004821EB" w:rsidRPr="00CC4695" w:rsidRDefault="004821EB" w:rsidP="00446AD2">
            <w:pPr>
              <w:pStyle w:val="Paragraphnonumbers"/>
              <w:spacing w:after="0"/>
              <w:rPr>
                <w:b/>
              </w:rPr>
            </w:pPr>
            <w:r>
              <w:rPr>
                <w:b/>
              </w:rPr>
              <w:t>Service Availability</w:t>
            </w:r>
          </w:p>
        </w:tc>
        <w:tc>
          <w:tcPr>
            <w:tcW w:w="3827" w:type="dxa"/>
            <w:shd w:val="clear" w:color="auto" w:fill="FFFFFF" w:themeFill="background1"/>
          </w:tcPr>
          <w:p w14:paraId="5BAB460F" w14:textId="77777777" w:rsidR="004821EB" w:rsidRPr="00CC4695" w:rsidRDefault="004821EB" w:rsidP="00446AD2">
            <w:pPr>
              <w:pStyle w:val="Paragraphnonumbers"/>
              <w:spacing w:after="0"/>
              <w:rPr>
                <w:b/>
              </w:rPr>
            </w:pPr>
            <w:r>
              <w:rPr>
                <w:b/>
              </w:rPr>
              <w:t>Credit Percentage</w:t>
            </w:r>
          </w:p>
        </w:tc>
      </w:tr>
      <w:tr w:rsidR="004821EB" w:rsidRPr="00CC4695" w14:paraId="5B87DE38" w14:textId="77777777" w:rsidTr="00446AD2">
        <w:tc>
          <w:tcPr>
            <w:tcW w:w="3085" w:type="dxa"/>
            <w:shd w:val="clear" w:color="auto" w:fill="FFFFFF" w:themeFill="background1"/>
          </w:tcPr>
          <w:p w14:paraId="535814B8" w14:textId="77777777" w:rsidR="004821EB" w:rsidRPr="00CC4695" w:rsidRDefault="004821EB" w:rsidP="00446AD2">
            <w:pPr>
              <w:pStyle w:val="Paragraphnonumbers"/>
              <w:spacing w:after="0"/>
            </w:pPr>
            <w:r>
              <w:t>99.3% - 100%</w:t>
            </w:r>
          </w:p>
        </w:tc>
        <w:tc>
          <w:tcPr>
            <w:tcW w:w="3827" w:type="dxa"/>
            <w:shd w:val="clear" w:color="auto" w:fill="FFFFFF" w:themeFill="background1"/>
          </w:tcPr>
          <w:p w14:paraId="751FAEF5" w14:textId="77777777" w:rsidR="004821EB" w:rsidRPr="00CC4695" w:rsidRDefault="004821EB" w:rsidP="00446AD2">
            <w:pPr>
              <w:pStyle w:val="Paragraphnonumbers"/>
              <w:spacing w:after="0"/>
            </w:pPr>
            <w:r>
              <w:t>0%</w:t>
            </w:r>
          </w:p>
        </w:tc>
      </w:tr>
      <w:tr w:rsidR="004821EB" w:rsidRPr="00CC4695" w14:paraId="2A7D06F9" w14:textId="77777777" w:rsidTr="00446AD2">
        <w:tc>
          <w:tcPr>
            <w:tcW w:w="3085" w:type="dxa"/>
            <w:shd w:val="clear" w:color="auto" w:fill="FFFFFF" w:themeFill="background1"/>
          </w:tcPr>
          <w:p w14:paraId="0664F5DF" w14:textId="77777777" w:rsidR="004821EB" w:rsidRPr="00CC4695" w:rsidRDefault="004821EB" w:rsidP="00446AD2">
            <w:pPr>
              <w:pStyle w:val="Paragraphnonumbers"/>
              <w:spacing w:after="0"/>
            </w:pPr>
            <w:r>
              <w:t>99% - 99.29%</w:t>
            </w:r>
          </w:p>
        </w:tc>
        <w:tc>
          <w:tcPr>
            <w:tcW w:w="3827" w:type="dxa"/>
            <w:shd w:val="clear" w:color="auto" w:fill="FFFFFF" w:themeFill="background1"/>
          </w:tcPr>
          <w:p w14:paraId="6A391239" w14:textId="77777777" w:rsidR="004821EB" w:rsidRPr="00CC4695" w:rsidRDefault="004821EB" w:rsidP="00446AD2">
            <w:pPr>
              <w:pStyle w:val="Paragraphnonumbers"/>
              <w:spacing w:after="0"/>
            </w:pPr>
            <w:r>
              <w:t>3%</w:t>
            </w:r>
          </w:p>
        </w:tc>
      </w:tr>
      <w:tr w:rsidR="004821EB" w:rsidRPr="00CC4695" w14:paraId="258D6670" w14:textId="77777777" w:rsidTr="00446AD2">
        <w:tc>
          <w:tcPr>
            <w:tcW w:w="3085" w:type="dxa"/>
            <w:shd w:val="clear" w:color="auto" w:fill="FFFFFF" w:themeFill="background1"/>
          </w:tcPr>
          <w:p w14:paraId="19815860" w14:textId="77777777" w:rsidR="004821EB" w:rsidRPr="00CC4695" w:rsidRDefault="004821EB" w:rsidP="00446AD2">
            <w:pPr>
              <w:pStyle w:val="Paragraphnonumbers"/>
              <w:spacing w:after="0"/>
            </w:pPr>
            <w:r>
              <w:t>98% - 98.99%</w:t>
            </w:r>
          </w:p>
        </w:tc>
        <w:tc>
          <w:tcPr>
            <w:tcW w:w="3827" w:type="dxa"/>
            <w:shd w:val="clear" w:color="auto" w:fill="FFFFFF" w:themeFill="background1"/>
          </w:tcPr>
          <w:p w14:paraId="12280D28" w14:textId="77777777" w:rsidR="004821EB" w:rsidRPr="00CC4695" w:rsidRDefault="004821EB" w:rsidP="00446AD2">
            <w:pPr>
              <w:pStyle w:val="Paragraphnonumbers"/>
              <w:spacing w:after="0"/>
            </w:pPr>
            <w:r>
              <w:t>5%</w:t>
            </w:r>
          </w:p>
        </w:tc>
      </w:tr>
      <w:tr w:rsidR="004821EB" w:rsidRPr="00CC4695" w14:paraId="0F00C646" w14:textId="77777777" w:rsidTr="00446AD2">
        <w:tc>
          <w:tcPr>
            <w:tcW w:w="3085" w:type="dxa"/>
            <w:shd w:val="clear" w:color="auto" w:fill="FFFFFF" w:themeFill="background1"/>
          </w:tcPr>
          <w:p w14:paraId="3C9FA54A" w14:textId="77777777" w:rsidR="004821EB" w:rsidRPr="00CC4695" w:rsidRDefault="004821EB" w:rsidP="00446AD2">
            <w:pPr>
              <w:pStyle w:val="Paragraphnonumbers"/>
              <w:spacing w:after="0"/>
            </w:pPr>
            <w:r>
              <w:t>97% - 97.99%</w:t>
            </w:r>
          </w:p>
        </w:tc>
        <w:tc>
          <w:tcPr>
            <w:tcW w:w="3827" w:type="dxa"/>
            <w:shd w:val="clear" w:color="auto" w:fill="FFFFFF" w:themeFill="background1"/>
          </w:tcPr>
          <w:p w14:paraId="5394D01D" w14:textId="77777777" w:rsidR="004821EB" w:rsidRPr="00CC4695" w:rsidRDefault="004821EB" w:rsidP="00446AD2">
            <w:pPr>
              <w:pStyle w:val="Paragraphnonumbers"/>
              <w:spacing w:after="0"/>
            </w:pPr>
            <w:r>
              <w:t>7%</w:t>
            </w:r>
          </w:p>
        </w:tc>
      </w:tr>
      <w:tr w:rsidR="004821EB" w:rsidRPr="00CC4695" w14:paraId="19AC5206" w14:textId="77777777" w:rsidTr="00446AD2">
        <w:tc>
          <w:tcPr>
            <w:tcW w:w="3085" w:type="dxa"/>
            <w:shd w:val="clear" w:color="auto" w:fill="FFFFFF" w:themeFill="background1"/>
          </w:tcPr>
          <w:p w14:paraId="2BC327D3" w14:textId="77777777" w:rsidR="004821EB" w:rsidRPr="00CC4695" w:rsidRDefault="004821EB" w:rsidP="00446AD2">
            <w:pPr>
              <w:pStyle w:val="Paragraphnonumbers"/>
              <w:spacing w:after="0"/>
            </w:pPr>
            <w:r>
              <w:t>97.8% and below</w:t>
            </w:r>
          </w:p>
        </w:tc>
        <w:tc>
          <w:tcPr>
            <w:tcW w:w="3827" w:type="dxa"/>
            <w:shd w:val="clear" w:color="auto" w:fill="FFFFFF" w:themeFill="background1"/>
          </w:tcPr>
          <w:p w14:paraId="78DB8C8F" w14:textId="77777777" w:rsidR="004821EB" w:rsidRPr="00CC4695" w:rsidRDefault="004821EB" w:rsidP="00446AD2">
            <w:pPr>
              <w:pStyle w:val="Paragraphnonumbers"/>
              <w:spacing w:after="0"/>
            </w:pPr>
            <w:r>
              <w:t>10%</w:t>
            </w:r>
          </w:p>
        </w:tc>
      </w:tr>
    </w:tbl>
    <w:p w14:paraId="46125559" w14:textId="35D9D95E" w:rsidR="00252A99" w:rsidRDefault="00252A99" w:rsidP="00252A99">
      <w:pPr>
        <w:jc w:val="center"/>
        <w:rPr>
          <w:b/>
        </w:rPr>
      </w:pPr>
    </w:p>
    <w:p w14:paraId="0174C045" w14:textId="77777777" w:rsidR="008E0AB7" w:rsidRDefault="008E0AB7" w:rsidP="00252A99">
      <w:pPr>
        <w:jc w:val="center"/>
        <w:rPr>
          <w:b/>
        </w:rPr>
      </w:pPr>
    </w:p>
    <w:p w14:paraId="22A7D519" w14:textId="77777777" w:rsidR="00DB4A43" w:rsidRDefault="00DB4A43">
      <w:pPr>
        <w:rPr>
          <w:rFonts w:ascii="Arial" w:hAnsi="Arial" w:cs="Arial"/>
          <w:b/>
        </w:rPr>
      </w:pPr>
      <w:r>
        <w:rPr>
          <w:rFonts w:ascii="Arial" w:hAnsi="Arial" w:cs="Arial"/>
          <w:b/>
        </w:rPr>
        <w:br w:type="page"/>
      </w:r>
    </w:p>
    <w:p w14:paraId="486119F0" w14:textId="52EE7FC0" w:rsidR="00252A99" w:rsidRPr="004472E8" w:rsidRDefault="00252A99" w:rsidP="00252A99">
      <w:pPr>
        <w:jc w:val="center"/>
        <w:rPr>
          <w:rFonts w:ascii="Arial" w:hAnsi="Arial" w:cs="Arial"/>
          <w:b/>
        </w:rPr>
      </w:pPr>
      <w:r w:rsidRPr="004472E8">
        <w:rPr>
          <w:rFonts w:ascii="Arial" w:hAnsi="Arial" w:cs="Arial"/>
          <w:b/>
        </w:rPr>
        <w:lastRenderedPageBreak/>
        <w:t>SCHEDULE 1</w:t>
      </w:r>
    </w:p>
    <w:p w14:paraId="502CE786" w14:textId="77777777" w:rsidR="00252A99" w:rsidRPr="004472E8" w:rsidRDefault="00252A99" w:rsidP="00252A99">
      <w:pPr>
        <w:jc w:val="center"/>
        <w:rPr>
          <w:rFonts w:ascii="Arial" w:hAnsi="Arial" w:cs="Arial"/>
          <w:b/>
        </w:rPr>
      </w:pPr>
    </w:p>
    <w:p w14:paraId="4EA1992F" w14:textId="77777777" w:rsidR="000338D4" w:rsidRPr="004472E8" w:rsidRDefault="000338D4" w:rsidP="00252A99">
      <w:pPr>
        <w:jc w:val="center"/>
        <w:rPr>
          <w:rFonts w:ascii="Arial" w:hAnsi="Arial" w:cs="Arial"/>
          <w:b/>
        </w:rPr>
      </w:pPr>
      <w:r w:rsidRPr="004472E8">
        <w:rPr>
          <w:rFonts w:ascii="Arial" w:hAnsi="Arial" w:cs="Arial"/>
          <w:b/>
        </w:rPr>
        <w:t>Service Availability</w:t>
      </w:r>
    </w:p>
    <w:p w14:paraId="287E75CB" w14:textId="77777777" w:rsidR="000338D4" w:rsidRPr="004472E8" w:rsidRDefault="000338D4" w:rsidP="00252A99">
      <w:pPr>
        <w:jc w:val="center"/>
        <w:rPr>
          <w:rFonts w:ascii="Arial" w:hAnsi="Arial" w:cs="Arial"/>
        </w:rPr>
      </w:pPr>
    </w:p>
    <w:p w14:paraId="1679BECC" w14:textId="77777777" w:rsidR="000338D4" w:rsidRPr="004472E8" w:rsidRDefault="000338D4" w:rsidP="00B52B1A">
      <w:pPr>
        <w:jc w:val="center"/>
        <w:rPr>
          <w:rFonts w:ascii="Arial" w:hAnsi="Arial" w:cs="Arial"/>
        </w:rPr>
      </w:pPr>
      <w:r w:rsidRPr="004472E8">
        <w:rPr>
          <w:rFonts w:ascii="Arial" w:hAnsi="Arial" w:cs="Arial"/>
        </w:rPr>
        <w:t>Service Availability Calculation</w:t>
      </w:r>
    </w:p>
    <w:p w14:paraId="5799479D" w14:textId="77777777" w:rsidR="000338D4" w:rsidRPr="004472E8" w:rsidRDefault="000338D4">
      <w:pPr>
        <w:jc w:val="center"/>
        <w:rPr>
          <w:rFonts w:ascii="Arial" w:hAnsi="Arial" w:cs="Arial"/>
          <w:b/>
        </w:rPr>
      </w:pPr>
    </w:p>
    <w:p w14:paraId="2E5D3205" w14:textId="5FF2CD08" w:rsidR="000338D4" w:rsidRPr="004472E8" w:rsidRDefault="00B52252" w:rsidP="004472E8">
      <w:pPr>
        <w:jc w:val="center"/>
        <w:rPr>
          <w:rFonts w:ascii="Arial" w:hAnsi="Arial" w:cs="Arial"/>
        </w:rPr>
      </w:pPr>
      <w:r>
        <w:rPr>
          <w:rFonts w:ascii="Arial" w:hAnsi="Arial" w:cs="Arial"/>
          <w:color w:val="000000"/>
        </w:rPr>
        <w:t>A third-</w:t>
      </w:r>
      <w:r w:rsidR="000338D4" w:rsidRPr="004472E8">
        <w:rPr>
          <w:rFonts w:ascii="Arial" w:hAnsi="Arial" w:cs="Arial"/>
          <w:color w:val="000000"/>
        </w:rPr>
        <w:t>party monitoring service will monitor four pages on the site: home page, an abstract page, a full-text page and advanced search. The site’s uptime percentage will be the mean of uptime percentages for these pages, each of which will be calculated using the following:</w:t>
      </w:r>
    </w:p>
    <w:p w14:paraId="4854B771" w14:textId="77777777" w:rsidR="000338D4" w:rsidRPr="004472E8" w:rsidRDefault="000338D4" w:rsidP="004472E8">
      <w:pPr>
        <w:jc w:val="center"/>
        <w:rPr>
          <w:rFonts w:ascii="Arial" w:hAnsi="Arial" w:cs="Arial"/>
        </w:rPr>
      </w:pPr>
    </w:p>
    <w:p w14:paraId="750E4AC8" w14:textId="77777777" w:rsidR="000338D4" w:rsidRPr="004472E8" w:rsidRDefault="000338D4" w:rsidP="00252A99">
      <w:pPr>
        <w:jc w:val="center"/>
        <w:rPr>
          <w:rFonts w:ascii="Arial" w:hAnsi="Arial" w:cs="Arial"/>
        </w:rPr>
      </w:pPr>
      <w:r w:rsidRPr="004472E8">
        <w:rPr>
          <w:rFonts w:ascii="Arial" w:hAnsi="Arial" w:cs="Arial"/>
          <w:color w:val="000000"/>
        </w:rPr>
        <w:t>Minutes downtime in the calendar month ÷ minutes uptime in the calendar month (i.e. days x 24 x 60) = uptime %</w:t>
      </w:r>
    </w:p>
    <w:p w14:paraId="4057C79A" w14:textId="77777777" w:rsidR="000338D4" w:rsidRDefault="000338D4" w:rsidP="000338D4">
      <w:pPr>
        <w:jc w:val="center"/>
      </w:pPr>
    </w:p>
    <w:p w14:paraId="02913CFC" w14:textId="77777777" w:rsidR="000338D4" w:rsidRDefault="000338D4" w:rsidP="000338D4"/>
    <w:p w14:paraId="18DD4174" w14:textId="77777777" w:rsidR="000338D4" w:rsidRDefault="000338D4" w:rsidP="000338D4"/>
    <w:p w14:paraId="7B24B191" w14:textId="77777777" w:rsidR="000338D4" w:rsidRDefault="000338D4" w:rsidP="000338D4"/>
    <w:p w14:paraId="49BD01E2" w14:textId="77777777" w:rsidR="000338D4" w:rsidRDefault="000338D4" w:rsidP="000338D4"/>
    <w:p w14:paraId="72FE1ED4" w14:textId="77777777" w:rsidR="000338D4" w:rsidRDefault="000338D4" w:rsidP="000338D4"/>
    <w:p w14:paraId="19F1A227" w14:textId="77777777" w:rsidR="000338D4" w:rsidRDefault="000338D4" w:rsidP="000338D4"/>
    <w:p w14:paraId="11AB496D" w14:textId="77777777" w:rsidR="000338D4" w:rsidRDefault="000338D4" w:rsidP="00CC4695">
      <w:pPr>
        <w:pStyle w:val="TCBodyafterH1"/>
        <w:numPr>
          <w:ilvl w:val="0"/>
          <w:numId w:val="0"/>
        </w:numPr>
        <w:ind w:left="858"/>
      </w:pPr>
    </w:p>
    <w:p w14:paraId="732C9EA2" w14:textId="77777777" w:rsidR="000338D4" w:rsidRDefault="000338D4" w:rsidP="00CC4695">
      <w:pPr>
        <w:pStyle w:val="TCBodyafterH1"/>
        <w:numPr>
          <w:ilvl w:val="0"/>
          <w:numId w:val="0"/>
        </w:numPr>
        <w:ind w:left="858"/>
      </w:pPr>
    </w:p>
    <w:p w14:paraId="11CE8F7F" w14:textId="77777777" w:rsidR="000338D4" w:rsidRPr="00AD3988" w:rsidRDefault="000338D4" w:rsidP="00CC4695">
      <w:pPr>
        <w:pStyle w:val="TCBodyafterH1"/>
        <w:numPr>
          <w:ilvl w:val="0"/>
          <w:numId w:val="0"/>
        </w:numPr>
        <w:ind w:left="858"/>
      </w:pPr>
    </w:p>
    <w:sectPr w:rsidR="000338D4" w:rsidRPr="00AD3988" w:rsidSect="0034397B">
      <w:footerReference w:type="default" r:id="rId12"/>
      <w:footerReference w:type="first" r:id="rId13"/>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3ED24" w14:textId="77777777" w:rsidR="00FA4948" w:rsidRDefault="00FA4948">
      <w:r>
        <w:separator/>
      </w:r>
    </w:p>
  </w:endnote>
  <w:endnote w:type="continuationSeparator" w:id="0">
    <w:p w14:paraId="01257544" w14:textId="77777777" w:rsidR="00FA4948" w:rsidRDefault="00FA4948">
      <w:r>
        <w:continuationSeparator/>
      </w:r>
    </w:p>
  </w:endnote>
  <w:endnote w:type="continuationNotice" w:id="1">
    <w:p w14:paraId="2DDBCBDB" w14:textId="77777777" w:rsidR="00FA4948" w:rsidRDefault="00FA4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EB5" w14:textId="77777777" w:rsidR="00F96515" w:rsidRDefault="00F96515" w:rsidP="00135E36">
    <w:pPr>
      <w:tabs>
        <w:tab w:val="right" w:pos="8931"/>
      </w:tabs>
      <w:rPr>
        <w:rFonts w:ascii="Arial" w:hAnsi="Arial"/>
        <w:sz w:val="16"/>
      </w:rPr>
    </w:pPr>
    <w:r>
      <w:rPr>
        <w:rFonts w:ascii="Arial" w:hAnsi="Arial"/>
        <w:sz w:val="16"/>
      </w:rPr>
      <w:tab/>
      <w:t xml:space="preserve">NICE Electronic and Print Content Framework </w:t>
    </w:r>
  </w:p>
  <w:p w14:paraId="34E748C8" w14:textId="53BC3482" w:rsidR="00F96515" w:rsidRDefault="00DB4A43" w:rsidP="00135E36">
    <w:pPr>
      <w:tabs>
        <w:tab w:val="right" w:pos="8931"/>
      </w:tabs>
      <w:rPr>
        <w:rFonts w:ascii="Arial" w:hAnsi="Arial"/>
        <w:sz w:val="16"/>
      </w:rPr>
    </w:pPr>
    <w:r>
      <w:rPr>
        <w:rFonts w:ascii="Arial" w:hAnsi="Arial"/>
        <w:sz w:val="16"/>
      </w:rPr>
      <w:tab/>
      <w:t>Providers Licence</w:t>
    </w:r>
  </w:p>
  <w:p w14:paraId="27DFEEE2" w14:textId="668F38A5" w:rsidR="00F96515" w:rsidRDefault="00F96515"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065F80">
      <w:rPr>
        <w:rFonts w:ascii="Arial" w:hAnsi="Arial"/>
        <w:noProof/>
        <w:sz w:val="16"/>
      </w:rPr>
      <w:t>17</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E08A" w14:textId="77777777" w:rsidR="00F96515" w:rsidRDefault="00F96515"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9CC19" w14:textId="77777777" w:rsidR="00FA4948" w:rsidRDefault="00FA4948">
      <w:r>
        <w:separator/>
      </w:r>
    </w:p>
  </w:footnote>
  <w:footnote w:type="continuationSeparator" w:id="0">
    <w:p w14:paraId="5F5418ED" w14:textId="77777777" w:rsidR="00FA4948" w:rsidRDefault="00FA4948">
      <w:r>
        <w:continuationSeparator/>
      </w:r>
    </w:p>
  </w:footnote>
  <w:footnote w:type="continuationNotice" w:id="1">
    <w:p w14:paraId="03D74339" w14:textId="77777777" w:rsidR="00FA4948" w:rsidRDefault="00FA4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2855B9"/>
    <w:multiLevelType w:val="multilevel"/>
    <w:tmpl w:val="A9D61C4A"/>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9F6B9A"/>
    <w:multiLevelType w:val="multilevel"/>
    <w:tmpl w:val="837A47B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E9D4147"/>
    <w:multiLevelType w:val="multilevel"/>
    <w:tmpl w:val="4740B3B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10"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45A4C"/>
    <w:multiLevelType w:val="multilevel"/>
    <w:tmpl w:val="BAF01C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ED4324"/>
    <w:multiLevelType w:val="multilevel"/>
    <w:tmpl w:val="E940C19A"/>
    <w:lvl w:ilvl="0">
      <w:start w:val="9"/>
      <w:numFmt w:val="decimal"/>
      <w:lvlText w:val="%1"/>
      <w:lvlJc w:val="left"/>
      <w:pPr>
        <w:ind w:left="525" w:hanging="525"/>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800" w:hanging="180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520" w:hanging="2520"/>
      </w:pPr>
      <w:rPr>
        <w:rFonts w:hint="default"/>
        <w:b w:val="0"/>
        <w:sz w:val="24"/>
      </w:rPr>
    </w:lvl>
  </w:abstractNum>
  <w:abstractNum w:abstractNumId="13" w15:restartNumberingAfterBreak="0">
    <w:nsid w:val="1FCB73B8"/>
    <w:multiLevelType w:val="multilevel"/>
    <w:tmpl w:val="BA804FD6"/>
    <w:lvl w:ilvl="0">
      <w:start w:val="9"/>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b w:val="0"/>
        <w:sz w:val="24"/>
        <w:szCs w:val="24"/>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4" w15:restartNumberingAfterBreak="0">
    <w:nsid w:val="20D553D9"/>
    <w:multiLevelType w:val="multilevel"/>
    <w:tmpl w:val="FC5E2CCE"/>
    <w:lvl w:ilvl="0">
      <w:start w:val="8"/>
      <w:numFmt w:val="decimal"/>
      <w:lvlText w:val="%1"/>
      <w:lvlJc w:val="left"/>
      <w:pPr>
        <w:ind w:left="525" w:hanging="525"/>
      </w:pPr>
      <w:rPr>
        <w:rFonts w:hint="default"/>
        <w:b w:val="0"/>
        <w:sz w:val="24"/>
      </w:rPr>
    </w:lvl>
    <w:lvl w:ilvl="1">
      <w:start w:val="1"/>
      <w:numFmt w:val="decimal"/>
      <w:lvlText w:val="%1.%2"/>
      <w:lvlJc w:val="left"/>
      <w:pPr>
        <w:ind w:left="1072" w:hanging="720"/>
      </w:pPr>
      <w:rPr>
        <w:rFonts w:hint="default"/>
        <w:b w:val="0"/>
        <w:sz w:val="24"/>
      </w:rPr>
    </w:lvl>
    <w:lvl w:ilvl="2">
      <w:start w:val="2"/>
      <w:numFmt w:val="decimal"/>
      <w:lvlText w:val="%1.%2.%3"/>
      <w:lvlJc w:val="left"/>
      <w:pPr>
        <w:ind w:left="1424" w:hanging="720"/>
      </w:pPr>
      <w:rPr>
        <w:rFonts w:hint="default"/>
        <w:b w:val="0"/>
        <w:sz w:val="24"/>
      </w:rPr>
    </w:lvl>
    <w:lvl w:ilvl="3">
      <w:start w:val="1"/>
      <w:numFmt w:val="decimal"/>
      <w:lvlText w:val="%1.%2.%3.%4"/>
      <w:lvlJc w:val="left"/>
      <w:pPr>
        <w:ind w:left="2136" w:hanging="1080"/>
      </w:pPr>
      <w:rPr>
        <w:rFonts w:hint="default"/>
        <w:b w:val="0"/>
        <w:sz w:val="24"/>
      </w:rPr>
    </w:lvl>
    <w:lvl w:ilvl="4">
      <w:start w:val="1"/>
      <w:numFmt w:val="decimal"/>
      <w:lvlText w:val="%1.%2.%3.%4.%5"/>
      <w:lvlJc w:val="left"/>
      <w:pPr>
        <w:ind w:left="2848" w:hanging="1440"/>
      </w:pPr>
      <w:rPr>
        <w:rFonts w:hint="default"/>
        <w:b w:val="0"/>
        <w:sz w:val="24"/>
      </w:rPr>
    </w:lvl>
    <w:lvl w:ilvl="5">
      <w:start w:val="1"/>
      <w:numFmt w:val="decimal"/>
      <w:lvlText w:val="%1.%2.%3.%4.%5.%6"/>
      <w:lvlJc w:val="left"/>
      <w:pPr>
        <w:ind w:left="3200" w:hanging="1440"/>
      </w:pPr>
      <w:rPr>
        <w:rFonts w:hint="default"/>
        <w:b w:val="0"/>
        <w:sz w:val="24"/>
      </w:rPr>
    </w:lvl>
    <w:lvl w:ilvl="6">
      <w:start w:val="1"/>
      <w:numFmt w:val="decimal"/>
      <w:lvlText w:val="%1.%2.%3.%4.%5.%6.%7"/>
      <w:lvlJc w:val="left"/>
      <w:pPr>
        <w:ind w:left="3912" w:hanging="1800"/>
      </w:pPr>
      <w:rPr>
        <w:rFonts w:hint="default"/>
        <w:b w:val="0"/>
        <w:sz w:val="24"/>
      </w:rPr>
    </w:lvl>
    <w:lvl w:ilvl="7">
      <w:start w:val="1"/>
      <w:numFmt w:val="decimal"/>
      <w:lvlText w:val="%1.%2.%3.%4.%5.%6.%7.%8"/>
      <w:lvlJc w:val="left"/>
      <w:pPr>
        <w:ind w:left="4264" w:hanging="1800"/>
      </w:pPr>
      <w:rPr>
        <w:rFonts w:hint="default"/>
        <w:b w:val="0"/>
        <w:sz w:val="24"/>
      </w:rPr>
    </w:lvl>
    <w:lvl w:ilvl="8">
      <w:start w:val="1"/>
      <w:numFmt w:val="decimal"/>
      <w:lvlText w:val="%1.%2.%3.%4.%5.%6.%7.%8.%9"/>
      <w:lvlJc w:val="left"/>
      <w:pPr>
        <w:ind w:left="4976" w:hanging="2160"/>
      </w:pPr>
      <w:rPr>
        <w:rFonts w:hint="default"/>
        <w:b w:val="0"/>
        <w:sz w:val="24"/>
      </w:rPr>
    </w:lvl>
  </w:abstractNum>
  <w:abstractNum w:abstractNumId="15" w15:restartNumberingAfterBreak="0">
    <w:nsid w:val="2DB1274F"/>
    <w:multiLevelType w:val="multilevel"/>
    <w:tmpl w:val="547CB178"/>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sz w:val="24"/>
        <w:szCs w:val="24"/>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801795"/>
    <w:multiLevelType w:val="hybridMultilevel"/>
    <w:tmpl w:val="09E4EB50"/>
    <w:lvl w:ilvl="0" w:tplc="02CC99D4">
      <w:start w:val="1"/>
      <w:numFmt w:val="decimal"/>
      <w:lvlText w:val="%1."/>
      <w:lvlJc w:val="left"/>
      <w:pPr>
        <w:ind w:left="1218" w:hanging="360"/>
      </w:pPr>
      <w:rPr>
        <w:rFonts w:hint="default"/>
      </w:rPr>
    </w:lvl>
    <w:lvl w:ilvl="1" w:tplc="08090019" w:tentative="1">
      <w:start w:val="1"/>
      <w:numFmt w:val="lowerLetter"/>
      <w:lvlText w:val="%2."/>
      <w:lvlJc w:val="left"/>
      <w:pPr>
        <w:ind w:left="1938" w:hanging="360"/>
      </w:pPr>
    </w:lvl>
    <w:lvl w:ilvl="2" w:tplc="0809001B" w:tentative="1">
      <w:start w:val="1"/>
      <w:numFmt w:val="lowerRoman"/>
      <w:lvlText w:val="%3."/>
      <w:lvlJc w:val="right"/>
      <w:pPr>
        <w:ind w:left="2658" w:hanging="180"/>
      </w:pPr>
    </w:lvl>
    <w:lvl w:ilvl="3" w:tplc="0809000F" w:tentative="1">
      <w:start w:val="1"/>
      <w:numFmt w:val="decimal"/>
      <w:lvlText w:val="%4."/>
      <w:lvlJc w:val="left"/>
      <w:pPr>
        <w:ind w:left="3378" w:hanging="360"/>
      </w:pPr>
    </w:lvl>
    <w:lvl w:ilvl="4" w:tplc="08090019" w:tentative="1">
      <w:start w:val="1"/>
      <w:numFmt w:val="lowerLetter"/>
      <w:lvlText w:val="%5."/>
      <w:lvlJc w:val="left"/>
      <w:pPr>
        <w:ind w:left="4098" w:hanging="360"/>
      </w:pPr>
    </w:lvl>
    <w:lvl w:ilvl="5" w:tplc="0809001B" w:tentative="1">
      <w:start w:val="1"/>
      <w:numFmt w:val="lowerRoman"/>
      <w:lvlText w:val="%6."/>
      <w:lvlJc w:val="right"/>
      <w:pPr>
        <w:ind w:left="4818" w:hanging="180"/>
      </w:pPr>
    </w:lvl>
    <w:lvl w:ilvl="6" w:tplc="0809000F" w:tentative="1">
      <w:start w:val="1"/>
      <w:numFmt w:val="decimal"/>
      <w:lvlText w:val="%7."/>
      <w:lvlJc w:val="left"/>
      <w:pPr>
        <w:ind w:left="5538" w:hanging="360"/>
      </w:pPr>
    </w:lvl>
    <w:lvl w:ilvl="7" w:tplc="08090019" w:tentative="1">
      <w:start w:val="1"/>
      <w:numFmt w:val="lowerLetter"/>
      <w:lvlText w:val="%8."/>
      <w:lvlJc w:val="left"/>
      <w:pPr>
        <w:ind w:left="6258" w:hanging="360"/>
      </w:pPr>
    </w:lvl>
    <w:lvl w:ilvl="8" w:tplc="0809001B" w:tentative="1">
      <w:start w:val="1"/>
      <w:numFmt w:val="lowerRoman"/>
      <w:lvlText w:val="%9."/>
      <w:lvlJc w:val="right"/>
      <w:pPr>
        <w:ind w:left="6978" w:hanging="180"/>
      </w:pPr>
    </w:lvl>
  </w:abstractNum>
  <w:abstractNum w:abstractNumId="17"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8" w15:restartNumberingAfterBreak="0">
    <w:nsid w:val="3C682A1B"/>
    <w:multiLevelType w:val="multilevel"/>
    <w:tmpl w:val="0C465F52"/>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361E5E"/>
    <w:multiLevelType w:val="multilevel"/>
    <w:tmpl w:val="77E29BE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3"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24"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7"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8"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3"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E1768D"/>
    <w:multiLevelType w:val="hybridMultilevel"/>
    <w:tmpl w:val="224C39B6"/>
    <w:lvl w:ilvl="0" w:tplc="A7E8F816">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5"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7"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8" w15:restartNumberingAfterBreak="0">
    <w:nsid w:val="6D842B1F"/>
    <w:multiLevelType w:val="multilevel"/>
    <w:tmpl w:val="1EC4A144"/>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0"/>
  </w:num>
  <w:num w:numId="3">
    <w:abstractNumId w:val="17"/>
  </w:num>
  <w:num w:numId="4">
    <w:abstractNumId w:val="23"/>
  </w:num>
  <w:num w:numId="5">
    <w:abstractNumId w:val="8"/>
  </w:num>
  <w:num w:numId="6">
    <w:abstractNumId w:val="0"/>
  </w:num>
  <w:num w:numId="7">
    <w:abstractNumId w:val="15"/>
  </w:num>
  <w:num w:numId="8">
    <w:abstractNumId w:val="22"/>
  </w:num>
  <w:num w:numId="9">
    <w:abstractNumId w:val="19"/>
  </w:num>
  <w:num w:numId="10">
    <w:abstractNumId w:val="29"/>
  </w:num>
  <w:num w:numId="11">
    <w:abstractNumId w:val="37"/>
  </w:num>
  <w:num w:numId="12">
    <w:abstractNumId w:val="24"/>
  </w:num>
  <w:num w:numId="13">
    <w:abstractNumId w:val="3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30"/>
  </w:num>
  <w:num w:numId="18">
    <w:abstractNumId w:val="36"/>
  </w:num>
  <w:num w:numId="19">
    <w:abstractNumId w:val="21"/>
  </w:num>
  <w:num w:numId="20">
    <w:abstractNumId w:val="25"/>
  </w:num>
  <w:num w:numId="21">
    <w:abstractNumId w:val="31"/>
  </w:num>
  <w:num w:numId="22">
    <w:abstractNumId w:val="1"/>
  </w:num>
  <w:num w:numId="23">
    <w:abstractNumId w:val="27"/>
  </w:num>
  <w:num w:numId="24">
    <w:abstractNumId w:val="15"/>
  </w:num>
  <w:num w:numId="25">
    <w:abstractNumId w:val="15"/>
  </w:num>
  <w:num w:numId="26">
    <w:abstractNumId w:val="15"/>
  </w:num>
  <w:num w:numId="27">
    <w:abstractNumId w:val="15"/>
  </w:num>
  <w:num w:numId="28">
    <w:abstractNumId w:val="15"/>
  </w:num>
  <w:num w:numId="29">
    <w:abstractNumId w:val="35"/>
  </w:num>
  <w:num w:numId="30">
    <w:abstractNumId w:val="40"/>
  </w:num>
  <w:num w:numId="31">
    <w:abstractNumId w:val="33"/>
    <w:lvlOverride w:ilvl="0">
      <w:startOverride w:val="2"/>
    </w:lvlOverride>
  </w:num>
  <w:num w:numId="32">
    <w:abstractNumId w:val="33"/>
    <w:lvlOverride w:ilvl="0">
      <w:startOverride w:val="3"/>
    </w:lvlOverride>
  </w:num>
  <w:num w:numId="33">
    <w:abstractNumId w:val="41"/>
  </w:num>
  <w:num w:numId="34">
    <w:abstractNumId w:val="3"/>
  </w:num>
  <w:num w:numId="35">
    <w:abstractNumId w:val="15"/>
  </w:num>
  <w:num w:numId="36">
    <w:abstractNumId w:val="2"/>
  </w:num>
  <w:num w:numId="37">
    <w:abstractNumId w:val="28"/>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0"/>
  </w:num>
  <w:num w:numId="41">
    <w:abstractNumId w:val="38"/>
  </w:num>
  <w:num w:numId="42">
    <w:abstractNumId w:val="7"/>
  </w:num>
  <w:num w:numId="43">
    <w:abstractNumId w:val="11"/>
  </w:num>
  <w:num w:numId="44">
    <w:abstractNumId w:val="14"/>
  </w:num>
  <w:num w:numId="45">
    <w:abstractNumId w:val="12"/>
  </w:num>
  <w:num w:numId="46">
    <w:abstractNumId w:val="13"/>
  </w:num>
  <w:num w:numId="47">
    <w:abstractNumId w:val="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16"/>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58"/>
    <w:rsid w:val="000025BD"/>
    <w:rsid w:val="00003B02"/>
    <w:rsid w:val="00006457"/>
    <w:rsid w:val="00007BE7"/>
    <w:rsid w:val="00007E0B"/>
    <w:rsid w:val="000129C4"/>
    <w:rsid w:val="0001410B"/>
    <w:rsid w:val="00016AB6"/>
    <w:rsid w:val="00021F09"/>
    <w:rsid w:val="000232F3"/>
    <w:rsid w:val="0002403F"/>
    <w:rsid w:val="00024156"/>
    <w:rsid w:val="000253CA"/>
    <w:rsid w:val="00026210"/>
    <w:rsid w:val="00026274"/>
    <w:rsid w:val="000263E2"/>
    <w:rsid w:val="00030D77"/>
    <w:rsid w:val="00032455"/>
    <w:rsid w:val="000338D4"/>
    <w:rsid w:val="0003516E"/>
    <w:rsid w:val="000352C4"/>
    <w:rsid w:val="00035CD6"/>
    <w:rsid w:val="000413AC"/>
    <w:rsid w:val="000430CC"/>
    <w:rsid w:val="00043595"/>
    <w:rsid w:val="000458FF"/>
    <w:rsid w:val="00045BE0"/>
    <w:rsid w:val="00046E12"/>
    <w:rsid w:val="00050A90"/>
    <w:rsid w:val="00051071"/>
    <w:rsid w:val="0005227F"/>
    <w:rsid w:val="00056655"/>
    <w:rsid w:val="0006019D"/>
    <w:rsid w:val="000602F8"/>
    <w:rsid w:val="0006105C"/>
    <w:rsid w:val="00062C30"/>
    <w:rsid w:val="00065F80"/>
    <w:rsid w:val="00071228"/>
    <w:rsid w:val="0007625E"/>
    <w:rsid w:val="00081E1A"/>
    <w:rsid w:val="00082C74"/>
    <w:rsid w:val="00085C30"/>
    <w:rsid w:val="00086DE6"/>
    <w:rsid w:val="00087F72"/>
    <w:rsid w:val="00090EB7"/>
    <w:rsid w:val="0009108E"/>
    <w:rsid w:val="00095682"/>
    <w:rsid w:val="000A1831"/>
    <w:rsid w:val="000A2264"/>
    <w:rsid w:val="000A2295"/>
    <w:rsid w:val="000A2514"/>
    <w:rsid w:val="000A3069"/>
    <w:rsid w:val="000A42D6"/>
    <w:rsid w:val="000B1278"/>
    <w:rsid w:val="000B1CC0"/>
    <w:rsid w:val="000B44D0"/>
    <w:rsid w:val="000B4C95"/>
    <w:rsid w:val="000B5AA3"/>
    <w:rsid w:val="000B7A7A"/>
    <w:rsid w:val="000B7C15"/>
    <w:rsid w:val="000C0523"/>
    <w:rsid w:val="000C2448"/>
    <w:rsid w:val="000C425C"/>
    <w:rsid w:val="000C4859"/>
    <w:rsid w:val="000D41ED"/>
    <w:rsid w:val="000D66C7"/>
    <w:rsid w:val="000E3DD6"/>
    <w:rsid w:val="000E49E2"/>
    <w:rsid w:val="000E6A84"/>
    <w:rsid w:val="000E70E9"/>
    <w:rsid w:val="000F0031"/>
    <w:rsid w:val="000F0EDD"/>
    <w:rsid w:val="000F3578"/>
    <w:rsid w:val="000F4B93"/>
    <w:rsid w:val="001037B0"/>
    <w:rsid w:val="00104C9E"/>
    <w:rsid w:val="001107F5"/>
    <w:rsid w:val="00112197"/>
    <w:rsid w:val="00112C18"/>
    <w:rsid w:val="00113D4E"/>
    <w:rsid w:val="00121FDB"/>
    <w:rsid w:val="001322F0"/>
    <w:rsid w:val="00135E36"/>
    <w:rsid w:val="00137EA6"/>
    <w:rsid w:val="0014155A"/>
    <w:rsid w:val="0014244E"/>
    <w:rsid w:val="00146F77"/>
    <w:rsid w:val="00150F4B"/>
    <w:rsid w:val="0015364E"/>
    <w:rsid w:val="00155E4B"/>
    <w:rsid w:val="00156CDA"/>
    <w:rsid w:val="001615B6"/>
    <w:rsid w:val="001651E4"/>
    <w:rsid w:val="00167FE1"/>
    <w:rsid w:val="00170168"/>
    <w:rsid w:val="001732FD"/>
    <w:rsid w:val="00174146"/>
    <w:rsid w:val="00177680"/>
    <w:rsid w:val="00182EA1"/>
    <w:rsid w:val="00183287"/>
    <w:rsid w:val="00184BDE"/>
    <w:rsid w:val="00186FC6"/>
    <w:rsid w:val="001914A5"/>
    <w:rsid w:val="00193AF8"/>
    <w:rsid w:val="001968FF"/>
    <w:rsid w:val="001A5593"/>
    <w:rsid w:val="001A71E8"/>
    <w:rsid w:val="001B03E6"/>
    <w:rsid w:val="001B127E"/>
    <w:rsid w:val="001B1A8F"/>
    <w:rsid w:val="001B1D44"/>
    <w:rsid w:val="001B4297"/>
    <w:rsid w:val="001C1517"/>
    <w:rsid w:val="001C2694"/>
    <w:rsid w:val="001C3524"/>
    <w:rsid w:val="001C5FC7"/>
    <w:rsid w:val="001D0AD8"/>
    <w:rsid w:val="001D1E9D"/>
    <w:rsid w:val="001D4358"/>
    <w:rsid w:val="001D5B82"/>
    <w:rsid w:val="001E2B4E"/>
    <w:rsid w:val="001E417C"/>
    <w:rsid w:val="001E61DD"/>
    <w:rsid w:val="001F3634"/>
    <w:rsid w:val="001F64EA"/>
    <w:rsid w:val="001F6A7C"/>
    <w:rsid w:val="001F6CD6"/>
    <w:rsid w:val="00200001"/>
    <w:rsid w:val="00200232"/>
    <w:rsid w:val="00200505"/>
    <w:rsid w:val="00200864"/>
    <w:rsid w:val="00202CB8"/>
    <w:rsid w:val="002030D6"/>
    <w:rsid w:val="0020377A"/>
    <w:rsid w:val="00207565"/>
    <w:rsid w:val="00207ACC"/>
    <w:rsid w:val="002129AE"/>
    <w:rsid w:val="002215B8"/>
    <w:rsid w:val="00221EA0"/>
    <w:rsid w:val="00224B2D"/>
    <w:rsid w:val="00230D6F"/>
    <w:rsid w:val="00230F41"/>
    <w:rsid w:val="002333F5"/>
    <w:rsid w:val="002334B3"/>
    <w:rsid w:val="00237817"/>
    <w:rsid w:val="00240240"/>
    <w:rsid w:val="002417BC"/>
    <w:rsid w:val="00241A77"/>
    <w:rsid w:val="00243C8A"/>
    <w:rsid w:val="00244A96"/>
    <w:rsid w:val="00245635"/>
    <w:rsid w:val="00247210"/>
    <w:rsid w:val="00247E48"/>
    <w:rsid w:val="00252A99"/>
    <w:rsid w:val="00253FE7"/>
    <w:rsid w:val="00261208"/>
    <w:rsid w:val="00261756"/>
    <w:rsid w:val="00262D6A"/>
    <w:rsid w:val="00263F99"/>
    <w:rsid w:val="00266F5B"/>
    <w:rsid w:val="002671B7"/>
    <w:rsid w:val="00270D87"/>
    <w:rsid w:val="0027257F"/>
    <w:rsid w:val="00273B36"/>
    <w:rsid w:val="00273BC5"/>
    <w:rsid w:val="00274308"/>
    <w:rsid w:val="002854DC"/>
    <w:rsid w:val="00285D9C"/>
    <w:rsid w:val="00287304"/>
    <w:rsid w:val="00293998"/>
    <w:rsid w:val="00294740"/>
    <w:rsid w:val="00296A99"/>
    <w:rsid w:val="00297300"/>
    <w:rsid w:val="002A38B5"/>
    <w:rsid w:val="002A3E4C"/>
    <w:rsid w:val="002A6C63"/>
    <w:rsid w:val="002B1DBA"/>
    <w:rsid w:val="002B303C"/>
    <w:rsid w:val="002C323E"/>
    <w:rsid w:val="002C3D75"/>
    <w:rsid w:val="002C7ACB"/>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51E2"/>
    <w:rsid w:val="00345295"/>
    <w:rsid w:val="00352194"/>
    <w:rsid w:val="0035498A"/>
    <w:rsid w:val="00362BD9"/>
    <w:rsid w:val="00367FB8"/>
    <w:rsid w:val="00371468"/>
    <w:rsid w:val="00372091"/>
    <w:rsid w:val="00372944"/>
    <w:rsid w:val="00372DA7"/>
    <w:rsid w:val="003748F4"/>
    <w:rsid w:val="00374AC0"/>
    <w:rsid w:val="00376441"/>
    <w:rsid w:val="003804D0"/>
    <w:rsid w:val="00380757"/>
    <w:rsid w:val="003811DA"/>
    <w:rsid w:val="003820F5"/>
    <w:rsid w:val="00382138"/>
    <w:rsid w:val="00382795"/>
    <w:rsid w:val="003832B8"/>
    <w:rsid w:val="0038381B"/>
    <w:rsid w:val="00386914"/>
    <w:rsid w:val="00386DD0"/>
    <w:rsid w:val="00387547"/>
    <w:rsid w:val="003937B1"/>
    <w:rsid w:val="0039389A"/>
    <w:rsid w:val="0039598B"/>
    <w:rsid w:val="00396351"/>
    <w:rsid w:val="00396D6D"/>
    <w:rsid w:val="0039748D"/>
    <w:rsid w:val="003A09C6"/>
    <w:rsid w:val="003A295B"/>
    <w:rsid w:val="003B5D18"/>
    <w:rsid w:val="003B63A5"/>
    <w:rsid w:val="003C4D42"/>
    <w:rsid w:val="003C6754"/>
    <w:rsid w:val="003C74DC"/>
    <w:rsid w:val="003D0713"/>
    <w:rsid w:val="003D17DC"/>
    <w:rsid w:val="003D603C"/>
    <w:rsid w:val="003D60FF"/>
    <w:rsid w:val="003E41C6"/>
    <w:rsid w:val="003E7B4B"/>
    <w:rsid w:val="003F45FD"/>
    <w:rsid w:val="003F791A"/>
    <w:rsid w:val="00401A62"/>
    <w:rsid w:val="004027B0"/>
    <w:rsid w:val="004050EA"/>
    <w:rsid w:val="004052B1"/>
    <w:rsid w:val="0040603F"/>
    <w:rsid w:val="00411C1B"/>
    <w:rsid w:val="00414C03"/>
    <w:rsid w:val="00415547"/>
    <w:rsid w:val="0041701C"/>
    <w:rsid w:val="00417A8E"/>
    <w:rsid w:val="004204EF"/>
    <w:rsid w:val="00421106"/>
    <w:rsid w:val="004227DD"/>
    <w:rsid w:val="00422B38"/>
    <w:rsid w:val="00422CDF"/>
    <w:rsid w:val="004231E7"/>
    <w:rsid w:val="00423A9C"/>
    <w:rsid w:val="00423DDC"/>
    <w:rsid w:val="004244B2"/>
    <w:rsid w:val="0042702F"/>
    <w:rsid w:val="00431C75"/>
    <w:rsid w:val="004328AF"/>
    <w:rsid w:val="0043337E"/>
    <w:rsid w:val="00433F15"/>
    <w:rsid w:val="00443D1B"/>
    <w:rsid w:val="0044538E"/>
    <w:rsid w:val="004469A5"/>
    <w:rsid w:val="00446A12"/>
    <w:rsid w:val="00446AD2"/>
    <w:rsid w:val="004472E8"/>
    <w:rsid w:val="00452E69"/>
    <w:rsid w:val="0045352D"/>
    <w:rsid w:val="00453652"/>
    <w:rsid w:val="004545ED"/>
    <w:rsid w:val="004626F7"/>
    <w:rsid w:val="004629FB"/>
    <w:rsid w:val="004640A9"/>
    <w:rsid w:val="00465DAC"/>
    <w:rsid w:val="00466405"/>
    <w:rsid w:val="00466A6C"/>
    <w:rsid w:val="004673C5"/>
    <w:rsid w:val="004712C5"/>
    <w:rsid w:val="00471D09"/>
    <w:rsid w:val="0047510A"/>
    <w:rsid w:val="0048049B"/>
    <w:rsid w:val="004821EB"/>
    <w:rsid w:val="0048437E"/>
    <w:rsid w:val="0048441D"/>
    <w:rsid w:val="00491100"/>
    <w:rsid w:val="00491BCA"/>
    <w:rsid w:val="00493740"/>
    <w:rsid w:val="004975D0"/>
    <w:rsid w:val="004A21F5"/>
    <w:rsid w:val="004A3185"/>
    <w:rsid w:val="004A4B2B"/>
    <w:rsid w:val="004A5F79"/>
    <w:rsid w:val="004A6B32"/>
    <w:rsid w:val="004B051B"/>
    <w:rsid w:val="004B2C81"/>
    <w:rsid w:val="004B327A"/>
    <w:rsid w:val="004C294D"/>
    <w:rsid w:val="004C4E1D"/>
    <w:rsid w:val="004D0A5B"/>
    <w:rsid w:val="004D5CEE"/>
    <w:rsid w:val="004D73D6"/>
    <w:rsid w:val="004D772A"/>
    <w:rsid w:val="004D7F55"/>
    <w:rsid w:val="004F0EC9"/>
    <w:rsid w:val="004F3857"/>
    <w:rsid w:val="004F7EBD"/>
    <w:rsid w:val="00500F3B"/>
    <w:rsid w:val="00505560"/>
    <w:rsid w:val="00507AAB"/>
    <w:rsid w:val="00512350"/>
    <w:rsid w:val="005147D1"/>
    <w:rsid w:val="00532408"/>
    <w:rsid w:val="0053527F"/>
    <w:rsid w:val="005379C3"/>
    <w:rsid w:val="00541382"/>
    <w:rsid w:val="00541E3C"/>
    <w:rsid w:val="00547741"/>
    <w:rsid w:val="00550E5B"/>
    <w:rsid w:val="0055218B"/>
    <w:rsid w:val="00552EF1"/>
    <w:rsid w:val="00557B65"/>
    <w:rsid w:val="0056103A"/>
    <w:rsid w:val="005611C6"/>
    <w:rsid w:val="00561848"/>
    <w:rsid w:val="005628BB"/>
    <w:rsid w:val="00563345"/>
    <w:rsid w:val="0056445A"/>
    <w:rsid w:val="00564B99"/>
    <w:rsid w:val="005669C3"/>
    <w:rsid w:val="00567B7F"/>
    <w:rsid w:val="00572596"/>
    <w:rsid w:val="00580751"/>
    <w:rsid w:val="00581136"/>
    <w:rsid w:val="00581B21"/>
    <w:rsid w:val="0058281A"/>
    <w:rsid w:val="00582D93"/>
    <w:rsid w:val="00583092"/>
    <w:rsid w:val="005858B9"/>
    <w:rsid w:val="00590AFD"/>
    <w:rsid w:val="00591163"/>
    <w:rsid w:val="005957FB"/>
    <w:rsid w:val="0059721D"/>
    <w:rsid w:val="005A5CBD"/>
    <w:rsid w:val="005A644B"/>
    <w:rsid w:val="005B018F"/>
    <w:rsid w:val="005B44FF"/>
    <w:rsid w:val="005B680E"/>
    <w:rsid w:val="005C07C6"/>
    <w:rsid w:val="005C3B58"/>
    <w:rsid w:val="005C70D1"/>
    <w:rsid w:val="005D1325"/>
    <w:rsid w:val="005D3A69"/>
    <w:rsid w:val="005E0E6C"/>
    <w:rsid w:val="005E4AE6"/>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26DB8"/>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57D10"/>
    <w:rsid w:val="00661A38"/>
    <w:rsid w:val="00662EDF"/>
    <w:rsid w:val="0066378D"/>
    <w:rsid w:val="00665488"/>
    <w:rsid w:val="00667742"/>
    <w:rsid w:val="0067044E"/>
    <w:rsid w:val="00670B6A"/>
    <w:rsid w:val="00672552"/>
    <w:rsid w:val="006734F3"/>
    <w:rsid w:val="00674A20"/>
    <w:rsid w:val="00675194"/>
    <w:rsid w:val="0067575B"/>
    <w:rsid w:val="0068047E"/>
    <w:rsid w:val="00682887"/>
    <w:rsid w:val="00685F73"/>
    <w:rsid w:val="00686535"/>
    <w:rsid w:val="0069023F"/>
    <w:rsid w:val="006952DF"/>
    <w:rsid w:val="00697B35"/>
    <w:rsid w:val="006A54F4"/>
    <w:rsid w:val="006B0F89"/>
    <w:rsid w:val="006B1E29"/>
    <w:rsid w:val="006B4850"/>
    <w:rsid w:val="006B4E7A"/>
    <w:rsid w:val="006B7811"/>
    <w:rsid w:val="006C0719"/>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47CC"/>
    <w:rsid w:val="006F4936"/>
    <w:rsid w:val="006F5D15"/>
    <w:rsid w:val="0070043F"/>
    <w:rsid w:val="00700DAD"/>
    <w:rsid w:val="00710E83"/>
    <w:rsid w:val="00714824"/>
    <w:rsid w:val="007169BA"/>
    <w:rsid w:val="00716D10"/>
    <w:rsid w:val="007175A5"/>
    <w:rsid w:val="00725465"/>
    <w:rsid w:val="0072771D"/>
    <w:rsid w:val="00731ABD"/>
    <w:rsid w:val="00731F3F"/>
    <w:rsid w:val="007345B0"/>
    <w:rsid w:val="00734B5B"/>
    <w:rsid w:val="007378A5"/>
    <w:rsid w:val="00740F3E"/>
    <w:rsid w:val="00742BFC"/>
    <w:rsid w:val="007438D1"/>
    <w:rsid w:val="0074490A"/>
    <w:rsid w:val="00751F08"/>
    <w:rsid w:val="00752055"/>
    <w:rsid w:val="00752062"/>
    <w:rsid w:val="00752E4D"/>
    <w:rsid w:val="0075678E"/>
    <w:rsid w:val="00756B9E"/>
    <w:rsid w:val="00757333"/>
    <w:rsid w:val="00764357"/>
    <w:rsid w:val="00764473"/>
    <w:rsid w:val="0076536E"/>
    <w:rsid w:val="00770873"/>
    <w:rsid w:val="00770A20"/>
    <w:rsid w:val="00772D7F"/>
    <w:rsid w:val="00774F00"/>
    <w:rsid w:val="00780FC1"/>
    <w:rsid w:val="007835FC"/>
    <w:rsid w:val="007840A0"/>
    <w:rsid w:val="007902D5"/>
    <w:rsid w:val="00790468"/>
    <w:rsid w:val="00790A52"/>
    <w:rsid w:val="00790E08"/>
    <w:rsid w:val="00791774"/>
    <w:rsid w:val="007917F5"/>
    <w:rsid w:val="00795314"/>
    <w:rsid w:val="00795CC7"/>
    <w:rsid w:val="00796869"/>
    <w:rsid w:val="00797BA0"/>
    <w:rsid w:val="007A122C"/>
    <w:rsid w:val="007A16D0"/>
    <w:rsid w:val="007A3762"/>
    <w:rsid w:val="007A7631"/>
    <w:rsid w:val="007B4B6B"/>
    <w:rsid w:val="007B4D8C"/>
    <w:rsid w:val="007C13DC"/>
    <w:rsid w:val="007C4BFC"/>
    <w:rsid w:val="007C5459"/>
    <w:rsid w:val="007C561C"/>
    <w:rsid w:val="007C76DD"/>
    <w:rsid w:val="007C7E0C"/>
    <w:rsid w:val="007D1E1D"/>
    <w:rsid w:val="007D21AD"/>
    <w:rsid w:val="007D27FE"/>
    <w:rsid w:val="007D2F12"/>
    <w:rsid w:val="007D50A7"/>
    <w:rsid w:val="007D73E0"/>
    <w:rsid w:val="007E45AB"/>
    <w:rsid w:val="007F0070"/>
    <w:rsid w:val="007F3DF5"/>
    <w:rsid w:val="007F3E26"/>
    <w:rsid w:val="007F4094"/>
    <w:rsid w:val="007F4595"/>
    <w:rsid w:val="007F516F"/>
    <w:rsid w:val="007F6349"/>
    <w:rsid w:val="007F6708"/>
    <w:rsid w:val="007F7733"/>
    <w:rsid w:val="0080604D"/>
    <w:rsid w:val="008073FA"/>
    <w:rsid w:val="008106DA"/>
    <w:rsid w:val="0081408C"/>
    <w:rsid w:val="0081494C"/>
    <w:rsid w:val="00817A5B"/>
    <w:rsid w:val="00821B0D"/>
    <w:rsid w:val="00821D20"/>
    <w:rsid w:val="008222C1"/>
    <w:rsid w:val="00824D26"/>
    <w:rsid w:val="008273BA"/>
    <w:rsid w:val="008312D8"/>
    <w:rsid w:val="00834252"/>
    <w:rsid w:val="00837021"/>
    <w:rsid w:val="00837E38"/>
    <w:rsid w:val="00844BE1"/>
    <w:rsid w:val="00852024"/>
    <w:rsid w:val="00852061"/>
    <w:rsid w:val="00853FBC"/>
    <w:rsid w:val="008547E5"/>
    <w:rsid w:val="008604D0"/>
    <w:rsid w:val="0086366A"/>
    <w:rsid w:val="008657C3"/>
    <w:rsid w:val="00870482"/>
    <w:rsid w:val="00874173"/>
    <w:rsid w:val="008751D4"/>
    <w:rsid w:val="008760C9"/>
    <w:rsid w:val="00885072"/>
    <w:rsid w:val="0088517B"/>
    <w:rsid w:val="008852FF"/>
    <w:rsid w:val="00885E78"/>
    <w:rsid w:val="00891244"/>
    <w:rsid w:val="00891A27"/>
    <w:rsid w:val="00891AA5"/>
    <w:rsid w:val="00892B1C"/>
    <w:rsid w:val="00892C2C"/>
    <w:rsid w:val="00896B08"/>
    <w:rsid w:val="008977C1"/>
    <w:rsid w:val="008A31F8"/>
    <w:rsid w:val="008A577A"/>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1793"/>
    <w:rsid w:val="008D36FE"/>
    <w:rsid w:val="008D3831"/>
    <w:rsid w:val="008D619A"/>
    <w:rsid w:val="008E0AB7"/>
    <w:rsid w:val="008E1331"/>
    <w:rsid w:val="008E164D"/>
    <w:rsid w:val="008E43CC"/>
    <w:rsid w:val="008E5D83"/>
    <w:rsid w:val="008E5E0E"/>
    <w:rsid w:val="008F1CCA"/>
    <w:rsid w:val="008F7678"/>
    <w:rsid w:val="008F7FCF"/>
    <w:rsid w:val="009029D2"/>
    <w:rsid w:val="00903206"/>
    <w:rsid w:val="00903833"/>
    <w:rsid w:val="00903FF8"/>
    <w:rsid w:val="00905EC1"/>
    <w:rsid w:val="00907D72"/>
    <w:rsid w:val="00907E99"/>
    <w:rsid w:val="009148CD"/>
    <w:rsid w:val="009156A8"/>
    <w:rsid w:val="009231D9"/>
    <w:rsid w:val="009236B9"/>
    <w:rsid w:val="00923C0D"/>
    <w:rsid w:val="00927642"/>
    <w:rsid w:val="009368FB"/>
    <w:rsid w:val="00937D97"/>
    <w:rsid w:val="0094230A"/>
    <w:rsid w:val="00947145"/>
    <w:rsid w:val="009477DC"/>
    <w:rsid w:val="009524B3"/>
    <w:rsid w:val="00953EEC"/>
    <w:rsid w:val="00964798"/>
    <w:rsid w:val="00965575"/>
    <w:rsid w:val="009726EF"/>
    <w:rsid w:val="00976617"/>
    <w:rsid w:val="00980E0A"/>
    <w:rsid w:val="0098380A"/>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82E"/>
    <w:rsid w:val="009B2C8A"/>
    <w:rsid w:val="009B6826"/>
    <w:rsid w:val="009B771A"/>
    <w:rsid w:val="009C11C5"/>
    <w:rsid w:val="009C510F"/>
    <w:rsid w:val="009D2712"/>
    <w:rsid w:val="009D2974"/>
    <w:rsid w:val="009D2A1E"/>
    <w:rsid w:val="009D37A7"/>
    <w:rsid w:val="009D3C60"/>
    <w:rsid w:val="009D5E45"/>
    <w:rsid w:val="009E22F4"/>
    <w:rsid w:val="009E2D03"/>
    <w:rsid w:val="009E3A38"/>
    <w:rsid w:val="009E5CB0"/>
    <w:rsid w:val="009F1536"/>
    <w:rsid w:val="009F29F9"/>
    <w:rsid w:val="009F3172"/>
    <w:rsid w:val="009F349B"/>
    <w:rsid w:val="009F5469"/>
    <w:rsid w:val="009F5DC4"/>
    <w:rsid w:val="009F7DC5"/>
    <w:rsid w:val="00A015A1"/>
    <w:rsid w:val="00A025BE"/>
    <w:rsid w:val="00A02B26"/>
    <w:rsid w:val="00A03B4E"/>
    <w:rsid w:val="00A04E1A"/>
    <w:rsid w:val="00A04FD8"/>
    <w:rsid w:val="00A07534"/>
    <w:rsid w:val="00A07D36"/>
    <w:rsid w:val="00A12C7D"/>
    <w:rsid w:val="00A1341C"/>
    <w:rsid w:val="00A13ADA"/>
    <w:rsid w:val="00A13C2B"/>
    <w:rsid w:val="00A17D76"/>
    <w:rsid w:val="00A20832"/>
    <w:rsid w:val="00A24DC2"/>
    <w:rsid w:val="00A25A30"/>
    <w:rsid w:val="00A25F62"/>
    <w:rsid w:val="00A26337"/>
    <w:rsid w:val="00A35F67"/>
    <w:rsid w:val="00A433E1"/>
    <w:rsid w:val="00A4620E"/>
    <w:rsid w:val="00A52139"/>
    <w:rsid w:val="00A52B6B"/>
    <w:rsid w:val="00A52F49"/>
    <w:rsid w:val="00A535C2"/>
    <w:rsid w:val="00A56E7E"/>
    <w:rsid w:val="00A57DD6"/>
    <w:rsid w:val="00A61D21"/>
    <w:rsid w:val="00A61ED6"/>
    <w:rsid w:val="00A61EF2"/>
    <w:rsid w:val="00A622E1"/>
    <w:rsid w:val="00A62A2E"/>
    <w:rsid w:val="00A63781"/>
    <w:rsid w:val="00A65A51"/>
    <w:rsid w:val="00A70207"/>
    <w:rsid w:val="00A7268F"/>
    <w:rsid w:val="00A72F6C"/>
    <w:rsid w:val="00A75154"/>
    <w:rsid w:val="00A77E19"/>
    <w:rsid w:val="00A80C5E"/>
    <w:rsid w:val="00A8230B"/>
    <w:rsid w:val="00A83B9B"/>
    <w:rsid w:val="00A84E72"/>
    <w:rsid w:val="00A84F99"/>
    <w:rsid w:val="00A8593D"/>
    <w:rsid w:val="00A877EB"/>
    <w:rsid w:val="00A91B71"/>
    <w:rsid w:val="00A91F5C"/>
    <w:rsid w:val="00A9329C"/>
    <w:rsid w:val="00A94FB2"/>
    <w:rsid w:val="00A96946"/>
    <w:rsid w:val="00A976E9"/>
    <w:rsid w:val="00AA19BE"/>
    <w:rsid w:val="00AA2C84"/>
    <w:rsid w:val="00AA4598"/>
    <w:rsid w:val="00AA7EE3"/>
    <w:rsid w:val="00AB24BA"/>
    <w:rsid w:val="00AC74F8"/>
    <w:rsid w:val="00AD3988"/>
    <w:rsid w:val="00AD3BBA"/>
    <w:rsid w:val="00AD5C49"/>
    <w:rsid w:val="00AD62A2"/>
    <w:rsid w:val="00AD72E2"/>
    <w:rsid w:val="00AE0FA8"/>
    <w:rsid w:val="00AE78F3"/>
    <w:rsid w:val="00AF5F2B"/>
    <w:rsid w:val="00AF73A9"/>
    <w:rsid w:val="00AF7EA1"/>
    <w:rsid w:val="00B03281"/>
    <w:rsid w:val="00B07EF7"/>
    <w:rsid w:val="00B10AB8"/>
    <w:rsid w:val="00B12174"/>
    <w:rsid w:val="00B12A07"/>
    <w:rsid w:val="00B14966"/>
    <w:rsid w:val="00B1499A"/>
    <w:rsid w:val="00B1594D"/>
    <w:rsid w:val="00B17649"/>
    <w:rsid w:val="00B20DA7"/>
    <w:rsid w:val="00B3003E"/>
    <w:rsid w:val="00B36616"/>
    <w:rsid w:val="00B37A92"/>
    <w:rsid w:val="00B37EF7"/>
    <w:rsid w:val="00B40BDC"/>
    <w:rsid w:val="00B52252"/>
    <w:rsid w:val="00B52B1A"/>
    <w:rsid w:val="00B53211"/>
    <w:rsid w:val="00B56D8B"/>
    <w:rsid w:val="00B57A87"/>
    <w:rsid w:val="00B60087"/>
    <w:rsid w:val="00B62525"/>
    <w:rsid w:val="00B62D3C"/>
    <w:rsid w:val="00B6300D"/>
    <w:rsid w:val="00B6562B"/>
    <w:rsid w:val="00B65967"/>
    <w:rsid w:val="00B6689C"/>
    <w:rsid w:val="00B71890"/>
    <w:rsid w:val="00B7516B"/>
    <w:rsid w:val="00B82577"/>
    <w:rsid w:val="00B90098"/>
    <w:rsid w:val="00B94929"/>
    <w:rsid w:val="00B9763B"/>
    <w:rsid w:val="00BA4B36"/>
    <w:rsid w:val="00BA54E4"/>
    <w:rsid w:val="00BA6058"/>
    <w:rsid w:val="00BB1228"/>
    <w:rsid w:val="00BB1685"/>
    <w:rsid w:val="00BB3123"/>
    <w:rsid w:val="00BB46AF"/>
    <w:rsid w:val="00BB543C"/>
    <w:rsid w:val="00BB5CE5"/>
    <w:rsid w:val="00BC1FC3"/>
    <w:rsid w:val="00BD054C"/>
    <w:rsid w:val="00BD52AD"/>
    <w:rsid w:val="00BD5E3D"/>
    <w:rsid w:val="00BD640A"/>
    <w:rsid w:val="00BE04BB"/>
    <w:rsid w:val="00BE083D"/>
    <w:rsid w:val="00BE2ABC"/>
    <w:rsid w:val="00BE2CE7"/>
    <w:rsid w:val="00BF1C48"/>
    <w:rsid w:val="00BF4E72"/>
    <w:rsid w:val="00BF4F03"/>
    <w:rsid w:val="00BF77E2"/>
    <w:rsid w:val="00C00548"/>
    <w:rsid w:val="00C03C86"/>
    <w:rsid w:val="00C04ADE"/>
    <w:rsid w:val="00C05E6B"/>
    <w:rsid w:val="00C06325"/>
    <w:rsid w:val="00C06D60"/>
    <w:rsid w:val="00C11945"/>
    <w:rsid w:val="00C11DBB"/>
    <w:rsid w:val="00C12BB6"/>
    <w:rsid w:val="00C16AAA"/>
    <w:rsid w:val="00C2362F"/>
    <w:rsid w:val="00C23BDE"/>
    <w:rsid w:val="00C23C09"/>
    <w:rsid w:val="00C271CD"/>
    <w:rsid w:val="00C277A7"/>
    <w:rsid w:val="00C27D55"/>
    <w:rsid w:val="00C30ED9"/>
    <w:rsid w:val="00C33ACA"/>
    <w:rsid w:val="00C35558"/>
    <w:rsid w:val="00C44EA1"/>
    <w:rsid w:val="00C4690C"/>
    <w:rsid w:val="00C501E7"/>
    <w:rsid w:val="00C507C7"/>
    <w:rsid w:val="00C510FB"/>
    <w:rsid w:val="00C535E8"/>
    <w:rsid w:val="00C54C8A"/>
    <w:rsid w:val="00C56DC2"/>
    <w:rsid w:val="00C5732B"/>
    <w:rsid w:val="00C630D8"/>
    <w:rsid w:val="00C63778"/>
    <w:rsid w:val="00C64F55"/>
    <w:rsid w:val="00C657BC"/>
    <w:rsid w:val="00C70977"/>
    <w:rsid w:val="00C73650"/>
    <w:rsid w:val="00C757F9"/>
    <w:rsid w:val="00C770B9"/>
    <w:rsid w:val="00C77B4F"/>
    <w:rsid w:val="00C840F7"/>
    <w:rsid w:val="00C843D4"/>
    <w:rsid w:val="00C92590"/>
    <w:rsid w:val="00C926C0"/>
    <w:rsid w:val="00C93484"/>
    <w:rsid w:val="00CA0D22"/>
    <w:rsid w:val="00CA5F3D"/>
    <w:rsid w:val="00CB29B4"/>
    <w:rsid w:val="00CB394E"/>
    <w:rsid w:val="00CB64E9"/>
    <w:rsid w:val="00CC05EA"/>
    <w:rsid w:val="00CC0FC3"/>
    <w:rsid w:val="00CC16CA"/>
    <w:rsid w:val="00CC1E9D"/>
    <w:rsid w:val="00CC2446"/>
    <w:rsid w:val="00CC24A9"/>
    <w:rsid w:val="00CC4695"/>
    <w:rsid w:val="00CC6F35"/>
    <w:rsid w:val="00CD2970"/>
    <w:rsid w:val="00CD3208"/>
    <w:rsid w:val="00CD3C57"/>
    <w:rsid w:val="00CD3DDB"/>
    <w:rsid w:val="00CD6061"/>
    <w:rsid w:val="00CD635F"/>
    <w:rsid w:val="00CE098E"/>
    <w:rsid w:val="00CE29E5"/>
    <w:rsid w:val="00CE5E1C"/>
    <w:rsid w:val="00CE619E"/>
    <w:rsid w:val="00CE767B"/>
    <w:rsid w:val="00CF0112"/>
    <w:rsid w:val="00CF28BC"/>
    <w:rsid w:val="00CF473E"/>
    <w:rsid w:val="00CF7470"/>
    <w:rsid w:val="00D07C1F"/>
    <w:rsid w:val="00D1448A"/>
    <w:rsid w:val="00D1622A"/>
    <w:rsid w:val="00D170C5"/>
    <w:rsid w:val="00D203F2"/>
    <w:rsid w:val="00D23BE0"/>
    <w:rsid w:val="00D24C78"/>
    <w:rsid w:val="00D30A68"/>
    <w:rsid w:val="00D337A2"/>
    <w:rsid w:val="00D34EA5"/>
    <w:rsid w:val="00D40082"/>
    <w:rsid w:val="00D42745"/>
    <w:rsid w:val="00D432A2"/>
    <w:rsid w:val="00D43A59"/>
    <w:rsid w:val="00D46939"/>
    <w:rsid w:val="00D475E9"/>
    <w:rsid w:val="00D50877"/>
    <w:rsid w:val="00D5117E"/>
    <w:rsid w:val="00D51F73"/>
    <w:rsid w:val="00D52152"/>
    <w:rsid w:val="00D54B6E"/>
    <w:rsid w:val="00D5578C"/>
    <w:rsid w:val="00D56E7C"/>
    <w:rsid w:val="00D57747"/>
    <w:rsid w:val="00D57EB9"/>
    <w:rsid w:val="00D62726"/>
    <w:rsid w:val="00D63512"/>
    <w:rsid w:val="00D65E47"/>
    <w:rsid w:val="00D663D7"/>
    <w:rsid w:val="00D70C85"/>
    <w:rsid w:val="00D75216"/>
    <w:rsid w:val="00D81784"/>
    <w:rsid w:val="00D82848"/>
    <w:rsid w:val="00D85920"/>
    <w:rsid w:val="00D85F5A"/>
    <w:rsid w:val="00D92902"/>
    <w:rsid w:val="00D94EEE"/>
    <w:rsid w:val="00D95B96"/>
    <w:rsid w:val="00D96A01"/>
    <w:rsid w:val="00D96D95"/>
    <w:rsid w:val="00D97A67"/>
    <w:rsid w:val="00DA03A1"/>
    <w:rsid w:val="00DA172B"/>
    <w:rsid w:val="00DA1926"/>
    <w:rsid w:val="00DA5CD8"/>
    <w:rsid w:val="00DB1767"/>
    <w:rsid w:val="00DB4A43"/>
    <w:rsid w:val="00DB5861"/>
    <w:rsid w:val="00DB6710"/>
    <w:rsid w:val="00DC04DF"/>
    <w:rsid w:val="00DC1252"/>
    <w:rsid w:val="00DC1951"/>
    <w:rsid w:val="00DC2481"/>
    <w:rsid w:val="00DC5DD8"/>
    <w:rsid w:val="00DC6AFE"/>
    <w:rsid w:val="00DC72B3"/>
    <w:rsid w:val="00DC78DF"/>
    <w:rsid w:val="00DC7A53"/>
    <w:rsid w:val="00DD040E"/>
    <w:rsid w:val="00DD1EB3"/>
    <w:rsid w:val="00DD3536"/>
    <w:rsid w:val="00DD53CD"/>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0FD9"/>
    <w:rsid w:val="00E050D7"/>
    <w:rsid w:val="00E05585"/>
    <w:rsid w:val="00E12F48"/>
    <w:rsid w:val="00E14D20"/>
    <w:rsid w:val="00E15F6E"/>
    <w:rsid w:val="00E16CE2"/>
    <w:rsid w:val="00E1799B"/>
    <w:rsid w:val="00E30090"/>
    <w:rsid w:val="00E308A3"/>
    <w:rsid w:val="00E31BDC"/>
    <w:rsid w:val="00E37912"/>
    <w:rsid w:val="00E4038B"/>
    <w:rsid w:val="00E53A4E"/>
    <w:rsid w:val="00E54288"/>
    <w:rsid w:val="00E60698"/>
    <w:rsid w:val="00E64FBB"/>
    <w:rsid w:val="00E67ADC"/>
    <w:rsid w:val="00E67F25"/>
    <w:rsid w:val="00E7023F"/>
    <w:rsid w:val="00E704C5"/>
    <w:rsid w:val="00E731C1"/>
    <w:rsid w:val="00E73B8B"/>
    <w:rsid w:val="00E74020"/>
    <w:rsid w:val="00E805F9"/>
    <w:rsid w:val="00E810B7"/>
    <w:rsid w:val="00E81AA8"/>
    <w:rsid w:val="00E82224"/>
    <w:rsid w:val="00E8463D"/>
    <w:rsid w:val="00E86C37"/>
    <w:rsid w:val="00E86D88"/>
    <w:rsid w:val="00E903DE"/>
    <w:rsid w:val="00E90A78"/>
    <w:rsid w:val="00E90DE7"/>
    <w:rsid w:val="00E91074"/>
    <w:rsid w:val="00E9238C"/>
    <w:rsid w:val="00E92490"/>
    <w:rsid w:val="00EA039C"/>
    <w:rsid w:val="00EA300E"/>
    <w:rsid w:val="00EA3243"/>
    <w:rsid w:val="00EA661B"/>
    <w:rsid w:val="00EA6A09"/>
    <w:rsid w:val="00EA7F1F"/>
    <w:rsid w:val="00EB1AF6"/>
    <w:rsid w:val="00EB2D85"/>
    <w:rsid w:val="00EB3DC2"/>
    <w:rsid w:val="00EB5CF6"/>
    <w:rsid w:val="00EB6DCD"/>
    <w:rsid w:val="00EB7F8A"/>
    <w:rsid w:val="00EC0735"/>
    <w:rsid w:val="00EC2B79"/>
    <w:rsid w:val="00EC67E6"/>
    <w:rsid w:val="00ED3BAE"/>
    <w:rsid w:val="00ED3F68"/>
    <w:rsid w:val="00EE00E2"/>
    <w:rsid w:val="00EE0611"/>
    <w:rsid w:val="00EE205F"/>
    <w:rsid w:val="00EE2E1C"/>
    <w:rsid w:val="00EE4A35"/>
    <w:rsid w:val="00EE6735"/>
    <w:rsid w:val="00EE7123"/>
    <w:rsid w:val="00EF116E"/>
    <w:rsid w:val="00EF1271"/>
    <w:rsid w:val="00EF20B6"/>
    <w:rsid w:val="00EF3A7B"/>
    <w:rsid w:val="00EF51F6"/>
    <w:rsid w:val="00EF561A"/>
    <w:rsid w:val="00EF66AE"/>
    <w:rsid w:val="00F01C4A"/>
    <w:rsid w:val="00F05329"/>
    <w:rsid w:val="00F11673"/>
    <w:rsid w:val="00F11FE9"/>
    <w:rsid w:val="00F15D88"/>
    <w:rsid w:val="00F224DE"/>
    <w:rsid w:val="00F23E9A"/>
    <w:rsid w:val="00F25318"/>
    <w:rsid w:val="00F328B8"/>
    <w:rsid w:val="00F34707"/>
    <w:rsid w:val="00F36664"/>
    <w:rsid w:val="00F3710E"/>
    <w:rsid w:val="00F405CA"/>
    <w:rsid w:val="00F443AA"/>
    <w:rsid w:val="00F453E1"/>
    <w:rsid w:val="00F56B63"/>
    <w:rsid w:val="00F646D9"/>
    <w:rsid w:val="00F64EE8"/>
    <w:rsid w:val="00F65B6B"/>
    <w:rsid w:val="00F66469"/>
    <w:rsid w:val="00F70083"/>
    <w:rsid w:val="00F7383E"/>
    <w:rsid w:val="00F73CCB"/>
    <w:rsid w:val="00F81335"/>
    <w:rsid w:val="00F84E7A"/>
    <w:rsid w:val="00F8666C"/>
    <w:rsid w:val="00F87733"/>
    <w:rsid w:val="00F92B1C"/>
    <w:rsid w:val="00F92C2C"/>
    <w:rsid w:val="00F9459C"/>
    <w:rsid w:val="00F95AED"/>
    <w:rsid w:val="00F96515"/>
    <w:rsid w:val="00F96CE6"/>
    <w:rsid w:val="00FA0B1C"/>
    <w:rsid w:val="00FA2833"/>
    <w:rsid w:val="00FA32DC"/>
    <w:rsid w:val="00FA37D1"/>
    <w:rsid w:val="00FA4948"/>
    <w:rsid w:val="00FA5414"/>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436E"/>
    <w:rsid w:val="00FE5D97"/>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A456B5"/>
  <w15:docId w15:val="{80638D54-799F-4C04-BC41-553CC732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858"/>
      <w:jc w:val="both"/>
    </w:pPr>
    <w:rPr>
      <w:b w:val="0"/>
      <w:sz w:val="24"/>
      <w:szCs w:val="24"/>
    </w:rPr>
  </w:style>
  <w:style w:type="paragraph" w:customStyle="1" w:styleId="TCBodyafterH2">
    <w:name w:val="T&amp;C Body after H2"/>
    <w:basedOn w:val="TCHeading2"/>
    <w:autoRedefine/>
    <w:qFormat/>
    <w:rsid w:val="00EE7123"/>
    <w:pPr>
      <w:numPr>
        <w:ilvl w:val="2"/>
      </w:numPr>
      <w:tabs>
        <w:tab w:val="clear" w:pos="709"/>
        <w:tab w:val="left" w:pos="1985"/>
      </w:tabs>
      <w:spacing w:after="120"/>
      <w:ind w:left="1985" w:hanging="1134"/>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 w:type="paragraph" w:styleId="BodyTextIndent">
    <w:name w:val="Body Text Indent"/>
    <w:basedOn w:val="Normal"/>
    <w:link w:val="BodyTextIndentChar"/>
    <w:rsid w:val="00422B38"/>
    <w:pPr>
      <w:ind w:left="720"/>
    </w:pPr>
    <w:rPr>
      <w:szCs w:val="20"/>
      <w:lang w:eastAsia="en-US"/>
    </w:rPr>
  </w:style>
  <w:style w:type="character" w:customStyle="1" w:styleId="BodyTextIndentChar">
    <w:name w:val="Body Text Indent Char"/>
    <w:basedOn w:val="DefaultParagraphFont"/>
    <w:link w:val="BodyTextIndent"/>
    <w:rsid w:val="00422B38"/>
    <w:rPr>
      <w:sz w:val="24"/>
      <w:lang w:eastAsia="en-US"/>
    </w:rPr>
  </w:style>
  <w:style w:type="paragraph" w:styleId="BodyTextIndent3">
    <w:name w:val="Body Text Indent 3"/>
    <w:basedOn w:val="Normal"/>
    <w:link w:val="BodyTextIndent3Char"/>
    <w:uiPriority w:val="99"/>
    <w:semiHidden/>
    <w:unhideWhenUsed/>
    <w:rsid w:val="000338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38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11561203">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catalogue_detail.htm?csnumber=520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3.org/standards/webdesign/" TargetMode="External"/><Relationship Id="rId4" Type="http://schemas.openxmlformats.org/officeDocument/2006/relationships/settings" Target="settings.xml"/><Relationship Id="rId9" Type="http://schemas.openxmlformats.org/officeDocument/2006/relationships/hyperlink" Target="https://www.gov.uk/service-manual/user-centred-design/accessi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05620-D721-41E8-8CD6-44098764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CFB9DBEA</Template>
  <TotalTime>1</TotalTime>
  <Pages>17</Pages>
  <Words>3495</Words>
  <Characters>19739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Caroline Vickers</cp:lastModifiedBy>
  <cp:revision>2</cp:revision>
  <cp:lastPrinted>2016-08-01T09:45:00Z</cp:lastPrinted>
  <dcterms:created xsi:type="dcterms:W3CDTF">2019-04-12T15:57:00Z</dcterms:created>
  <dcterms:modified xsi:type="dcterms:W3CDTF">2019-04-12T15:57:00Z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