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F547F" w14:textId="77777777" w:rsidR="002E0330" w:rsidRDefault="002E0330" w:rsidP="002E0330">
      <w:pPr>
        <w:pStyle w:val="Default"/>
      </w:pPr>
    </w:p>
    <w:p w14:paraId="07096FA5" w14:textId="77777777" w:rsidR="002E0330" w:rsidRPr="003B2BC7" w:rsidRDefault="002E0330" w:rsidP="002E0330">
      <w:pPr>
        <w:pStyle w:val="Default"/>
        <w:rPr>
          <w:b/>
          <w:bCs/>
        </w:rPr>
      </w:pPr>
      <w:r>
        <w:t xml:space="preserve"> </w:t>
      </w:r>
      <w:r w:rsidRPr="003B2BC7">
        <w:rPr>
          <w:b/>
          <w:bCs/>
        </w:rPr>
        <w:t xml:space="preserve">NATIONAL INSTITUTE FOR HEALTH AND CARE EXCELLENCE </w:t>
      </w:r>
    </w:p>
    <w:p w14:paraId="37294408" w14:textId="77777777" w:rsidR="002E0330" w:rsidRPr="003B2BC7" w:rsidRDefault="002E0330" w:rsidP="002E0330">
      <w:pPr>
        <w:pStyle w:val="Default"/>
      </w:pPr>
    </w:p>
    <w:p w14:paraId="100CC8D0" w14:textId="0F20062C" w:rsidR="002E0330" w:rsidRPr="003B2BC7" w:rsidRDefault="002E0330" w:rsidP="002E0330">
      <w:pPr>
        <w:pStyle w:val="Default"/>
        <w:jc w:val="center"/>
      </w:pPr>
      <w:r w:rsidRPr="003B2BC7">
        <w:rPr>
          <w:b/>
          <w:bCs/>
        </w:rPr>
        <w:t>Guidance Executive</w:t>
      </w:r>
    </w:p>
    <w:p w14:paraId="55808C0F" w14:textId="5A99702B" w:rsidR="002E0330" w:rsidRPr="003B2BC7" w:rsidRDefault="002E0330" w:rsidP="002E0330">
      <w:pPr>
        <w:pStyle w:val="Default"/>
        <w:jc w:val="center"/>
        <w:rPr>
          <w:b/>
          <w:bCs/>
        </w:rPr>
      </w:pPr>
      <w:r w:rsidRPr="003B2BC7">
        <w:rPr>
          <w:b/>
          <w:bCs/>
        </w:rPr>
        <w:t>Terms of reference and standing orders</w:t>
      </w:r>
    </w:p>
    <w:p w14:paraId="45FCD263" w14:textId="77777777" w:rsidR="002E0330" w:rsidRPr="003B2BC7" w:rsidRDefault="002E0330" w:rsidP="002E0330">
      <w:pPr>
        <w:pStyle w:val="Default"/>
      </w:pPr>
    </w:p>
    <w:p w14:paraId="3F89F3A4" w14:textId="77777777" w:rsidR="002E0330" w:rsidRDefault="002E0330" w:rsidP="002E0330">
      <w:pPr>
        <w:pStyle w:val="Default"/>
        <w:rPr>
          <w:b/>
          <w:bCs/>
        </w:rPr>
      </w:pPr>
      <w:r w:rsidRPr="003B2BC7">
        <w:rPr>
          <w:b/>
          <w:bCs/>
        </w:rPr>
        <w:t xml:space="preserve">Terms of reference </w:t>
      </w:r>
    </w:p>
    <w:p w14:paraId="593EFA04" w14:textId="47013DDF" w:rsidR="00BC69B1" w:rsidRDefault="00D34C30" w:rsidP="002E0330">
      <w:pPr>
        <w:pStyle w:val="Default"/>
      </w:pPr>
      <w:r>
        <w:t xml:space="preserve">The Guidance Executive is constituted as a standing </w:t>
      </w:r>
      <w:r w:rsidR="009A1D1F">
        <w:t>g</w:t>
      </w:r>
      <w:r>
        <w:t>roup of NICE and</w:t>
      </w:r>
      <w:r w:rsidR="00306455">
        <w:t xml:space="preserve"> </w:t>
      </w:r>
      <w:r>
        <w:t>reports</w:t>
      </w:r>
      <w:r w:rsidR="00136CD0">
        <w:t xml:space="preserve"> </w:t>
      </w:r>
      <w:r>
        <w:t>to the Executive Team (ET)</w:t>
      </w:r>
      <w:r w:rsidR="007E6F72">
        <w:t xml:space="preserve">.  </w:t>
      </w:r>
      <w:r>
        <w:t xml:space="preserve">Its constitution and terms of reference </w:t>
      </w:r>
      <w:r w:rsidR="00136CD0">
        <w:t>are</w:t>
      </w:r>
      <w:r>
        <w:t xml:space="preserve"> set out</w:t>
      </w:r>
      <w:r w:rsidR="00136CD0">
        <w:t xml:space="preserve"> as</w:t>
      </w:r>
      <w:r>
        <w:t xml:space="preserve"> below.</w:t>
      </w:r>
    </w:p>
    <w:p w14:paraId="162EDA5F" w14:textId="77777777" w:rsidR="00D34C30" w:rsidRPr="003B2BC7" w:rsidRDefault="00D34C30" w:rsidP="002E0330">
      <w:pPr>
        <w:pStyle w:val="Default"/>
      </w:pPr>
    </w:p>
    <w:p w14:paraId="16EFF7C0" w14:textId="7D962A4C" w:rsidR="007219BB" w:rsidRPr="003B2BC7" w:rsidRDefault="002E0330" w:rsidP="009B42CE">
      <w:pPr>
        <w:pStyle w:val="Default"/>
      </w:pPr>
      <w:r w:rsidRPr="003B2BC7">
        <w:t xml:space="preserve">The Guidance Executive is responsible for: </w:t>
      </w:r>
    </w:p>
    <w:p w14:paraId="1A303515" w14:textId="77777777" w:rsidR="007219BB" w:rsidRPr="003B2BC7" w:rsidRDefault="007219BB" w:rsidP="00F27682">
      <w:pPr>
        <w:pStyle w:val="Default"/>
      </w:pPr>
    </w:p>
    <w:p w14:paraId="2A54AC67" w14:textId="6BA4531D" w:rsidR="002E0330" w:rsidRPr="003B2BC7" w:rsidRDefault="002E0330" w:rsidP="009B42CE">
      <w:pPr>
        <w:pStyle w:val="Default"/>
        <w:numPr>
          <w:ilvl w:val="0"/>
          <w:numId w:val="32"/>
        </w:numPr>
        <w:tabs>
          <w:tab w:val="left" w:pos="284"/>
        </w:tabs>
        <w:ind w:left="284" w:hanging="284"/>
      </w:pPr>
      <w:r w:rsidRPr="003B2BC7">
        <w:t xml:space="preserve">Approving, on behalf of the Board, NICE guidance, advice and other products including: </w:t>
      </w:r>
    </w:p>
    <w:p w14:paraId="0D66AC62" w14:textId="77777777" w:rsidR="002E0330" w:rsidRPr="003B2BC7" w:rsidRDefault="002E0330" w:rsidP="002E0330">
      <w:pPr>
        <w:pStyle w:val="Default"/>
        <w:numPr>
          <w:ilvl w:val="1"/>
          <w:numId w:val="25"/>
        </w:numPr>
      </w:pPr>
    </w:p>
    <w:p w14:paraId="36EFF196" w14:textId="0468C5E1" w:rsidR="002E0330" w:rsidRPr="003B2BC7" w:rsidRDefault="002E0330" w:rsidP="000833A9">
      <w:pPr>
        <w:pStyle w:val="Default"/>
        <w:numPr>
          <w:ilvl w:val="0"/>
          <w:numId w:val="28"/>
        </w:numPr>
      </w:pPr>
      <w:r w:rsidRPr="003B2BC7">
        <w:t>Guidelines</w:t>
      </w:r>
    </w:p>
    <w:p w14:paraId="2E13D3FF" w14:textId="2D0BD005" w:rsidR="002E0330" w:rsidRPr="003B2BC7" w:rsidRDefault="002E0330" w:rsidP="000833A9">
      <w:pPr>
        <w:pStyle w:val="Default"/>
        <w:numPr>
          <w:ilvl w:val="0"/>
          <w:numId w:val="28"/>
        </w:numPr>
      </w:pPr>
      <w:r w:rsidRPr="003B2BC7">
        <w:t>Guidance produced by the Centre for Health Technology Evaluation (technology appraisals, highly specialised technology guidance, interventional procedures guidance, medical technologies guidance, diagnostics guidance)</w:t>
      </w:r>
    </w:p>
    <w:p w14:paraId="49B8A292" w14:textId="39021675" w:rsidR="002E0330" w:rsidRPr="003B2BC7" w:rsidRDefault="002E0330" w:rsidP="000833A9">
      <w:pPr>
        <w:pStyle w:val="Default"/>
        <w:numPr>
          <w:ilvl w:val="0"/>
          <w:numId w:val="28"/>
        </w:numPr>
      </w:pPr>
      <w:r w:rsidRPr="003B2BC7">
        <w:t>Quality standards</w:t>
      </w:r>
    </w:p>
    <w:p w14:paraId="4B419913" w14:textId="2C0FDE7B" w:rsidR="002E0330" w:rsidRPr="003B2BC7" w:rsidRDefault="002E0330" w:rsidP="000833A9">
      <w:pPr>
        <w:pStyle w:val="Default"/>
        <w:numPr>
          <w:ilvl w:val="0"/>
          <w:numId w:val="28"/>
        </w:numPr>
      </w:pPr>
      <w:r w:rsidRPr="003B2BC7">
        <w:t>Associated digital content</w:t>
      </w:r>
    </w:p>
    <w:p w14:paraId="3F821CC3" w14:textId="77777777" w:rsidR="00A1603B" w:rsidRDefault="002E0330" w:rsidP="000833A9">
      <w:pPr>
        <w:pStyle w:val="Default"/>
        <w:numPr>
          <w:ilvl w:val="0"/>
          <w:numId w:val="28"/>
        </w:numPr>
        <w:spacing w:after="301"/>
      </w:pPr>
      <w:r w:rsidRPr="003B2BC7">
        <w:t xml:space="preserve">Other publications at the discretion of the Guidance Executive Chair </w:t>
      </w:r>
    </w:p>
    <w:p w14:paraId="2E9A462B" w14:textId="10B65FB3" w:rsidR="002E0330" w:rsidRPr="003B2BC7" w:rsidRDefault="002E0330" w:rsidP="009B42CE">
      <w:pPr>
        <w:pStyle w:val="Default"/>
        <w:spacing w:after="301"/>
        <w:ind w:left="284" w:hanging="284"/>
      </w:pPr>
      <w:r w:rsidRPr="003B2BC7">
        <w:t>b. Consulting on, and making decisions about, variations to the funding requirement for technologies assessed by the technology appraisal and highly specialised technologies programmes.</w:t>
      </w:r>
    </w:p>
    <w:p w14:paraId="6F82B869" w14:textId="1280E340" w:rsidR="002E0330" w:rsidRPr="003B2BC7" w:rsidRDefault="002E0330" w:rsidP="001B28A3">
      <w:pPr>
        <w:pStyle w:val="Default"/>
        <w:spacing w:after="301"/>
        <w:ind w:left="284" w:hanging="284"/>
      </w:pPr>
      <w:r w:rsidRPr="003B2BC7">
        <w:t xml:space="preserve">c. </w:t>
      </w:r>
      <w:r w:rsidR="001B28A3" w:rsidRPr="003B2BC7">
        <w:tab/>
      </w:r>
      <w:r w:rsidRPr="003B2BC7">
        <w:t xml:space="preserve">Receiving and </w:t>
      </w:r>
      <w:proofErr w:type="gramStart"/>
      <w:r w:rsidRPr="003B2BC7">
        <w:t>taking action</w:t>
      </w:r>
      <w:proofErr w:type="gramEnd"/>
      <w:r w:rsidRPr="003B2BC7">
        <w:t xml:space="preserve"> on appeal decisions regarding the technology appraisal and highly specialised technologies programmes. </w:t>
      </w:r>
    </w:p>
    <w:p w14:paraId="04E9775B" w14:textId="66D64FF9" w:rsidR="002E0330" w:rsidRDefault="002E0330" w:rsidP="001B28A3">
      <w:pPr>
        <w:pStyle w:val="Default"/>
        <w:ind w:left="284" w:hanging="284"/>
      </w:pPr>
      <w:r w:rsidRPr="003B2BC7">
        <w:t xml:space="preserve">d. </w:t>
      </w:r>
      <w:r w:rsidR="00E4375A" w:rsidRPr="003B2BC7">
        <w:tab/>
      </w:r>
      <w:r w:rsidRPr="003B2BC7">
        <w:t xml:space="preserve">Agreeing any changes to NICE’s methods and processes for guidance development prior to approval by the Board (subject to the need for Board approval and public consultation). </w:t>
      </w:r>
    </w:p>
    <w:p w14:paraId="63EA4639" w14:textId="77777777" w:rsidR="008F0349" w:rsidRDefault="008F0349" w:rsidP="001B28A3">
      <w:pPr>
        <w:pStyle w:val="Default"/>
        <w:ind w:left="284" w:hanging="284"/>
      </w:pPr>
    </w:p>
    <w:p w14:paraId="549AB803" w14:textId="7642DE16" w:rsidR="00713756" w:rsidRDefault="008F0349" w:rsidP="001B28A3">
      <w:pPr>
        <w:pStyle w:val="Default"/>
        <w:ind w:left="284" w:hanging="284"/>
      </w:pPr>
      <w:r>
        <w:t>e</w:t>
      </w:r>
      <w:r w:rsidR="00713756">
        <w:t>.</w:t>
      </w:r>
      <w:r w:rsidR="00713756">
        <w:tab/>
      </w:r>
      <w:r w:rsidR="00C96F1B">
        <w:t>Overseei</w:t>
      </w:r>
      <w:r w:rsidR="00713756">
        <w:t>ng the topic selection and prioritisation process at NICE.</w:t>
      </w:r>
    </w:p>
    <w:p w14:paraId="3D186466" w14:textId="77777777" w:rsidR="00713756" w:rsidRDefault="00713756" w:rsidP="001B28A3">
      <w:pPr>
        <w:pStyle w:val="Default"/>
        <w:ind w:left="284" w:hanging="284"/>
      </w:pPr>
    </w:p>
    <w:p w14:paraId="335B8B36" w14:textId="2F9CD9B2" w:rsidR="00A23A64" w:rsidRPr="003B2BC7" w:rsidRDefault="00713756" w:rsidP="00852514">
      <w:pPr>
        <w:pStyle w:val="Default"/>
        <w:ind w:left="284" w:hanging="284"/>
      </w:pPr>
      <w:r>
        <w:t>f.</w:t>
      </w:r>
      <w:r w:rsidR="00A23A64">
        <w:tab/>
      </w:r>
      <w:r>
        <w:t xml:space="preserve">Overseeing the arrangements for </w:t>
      </w:r>
      <w:r w:rsidR="00A23A64">
        <w:t>patient safety</w:t>
      </w:r>
      <w:r w:rsidR="3C4C5071">
        <w:t>.</w:t>
      </w:r>
    </w:p>
    <w:p w14:paraId="12B51EF3" w14:textId="77790074" w:rsidR="17A96A25" w:rsidRDefault="17A96A25" w:rsidP="17A96A25">
      <w:pPr>
        <w:pStyle w:val="Default"/>
        <w:ind w:left="284" w:hanging="284"/>
      </w:pPr>
    </w:p>
    <w:p w14:paraId="71AB27FD" w14:textId="77777777" w:rsidR="0094134F" w:rsidRDefault="002E0330" w:rsidP="00E4375A">
      <w:pPr>
        <w:pStyle w:val="Default"/>
        <w:spacing w:after="304"/>
        <w:ind w:left="284" w:hanging="284"/>
      </w:pPr>
      <w:r w:rsidRPr="003B2BC7">
        <w:t xml:space="preserve">2. The Guidance Executive will: </w:t>
      </w:r>
    </w:p>
    <w:p w14:paraId="5FA06ADE" w14:textId="1427D5F8" w:rsidR="002E0330" w:rsidRPr="003B2BC7" w:rsidRDefault="00332F50" w:rsidP="001B28A3">
      <w:pPr>
        <w:pStyle w:val="Default"/>
        <w:spacing w:after="304"/>
      </w:pPr>
      <w:r>
        <w:t xml:space="preserve">a) </w:t>
      </w:r>
      <w:r w:rsidR="002E0330" w:rsidRPr="003B2BC7">
        <w:t xml:space="preserve">Ensure discussion of contentious issues at early stage. </w:t>
      </w:r>
    </w:p>
    <w:p w14:paraId="2830A68F" w14:textId="315480D2" w:rsidR="002E0330" w:rsidRPr="003B2BC7" w:rsidRDefault="008D2F35" w:rsidP="004B523A">
      <w:pPr>
        <w:pStyle w:val="Default"/>
        <w:spacing w:after="304"/>
        <w:ind w:left="284" w:hanging="284"/>
      </w:pPr>
      <w:r>
        <w:t>b</w:t>
      </w:r>
      <w:r w:rsidR="00332F50">
        <w:t xml:space="preserve">) </w:t>
      </w:r>
      <w:r w:rsidR="002E0330" w:rsidRPr="003B2BC7">
        <w:t xml:space="preserve">Ensure implementation and patient safety considerations inform guidance production. </w:t>
      </w:r>
    </w:p>
    <w:p w14:paraId="6D72829B" w14:textId="34414CAE" w:rsidR="002E0330" w:rsidRDefault="008D2F35" w:rsidP="00223720">
      <w:pPr>
        <w:pStyle w:val="Default"/>
        <w:ind w:left="284" w:hanging="284"/>
      </w:pPr>
      <w:r>
        <w:t>c</w:t>
      </w:r>
      <w:r w:rsidR="00332F50">
        <w:t xml:space="preserve">) </w:t>
      </w:r>
      <w:r w:rsidR="002E0330" w:rsidRPr="003B2BC7">
        <w:t xml:space="preserve">Commission and review cross cutting resources related to guidance (e.g., health inequalities, productivity). </w:t>
      </w:r>
    </w:p>
    <w:p w14:paraId="13EA34A7" w14:textId="77777777" w:rsidR="006066FF" w:rsidRDefault="006066FF" w:rsidP="00223720">
      <w:pPr>
        <w:pStyle w:val="Default"/>
        <w:ind w:left="284" w:hanging="284"/>
      </w:pPr>
    </w:p>
    <w:p w14:paraId="11BD372C" w14:textId="30C17F14" w:rsidR="008D2F35" w:rsidRPr="003B2BC7" w:rsidRDefault="008D2F35" w:rsidP="008D2F35">
      <w:pPr>
        <w:pStyle w:val="Default"/>
        <w:ind w:left="284" w:hanging="284"/>
      </w:pPr>
      <w:r>
        <w:t>d)</w:t>
      </w:r>
      <w:r>
        <w:tab/>
      </w:r>
      <w:r w:rsidR="00887D26" w:rsidRPr="00E36D21">
        <w:t xml:space="preserve">Receive </w:t>
      </w:r>
      <w:r w:rsidR="004519BB" w:rsidRPr="00B9344F">
        <w:t>monthly progress report</w:t>
      </w:r>
      <w:r w:rsidR="0034244A" w:rsidRPr="00B9344F">
        <w:t>s</w:t>
      </w:r>
      <w:r w:rsidR="004519BB" w:rsidRPr="00B9344F">
        <w:t xml:space="preserve"> from</w:t>
      </w:r>
      <w:r w:rsidR="00F12CC6" w:rsidRPr="00B9344F">
        <w:t xml:space="preserve"> the prioritisation board</w:t>
      </w:r>
      <w:r w:rsidR="00B812A3">
        <w:t>.</w:t>
      </w:r>
    </w:p>
    <w:p w14:paraId="5AEF42C3" w14:textId="77777777" w:rsidR="008D2F35" w:rsidRDefault="008D2F35" w:rsidP="00223720">
      <w:pPr>
        <w:pStyle w:val="Default"/>
        <w:ind w:left="284" w:hanging="284"/>
      </w:pPr>
    </w:p>
    <w:p w14:paraId="74E5D0ED" w14:textId="59FE2DDF" w:rsidR="006D6B6D" w:rsidRDefault="006066FF" w:rsidP="00853F85">
      <w:pPr>
        <w:ind w:left="426" w:hanging="426"/>
        <w:rPr>
          <w:rFonts w:ascii="Arial" w:hAnsi="Arial" w:cs="Arial"/>
        </w:rPr>
      </w:pPr>
      <w:r w:rsidRPr="4AA25F8F">
        <w:rPr>
          <w:rFonts w:ascii="Arial" w:hAnsi="Arial" w:cs="Arial"/>
        </w:rPr>
        <w:t xml:space="preserve">e) </w:t>
      </w:r>
      <w:r w:rsidR="006D6B6D" w:rsidRPr="00B9344F">
        <w:rPr>
          <w:rFonts w:ascii="Arial" w:hAnsi="Arial" w:cs="Arial"/>
        </w:rPr>
        <w:t xml:space="preserve">Sign off the prioritisation </w:t>
      </w:r>
      <w:r w:rsidR="00853F85" w:rsidRPr="00B9344F">
        <w:rPr>
          <w:rFonts w:ascii="Arial" w:hAnsi="Arial" w:cs="Arial"/>
        </w:rPr>
        <w:t>manual,</w:t>
      </w:r>
      <w:r w:rsidR="006D6B6D" w:rsidRPr="00B9344F">
        <w:rPr>
          <w:rFonts w:ascii="Arial" w:hAnsi="Arial" w:cs="Arial"/>
        </w:rPr>
        <w:t xml:space="preserve"> strategic principles for public health, social care and rare diseases a</w:t>
      </w:r>
      <w:r w:rsidR="00853F85" w:rsidRPr="00B9344F">
        <w:rPr>
          <w:rFonts w:ascii="Arial" w:hAnsi="Arial" w:cs="Arial"/>
        </w:rPr>
        <w:t>nd</w:t>
      </w:r>
      <w:r w:rsidR="009272D4" w:rsidRPr="00B9344F">
        <w:rPr>
          <w:rFonts w:ascii="Arial" w:hAnsi="Arial" w:cs="Arial"/>
        </w:rPr>
        <w:t xml:space="preserve"> receive for </w:t>
      </w:r>
      <w:r w:rsidR="00BF7097" w:rsidRPr="00B9344F">
        <w:rPr>
          <w:rFonts w:ascii="Arial" w:hAnsi="Arial" w:cs="Arial"/>
        </w:rPr>
        <w:t>discussion the</w:t>
      </w:r>
      <w:r w:rsidR="006D6B6D" w:rsidRPr="00B9344F">
        <w:rPr>
          <w:rFonts w:ascii="Arial" w:hAnsi="Arial" w:cs="Arial"/>
        </w:rPr>
        <w:t xml:space="preserve"> annual ‘Forward view’ for the prioritisation board.</w:t>
      </w:r>
    </w:p>
    <w:p w14:paraId="4DE4A376" w14:textId="77777777" w:rsidR="00F520A7" w:rsidRDefault="00F520A7" w:rsidP="00853F85">
      <w:pPr>
        <w:ind w:left="426" w:hanging="426"/>
        <w:rPr>
          <w:rFonts w:ascii="Arial" w:hAnsi="Arial" w:cs="Arial"/>
        </w:rPr>
      </w:pPr>
    </w:p>
    <w:p w14:paraId="44701F87" w14:textId="1DA15E6D" w:rsidR="00F520A7" w:rsidRDefault="00F520A7" w:rsidP="00853F85">
      <w:pPr>
        <w:ind w:left="426" w:hanging="426"/>
        <w:rPr>
          <w:rFonts w:ascii="Arial" w:hAnsi="Arial" w:cs="Arial"/>
        </w:rPr>
      </w:pPr>
      <w:r>
        <w:rPr>
          <w:rFonts w:ascii="Arial" w:hAnsi="Arial" w:cs="Arial"/>
        </w:rPr>
        <w:t xml:space="preserve">f) Receive </w:t>
      </w:r>
      <w:r w:rsidR="00CA1ACE">
        <w:rPr>
          <w:rFonts w:ascii="Arial" w:hAnsi="Arial" w:cs="Arial"/>
        </w:rPr>
        <w:t>an annual report from the patient safety committee.</w:t>
      </w:r>
    </w:p>
    <w:p w14:paraId="6BDBEA82" w14:textId="77777777" w:rsidR="00CA1ACE" w:rsidRDefault="00CA1ACE" w:rsidP="00853F85">
      <w:pPr>
        <w:ind w:left="426" w:hanging="426"/>
        <w:rPr>
          <w:rFonts w:ascii="Arial" w:hAnsi="Arial" w:cs="Arial"/>
        </w:rPr>
      </w:pPr>
    </w:p>
    <w:p w14:paraId="4C036785" w14:textId="77777777" w:rsidR="00970E6A" w:rsidRPr="003B2BC7" w:rsidRDefault="00970E6A" w:rsidP="002E0330">
      <w:pPr>
        <w:pStyle w:val="Default"/>
        <w:spacing w:after="318"/>
        <w:rPr>
          <w:color w:val="auto"/>
        </w:rPr>
      </w:pPr>
    </w:p>
    <w:p w14:paraId="1012B15F" w14:textId="3A6EE992" w:rsidR="002E0330" w:rsidRPr="003B2BC7" w:rsidRDefault="002E0330" w:rsidP="00223720">
      <w:pPr>
        <w:pStyle w:val="Default"/>
        <w:spacing w:after="318"/>
        <w:ind w:left="284" w:hanging="284"/>
        <w:rPr>
          <w:color w:val="auto"/>
        </w:rPr>
      </w:pPr>
      <w:r w:rsidRPr="003B2BC7">
        <w:rPr>
          <w:color w:val="auto"/>
        </w:rPr>
        <w:t xml:space="preserve">3. In reviewing proposed guidance, the Guidance Executive ensures it is satisfied that: </w:t>
      </w:r>
    </w:p>
    <w:p w14:paraId="382B502B" w14:textId="105B4FE6" w:rsidR="002E0330" w:rsidRPr="003B2BC7" w:rsidRDefault="002E0330" w:rsidP="003D1751">
      <w:pPr>
        <w:pStyle w:val="Default"/>
        <w:numPr>
          <w:ilvl w:val="0"/>
          <w:numId w:val="29"/>
        </w:numPr>
        <w:spacing w:after="318"/>
        <w:rPr>
          <w:color w:val="auto"/>
        </w:rPr>
      </w:pPr>
      <w:r w:rsidRPr="003B2BC7">
        <w:rPr>
          <w:color w:val="auto"/>
        </w:rPr>
        <w:t xml:space="preserve">The published development process and methods have been followed. </w:t>
      </w:r>
    </w:p>
    <w:p w14:paraId="70AF6679" w14:textId="2C51D932" w:rsidR="002E0330" w:rsidRPr="003B2BC7" w:rsidRDefault="002E0330" w:rsidP="003D1751">
      <w:pPr>
        <w:pStyle w:val="Default"/>
        <w:numPr>
          <w:ilvl w:val="0"/>
          <w:numId w:val="29"/>
        </w:numPr>
        <w:spacing w:after="318"/>
        <w:rPr>
          <w:color w:val="auto"/>
        </w:rPr>
      </w:pPr>
      <w:r w:rsidRPr="003B2BC7">
        <w:rPr>
          <w:color w:val="auto"/>
        </w:rPr>
        <w:t xml:space="preserve">The recommendations or key statements, as presented, address the remit of the product and are comprehensible and internally consistent. </w:t>
      </w:r>
    </w:p>
    <w:p w14:paraId="13FB1C88" w14:textId="11F46AD9" w:rsidR="002E0330" w:rsidRPr="003B2BC7" w:rsidRDefault="002E0330" w:rsidP="003D1751">
      <w:pPr>
        <w:pStyle w:val="Default"/>
        <w:numPr>
          <w:ilvl w:val="0"/>
          <w:numId w:val="29"/>
        </w:numPr>
        <w:spacing w:after="318"/>
        <w:rPr>
          <w:color w:val="auto"/>
        </w:rPr>
      </w:pPr>
      <w:r w:rsidRPr="003B2BC7">
        <w:rPr>
          <w:color w:val="auto"/>
        </w:rPr>
        <w:t xml:space="preserve">Any matters that may compromise the implementation or impact of the product have been raised by the responsible Director, or if such matters become apparent during the Guidance Executive’s discussion, they are resolved at the meeting or by action(s) required </w:t>
      </w:r>
      <w:proofErr w:type="gramStart"/>
      <w:r w:rsidRPr="003B2BC7">
        <w:rPr>
          <w:color w:val="auto"/>
        </w:rPr>
        <w:t>subsequent to</w:t>
      </w:r>
      <w:proofErr w:type="gramEnd"/>
      <w:r w:rsidRPr="003B2BC7">
        <w:rPr>
          <w:color w:val="auto"/>
        </w:rPr>
        <w:t xml:space="preserve"> the meeting. </w:t>
      </w:r>
    </w:p>
    <w:p w14:paraId="23824887" w14:textId="77777777" w:rsidR="002E0330" w:rsidRPr="003B2BC7" w:rsidRDefault="002E0330" w:rsidP="002E0330">
      <w:pPr>
        <w:pStyle w:val="Default"/>
        <w:spacing w:after="318"/>
        <w:rPr>
          <w:color w:val="auto"/>
        </w:rPr>
      </w:pPr>
      <w:r w:rsidRPr="003B2BC7">
        <w:rPr>
          <w:color w:val="auto"/>
        </w:rPr>
        <w:t xml:space="preserve">4. When it has completed its assessment the Guidance Executive may: </w:t>
      </w:r>
    </w:p>
    <w:p w14:paraId="58252295" w14:textId="2C35FFC2" w:rsidR="002E0330" w:rsidRPr="003B2BC7" w:rsidRDefault="002E0330" w:rsidP="00BE71EA">
      <w:pPr>
        <w:pStyle w:val="Default"/>
        <w:numPr>
          <w:ilvl w:val="0"/>
          <w:numId w:val="30"/>
        </w:numPr>
        <w:spacing w:after="318"/>
        <w:rPr>
          <w:color w:val="auto"/>
        </w:rPr>
      </w:pPr>
      <w:r w:rsidRPr="003B2BC7">
        <w:rPr>
          <w:color w:val="auto"/>
        </w:rPr>
        <w:t xml:space="preserve">approve the document for publication, </w:t>
      </w:r>
      <w:r w:rsidRPr="003B2BC7">
        <w:rPr>
          <w:b/>
          <w:bCs/>
          <w:color w:val="auto"/>
        </w:rPr>
        <w:t xml:space="preserve">or </w:t>
      </w:r>
    </w:p>
    <w:p w14:paraId="23AC892B" w14:textId="07180732" w:rsidR="002E0330" w:rsidRPr="003B2BC7" w:rsidRDefault="002E0330" w:rsidP="00BE71EA">
      <w:pPr>
        <w:pStyle w:val="Default"/>
        <w:numPr>
          <w:ilvl w:val="0"/>
          <w:numId w:val="30"/>
        </w:numPr>
        <w:spacing w:after="318"/>
        <w:rPr>
          <w:color w:val="auto"/>
        </w:rPr>
      </w:pPr>
      <w:r w:rsidRPr="003B2BC7">
        <w:rPr>
          <w:color w:val="auto"/>
        </w:rPr>
        <w:t xml:space="preserve">ask the responsible Director to take the product back to the author(s) with specific queries. </w:t>
      </w:r>
    </w:p>
    <w:p w14:paraId="2D1704B3" w14:textId="7A52F0A7" w:rsidR="002E0330" w:rsidRPr="003B2BC7" w:rsidRDefault="002E0330" w:rsidP="005D0096">
      <w:pPr>
        <w:pStyle w:val="Default"/>
        <w:spacing w:after="318"/>
        <w:ind w:left="360" w:hanging="360"/>
        <w:rPr>
          <w:color w:val="auto"/>
        </w:rPr>
      </w:pPr>
      <w:r w:rsidRPr="003B2BC7">
        <w:rPr>
          <w:color w:val="auto"/>
        </w:rPr>
        <w:t xml:space="preserve">5. </w:t>
      </w:r>
      <w:r w:rsidR="005D0096" w:rsidRPr="003B2BC7">
        <w:rPr>
          <w:color w:val="auto"/>
        </w:rPr>
        <w:tab/>
      </w:r>
      <w:r w:rsidRPr="003B2BC7">
        <w:rPr>
          <w:color w:val="auto"/>
        </w:rPr>
        <w:t xml:space="preserve">The Guidance Executive may question but not reinterpret the evidence considered by an advisory committee. It may not challenge the conclusions or recommendations in a proposed publication except where, in the view of the Guidance Executive, they do not appear to be supported by evidence. </w:t>
      </w:r>
    </w:p>
    <w:p w14:paraId="671C04D7" w14:textId="41C9AF17" w:rsidR="002E0330" w:rsidRPr="003B2BC7" w:rsidRDefault="002E0330" w:rsidP="005D0096">
      <w:pPr>
        <w:pStyle w:val="Default"/>
        <w:ind w:left="360" w:hanging="360"/>
        <w:rPr>
          <w:color w:val="auto"/>
        </w:rPr>
      </w:pPr>
      <w:r w:rsidRPr="003B2BC7">
        <w:rPr>
          <w:color w:val="auto"/>
        </w:rPr>
        <w:t xml:space="preserve">6. </w:t>
      </w:r>
      <w:r w:rsidR="005D0096" w:rsidRPr="003B2BC7">
        <w:rPr>
          <w:color w:val="auto"/>
        </w:rPr>
        <w:tab/>
      </w:r>
      <w:r w:rsidRPr="003B2BC7">
        <w:rPr>
          <w:color w:val="auto"/>
        </w:rPr>
        <w:t xml:space="preserve">The Guidance Executive may refer any matter to the Board for resolution if it considers a matter to be of particular significance or concern. </w:t>
      </w:r>
    </w:p>
    <w:p w14:paraId="38F2A6B0" w14:textId="77777777" w:rsidR="002E0330" w:rsidRPr="003B2BC7" w:rsidRDefault="002E0330" w:rsidP="002E0330">
      <w:pPr>
        <w:pStyle w:val="Default"/>
        <w:rPr>
          <w:color w:val="auto"/>
        </w:rPr>
      </w:pPr>
    </w:p>
    <w:p w14:paraId="4FF18E12" w14:textId="77777777" w:rsidR="002E0330" w:rsidRPr="003B2BC7" w:rsidRDefault="002E0330" w:rsidP="002E0330">
      <w:pPr>
        <w:pStyle w:val="Default"/>
        <w:rPr>
          <w:color w:val="auto"/>
        </w:rPr>
      </w:pPr>
      <w:r w:rsidRPr="003B2BC7">
        <w:rPr>
          <w:b/>
          <w:bCs/>
          <w:color w:val="auto"/>
        </w:rPr>
        <w:t xml:space="preserve">Standing orders </w:t>
      </w:r>
    </w:p>
    <w:p w14:paraId="00E4241B" w14:textId="77777777" w:rsidR="002E0330" w:rsidRPr="003B2BC7" w:rsidRDefault="002E0330" w:rsidP="002E0330">
      <w:pPr>
        <w:pStyle w:val="Default"/>
        <w:rPr>
          <w:b/>
          <w:bCs/>
          <w:i/>
          <w:iCs/>
          <w:color w:val="auto"/>
        </w:rPr>
      </w:pPr>
      <w:r w:rsidRPr="003B2BC7">
        <w:rPr>
          <w:b/>
          <w:bCs/>
          <w:i/>
          <w:iCs/>
          <w:color w:val="auto"/>
        </w:rPr>
        <w:t xml:space="preserve">General </w:t>
      </w:r>
    </w:p>
    <w:p w14:paraId="4057DE81" w14:textId="77777777" w:rsidR="00BE71EA" w:rsidRPr="003B2BC7" w:rsidRDefault="00BE71EA" w:rsidP="002E0330">
      <w:pPr>
        <w:pStyle w:val="Default"/>
        <w:rPr>
          <w:color w:val="auto"/>
        </w:rPr>
      </w:pPr>
    </w:p>
    <w:p w14:paraId="4B49D1EF" w14:textId="009F615D" w:rsidR="002E0330" w:rsidRPr="003B2BC7" w:rsidRDefault="002E0330" w:rsidP="00BB6331">
      <w:pPr>
        <w:pStyle w:val="Default"/>
        <w:ind w:left="426" w:hanging="426"/>
        <w:rPr>
          <w:color w:val="auto"/>
        </w:rPr>
      </w:pPr>
      <w:r w:rsidRPr="003B2BC7">
        <w:rPr>
          <w:color w:val="auto"/>
        </w:rPr>
        <w:t xml:space="preserve">7. </w:t>
      </w:r>
      <w:r w:rsidR="00BB6331" w:rsidRPr="003B2BC7">
        <w:rPr>
          <w:color w:val="auto"/>
        </w:rPr>
        <w:tab/>
      </w:r>
      <w:r w:rsidRPr="003B2BC7">
        <w:rPr>
          <w:color w:val="auto"/>
        </w:rPr>
        <w:t xml:space="preserve">These standing orders describe the procedural rules for managing the work of the Guidance Executive. Nothing in these standing orders or terms of reference should limit compliance with NICE’s standing orders so far as they are applicable to the Guidance Executive. Members of the </w:t>
      </w:r>
      <w:r w:rsidRPr="003B2BC7">
        <w:rPr>
          <w:color w:val="auto"/>
        </w:rPr>
        <w:lastRenderedPageBreak/>
        <w:t xml:space="preserve">Guidance Executive must also abide by the standards of conduct required by contracts of employment and NICE’s policies. </w:t>
      </w:r>
    </w:p>
    <w:p w14:paraId="6A07AB85" w14:textId="77777777" w:rsidR="002E0330" w:rsidRPr="003B2BC7" w:rsidRDefault="002E0330" w:rsidP="002E0330">
      <w:pPr>
        <w:pStyle w:val="Default"/>
        <w:rPr>
          <w:color w:val="auto"/>
        </w:rPr>
      </w:pPr>
    </w:p>
    <w:p w14:paraId="434BEF9F" w14:textId="77777777" w:rsidR="002E0330" w:rsidRPr="003B2BC7" w:rsidRDefault="002E0330" w:rsidP="002E0330">
      <w:pPr>
        <w:pStyle w:val="Default"/>
        <w:rPr>
          <w:b/>
          <w:bCs/>
          <w:i/>
          <w:iCs/>
          <w:color w:val="auto"/>
        </w:rPr>
      </w:pPr>
      <w:r w:rsidRPr="003B2BC7">
        <w:rPr>
          <w:b/>
          <w:bCs/>
          <w:i/>
          <w:iCs/>
          <w:color w:val="auto"/>
        </w:rPr>
        <w:t xml:space="preserve">Membership </w:t>
      </w:r>
    </w:p>
    <w:p w14:paraId="30AA8062" w14:textId="77777777" w:rsidR="006A3163" w:rsidRPr="003B2BC7" w:rsidRDefault="006A3163" w:rsidP="002E0330">
      <w:pPr>
        <w:pStyle w:val="Default"/>
        <w:rPr>
          <w:color w:val="auto"/>
        </w:rPr>
      </w:pPr>
    </w:p>
    <w:p w14:paraId="53348C97" w14:textId="4D37DFAB" w:rsidR="002E0330" w:rsidRPr="003B2BC7" w:rsidRDefault="002E0330" w:rsidP="00465B35">
      <w:pPr>
        <w:pStyle w:val="Default"/>
        <w:tabs>
          <w:tab w:val="left" w:pos="567"/>
        </w:tabs>
        <w:spacing w:after="318"/>
        <w:rPr>
          <w:color w:val="auto"/>
        </w:rPr>
      </w:pPr>
      <w:r w:rsidRPr="003B2BC7">
        <w:rPr>
          <w:color w:val="auto"/>
        </w:rPr>
        <w:t xml:space="preserve">8. </w:t>
      </w:r>
      <w:r w:rsidR="00465B35" w:rsidRPr="003B2BC7">
        <w:rPr>
          <w:color w:val="auto"/>
        </w:rPr>
        <w:tab/>
      </w:r>
      <w:r w:rsidRPr="003B2BC7">
        <w:rPr>
          <w:color w:val="auto"/>
        </w:rPr>
        <w:t xml:space="preserve">The membership of the Guidance Executive is: </w:t>
      </w:r>
    </w:p>
    <w:p w14:paraId="220250ED" w14:textId="4ED0E252" w:rsidR="002E0330" w:rsidRPr="003B2BC7" w:rsidRDefault="002E0330" w:rsidP="002E0330">
      <w:pPr>
        <w:pStyle w:val="Default"/>
        <w:spacing w:after="318"/>
        <w:rPr>
          <w:color w:val="auto"/>
        </w:rPr>
      </w:pPr>
      <w:r w:rsidRPr="003B2BC7">
        <w:rPr>
          <w:color w:val="auto"/>
        </w:rPr>
        <w:t xml:space="preserve">Chief Executive (Chair) </w:t>
      </w:r>
    </w:p>
    <w:p w14:paraId="0753D26E" w14:textId="3BC0181F" w:rsidR="006F26ED" w:rsidRPr="003B2BC7" w:rsidRDefault="002E0330" w:rsidP="006F26ED">
      <w:pPr>
        <w:pStyle w:val="Default"/>
        <w:spacing w:after="197"/>
        <w:rPr>
          <w:color w:val="auto"/>
        </w:rPr>
      </w:pPr>
      <w:r w:rsidRPr="17A96A25">
        <w:rPr>
          <w:color w:val="auto"/>
        </w:rPr>
        <w:t xml:space="preserve">Chief Medical Officer (Deputy Chair) </w:t>
      </w:r>
      <w:r w:rsidR="006F26ED" w:rsidRPr="17A96A25">
        <w:rPr>
          <w:color w:val="auto"/>
        </w:rPr>
        <w:t xml:space="preserve">/ </w:t>
      </w:r>
      <w:r w:rsidR="02182EC3" w:rsidRPr="17A96A25">
        <w:rPr>
          <w:color w:val="auto"/>
        </w:rPr>
        <w:t xml:space="preserve">Deputy Chief Executive and </w:t>
      </w:r>
      <w:r w:rsidR="006F26ED" w:rsidRPr="17A96A25">
        <w:rPr>
          <w:color w:val="auto"/>
        </w:rPr>
        <w:t xml:space="preserve">Interim Director – Centre for Guidelines </w:t>
      </w:r>
    </w:p>
    <w:p w14:paraId="696ACFFF" w14:textId="46E0C5F2" w:rsidR="002E0330" w:rsidRPr="003B2BC7" w:rsidRDefault="002E0330" w:rsidP="009D0370">
      <w:pPr>
        <w:pStyle w:val="Default"/>
        <w:spacing w:after="197"/>
        <w:rPr>
          <w:color w:val="auto"/>
        </w:rPr>
      </w:pPr>
      <w:r w:rsidRPr="003B2BC7">
        <w:rPr>
          <w:color w:val="auto"/>
        </w:rPr>
        <w:t xml:space="preserve">Director – Medicines Evaluation </w:t>
      </w:r>
    </w:p>
    <w:p w14:paraId="242B34EE" w14:textId="1F7898A4" w:rsidR="002E0330" w:rsidRPr="003B2BC7" w:rsidRDefault="002E0330" w:rsidP="009D0370">
      <w:pPr>
        <w:pStyle w:val="Default"/>
        <w:spacing w:after="197"/>
        <w:rPr>
          <w:color w:val="auto"/>
        </w:rPr>
      </w:pPr>
      <w:r w:rsidRPr="003B2BC7">
        <w:rPr>
          <w:color w:val="auto"/>
        </w:rPr>
        <w:t>Director – Imp</w:t>
      </w:r>
      <w:r w:rsidR="006F26ED">
        <w:rPr>
          <w:color w:val="auto"/>
        </w:rPr>
        <w:t xml:space="preserve">act </w:t>
      </w:r>
      <w:r w:rsidRPr="003B2BC7">
        <w:rPr>
          <w:color w:val="auto"/>
        </w:rPr>
        <w:t xml:space="preserve">and Partnerships </w:t>
      </w:r>
    </w:p>
    <w:p w14:paraId="289A5BF0" w14:textId="2148E022" w:rsidR="002E0330" w:rsidRPr="003B2BC7" w:rsidRDefault="723548E6" w:rsidP="17A96A25">
      <w:pPr>
        <w:pStyle w:val="Default"/>
        <w:spacing w:after="197" w:line="259" w:lineRule="auto"/>
        <w:rPr>
          <w:color w:val="auto"/>
        </w:rPr>
      </w:pPr>
      <w:r w:rsidRPr="17A96A25">
        <w:rPr>
          <w:color w:val="auto"/>
        </w:rPr>
        <w:t>Chief Scientific Officer</w:t>
      </w:r>
    </w:p>
    <w:p w14:paraId="44C5D8FC" w14:textId="7BB72E13" w:rsidR="002E0330" w:rsidRPr="003B2BC7" w:rsidRDefault="002E0330" w:rsidP="009D0370">
      <w:pPr>
        <w:pStyle w:val="Default"/>
        <w:spacing w:after="197"/>
        <w:rPr>
          <w:color w:val="auto"/>
        </w:rPr>
      </w:pPr>
      <w:r w:rsidRPr="003B2BC7">
        <w:rPr>
          <w:color w:val="auto"/>
        </w:rPr>
        <w:t xml:space="preserve">Director – Medical Technology and Digital Evaluation </w:t>
      </w:r>
    </w:p>
    <w:p w14:paraId="75220A5E" w14:textId="79340EC3" w:rsidR="002E0330" w:rsidRPr="003B2BC7" w:rsidRDefault="002E0330" w:rsidP="009D0370">
      <w:pPr>
        <w:pStyle w:val="Default"/>
        <w:spacing w:after="197"/>
        <w:rPr>
          <w:color w:val="auto"/>
        </w:rPr>
      </w:pPr>
      <w:r w:rsidRPr="003B2BC7">
        <w:rPr>
          <w:color w:val="auto"/>
        </w:rPr>
        <w:t xml:space="preserve">Associate Director – Media Relations </w:t>
      </w:r>
    </w:p>
    <w:p w14:paraId="35F4BBA6" w14:textId="4480F3D0" w:rsidR="002E0330" w:rsidRPr="003B2BC7" w:rsidRDefault="002E0330" w:rsidP="009D0370">
      <w:pPr>
        <w:pStyle w:val="Default"/>
        <w:spacing w:after="197"/>
        <w:rPr>
          <w:color w:val="auto"/>
        </w:rPr>
      </w:pPr>
      <w:r w:rsidRPr="003B2BC7">
        <w:rPr>
          <w:color w:val="auto"/>
        </w:rPr>
        <w:t xml:space="preserve">Associate Director – Resource Impact Assessment </w:t>
      </w:r>
    </w:p>
    <w:p w14:paraId="1D9BE784" w14:textId="77777777" w:rsidR="009D0370" w:rsidRPr="003B2BC7" w:rsidRDefault="009D0370" w:rsidP="009D0370">
      <w:pPr>
        <w:pStyle w:val="Default"/>
        <w:spacing w:after="197"/>
        <w:rPr>
          <w:color w:val="auto"/>
        </w:rPr>
      </w:pPr>
    </w:p>
    <w:p w14:paraId="08CFA0C1" w14:textId="1CA59244" w:rsidR="002E0330" w:rsidRPr="003B2BC7" w:rsidRDefault="002E0330" w:rsidP="003E3D4C">
      <w:pPr>
        <w:pStyle w:val="Default"/>
        <w:spacing w:after="197"/>
        <w:ind w:left="567" w:hanging="567"/>
        <w:rPr>
          <w:color w:val="auto"/>
        </w:rPr>
      </w:pPr>
      <w:r w:rsidRPr="003B2BC7">
        <w:rPr>
          <w:color w:val="auto"/>
        </w:rPr>
        <w:t xml:space="preserve">9. </w:t>
      </w:r>
      <w:r w:rsidR="003E3D4C" w:rsidRPr="003B2BC7">
        <w:rPr>
          <w:color w:val="auto"/>
        </w:rPr>
        <w:tab/>
      </w:r>
      <w:r w:rsidRPr="003B2BC7">
        <w:rPr>
          <w:color w:val="auto"/>
        </w:rPr>
        <w:t xml:space="preserve">The Chair of the Guidance Executive is the Chief Executive. In the Chief Executive’s absence, the meetings will be conducted by the Deputy Chair, or in their absence, another director nominated by the Chief Executive. </w:t>
      </w:r>
    </w:p>
    <w:p w14:paraId="2056D09A" w14:textId="16E8EB8F" w:rsidR="002E0330" w:rsidRPr="003B2BC7" w:rsidRDefault="002E0330" w:rsidP="003E3D4C">
      <w:pPr>
        <w:pStyle w:val="Default"/>
        <w:ind w:left="567" w:hanging="567"/>
        <w:rPr>
          <w:color w:val="auto"/>
        </w:rPr>
      </w:pPr>
      <w:r w:rsidRPr="003B2BC7">
        <w:rPr>
          <w:color w:val="auto"/>
        </w:rPr>
        <w:t xml:space="preserve">10. </w:t>
      </w:r>
      <w:r w:rsidR="003E3D4C" w:rsidRPr="003B2BC7">
        <w:rPr>
          <w:color w:val="auto"/>
        </w:rPr>
        <w:tab/>
      </w:r>
      <w:r w:rsidRPr="003B2BC7">
        <w:rPr>
          <w:color w:val="auto"/>
        </w:rPr>
        <w:t xml:space="preserve">If a member is unable to attend, whenever possible apologies should be sent to Guidance Executive administration at least 5 working days in advance of the meeting. A deputy will be invited to attend the meeting if a Guidance Executive member is unable to attend. It is important that deputies are chosen to reflect the relevant areas of expertise, especially clinical input, provided by the core members. </w:t>
      </w:r>
    </w:p>
    <w:p w14:paraId="3D8D582C" w14:textId="77777777" w:rsidR="002E0330" w:rsidRPr="003B2BC7" w:rsidRDefault="002E0330" w:rsidP="002E0330">
      <w:pPr>
        <w:pStyle w:val="Default"/>
        <w:rPr>
          <w:color w:val="auto"/>
        </w:rPr>
      </w:pPr>
    </w:p>
    <w:p w14:paraId="727C5A9C" w14:textId="77777777" w:rsidR="002E0330" w:rsidRPr="003B2BC7" w:rsidRDefault="002E0330" w:rsidP="002E0330">
      <w:pPr>
        <w:pStyle w:val="Default"/>
        <w:rPr>
          <w:color w:val="auto"/>
        </w:rPr>
      </w:pPr>
      <w:r w:rsidRPr="003B2BC7">
        <w:rPr>
          <w:b/>
          <w:bCs/>
          <w:i/>
          <w:iCs/>
          <w:color w:val="auto"/>
        </w:rPr>
        <w:t xml:space="preserve">Other attendees </w:t>
      </w:r>
    </w:p>
    <w:p w14:paraId="27AD0F94" w14:textId="7298337E" w:rsidR="002E0330" w:rsidRPr="003B2BC7" w:rsidRDefault="002E0330" w:rsidP="003E3D4C">
      <w:pPr>
        <w:pStyle w:val="Default"/>
        <w:ind w:left="567" w:hanging="567"/>
        <w:rPr>
          <w:color w:val="auto"/>
        </w:rPr>
      </w:pPr>
      <w:r w:rsidRPr="003B2BC7">
        <w:rPr>
          <w:color w:val="auto"/>
        </w:rPr>
        <w:t xml:space="preserve">11. </w:t>
      </w:r>
      <w:r w:rsidR="003E3D4C" w:rsidRPr="003B2BC7">
        <w:rPr>
          <w:color w:val="auto"/>
        </w:rPr>
        <w:tab/>
      </w:r>
      <w:r w:rsidRPr="003B2BC7">
        <w:rPr>
          <w:color w:val="auto"/>
        </w:rPr>
        <w:t xml:space="preserve">Other members of relevant teams will attend meetings, as required, to present documents for sign-off where they have a specific responsibility for a particular product. Other members of staff may be invited to attend at the discretion of the Chair of the Guidance Executive. </w:t>
      </w:r>
    </w:p>
    <w:p w14:paraId="353B72D0" w14:textId="77777777" w:rsidR="002E0330" w:rsidRPr="003B2BC7" w:rsidRDefault="002E0330" w:rsidP="002E0330">
      <w:pPr>
        <w:pStyle w:val="Default"/>
        <w:rPr>
          <w:color w:val="auto"/>
        </w:rPr>
      </w:pPr>
    </w:p>
    <w:p w14:paraId="44B06B6E" w14:textId="77777777" w:rsidR="002E0330" w:rsidRPr="003B2BC7" w:rsidRDefault="002E0330" w:rsidP="002E0330">
      <w:pPr>
        <w:pStyle w:val="Default"/>
        <w:rPr>
          <w:color w:val="auto"/>
        </w:rPr>
      </w:pPr>
      <w:r w:rsidRPr="003B2BC7">
        <w:rPr>
          <w:b/>
          <w:bCs/>
          <w:i/>
          <w:iCs/>
          <w:color w:val="auto"/>
        </w:rPr>
        <w:t xml:space="preserve">Quorum </w:t>
      </w:r>
    </w:p>
    <w:p w14:paraId="3F163AF2" w14:textId="11401D9B" w:rsidR="002E0330" w:rsidRPr="003B2BC7" w:rsidRDefault="002E0330" w:rsidP="006A3163">
      <w:pPr>
        <w:pStyle w:val="Default"/>
        <w:spacing w:after="301"/>
        <w:ind w:left="720" w:hanging="720"/>
        <w:rPr>
          <w:color w:val="auto"/>
        </w:rPr>
      </w:pPr>
      <w:r w:rsidRPr="003B2BC7">
        <w:rPr>
          <w:color w:val="auto"/>
        </w:rPr>
        <w:t xml:space="preserve">12. </w:t>
      </w:r>
      <w:r w:rsidR="006A3163" w:rsidRPr="003B2BC7">
        <w:rPr>
          <w:color w:val="auto"/>
        </w:rPr>
        <w:tab/>
      </w:r>
      <w:r w:rsidRPr="003B2BC7">
        <w:rPr>
          <w:color w:val="auto"/>
        </w:rPr>
        <w:t xml:space="preserve">The quorum for each meeting is 4 members. Deputies and other attendees do not count towards the quorum, unless formally appointed to act up for a Director (usually for absences over 4 weeks). </w:t>
      </w:r>
    </w:p>
    <w:p w14:paraId="52E0238A" w14:textId="6AD3EE81" w:rsidR="002E0330" w:rsidRPr="003B2BC7" w:rsidRDefault="002E0330" w:rsidP="006A3163">
      <w:pPr>
        <w:pStyle w:val="Default"/>
        <w:ind w:left="720" w:hanging="720"/>
        <w:rPr>
          <w:color w:val="auto"/>
        </w:rPr>
      </w:pPr>
      <w:r w:rsidRPr="003B2BC7">
        <w:rPr>
          <w:color w:val="auto"/>
        </w:rPr>
        <w:t xml:space="preserve">13. </w:t>
      </w:r>
      <w:r w:rsidR="006A3163" w:rsidRPr="003B2BC7">
        <w:rPr>
          <w:color w:val="auto"/>
        </w:rPr>
        <w:tab/>
      </w:r>
      <w:r w:rsidRPr="003B2BC7">
        <w:rPr>
          <w:color w:val="auto"/>
        </w:rPr>
        <w:t xml:space="preserve">No business should be transacted unless the meeting is quorate. If a member is excluded due to a conflict of interest and membership falls below the quorum, no business may be transacted. If the meeting is </w:t>
      </w:r>
      <w:r w:rsidRPr="003B2BC7">
        <w:rPr>
          <w:color w:val="auto"/>
        </w:rPr>
        <w:lastRenderedPageBreak/>
        <w:t xml:space="preserve">not quorate, the Chair may decide that the meeting should proceed and decisions be ratified by the next quorate meeting or by email communication to members after the meeting. </w:t>
      </w:r>
    </w:p>
    <w:p w14:paraId="7BC045DD" w14:textId="77777777" w:rsidR="002E0330" w:rsidRPr="003B2BC7" w:rsidRDefault="002E0330" w:rsidP="002E0330">
      <w:pPr>
        <w:pStyle w:val="Default"/>
        <w:rPr>
          <w:color w:val="auto"/>
        </w:rPr>
      </w:pPr>
    </w:p>
    <w:p w14:paraId="1A451C3C" w14:textId="77777777" w:rsidR="002E0330" w:rsidRPr="003B2BC7" w:rsidRDefault="002E0330" w:rsidP="002E0330">
      <w:pPr>
        <w:pStyle w:val="Default"/>
        <w:rPr>
          <w:color w:val="auto"/>
        </w:rPr>
      </w:pPr>
      <w:r w:rsidRPr="003B2BC7">
        <w:rPr>
          <w:b/>
          <w:bCs/>
          <w:i/>
          <w:iCs/>
          <w:color w:val="auto"/>
        </w:rPr>
        <w:t xml:space="preserve">Conflicts of interest </w:t>
      </w:r>
    </w:p>
    <w:p w14:paraId="49D19D98" w14:textId="77777777" w:rsidR="00B50CA6" w:rsidRDefault="002E0330" w:rsidP="00B50CA6">
      <w:pPr>
        <w:pStyle w:val="Default"/>
        <w:ind w:left="720" w:hanging="720"/>
        <w:rPr>
          <w:color w:val="auto"/>
        </w:rPr>
      </w:pPr>
      <w:r w:rsidRPr="003B2BC7">
        <w:rPr>
          <w:color w:val="auto"/>
        </w:rPr>
        <w:t xml:space="preserve">14. </w:t>
      </w:r>
      <w:r w:rsidR="004754FD" w:rsidRPr="003B2BC7">
        <w:rPr>
          <w:color w:val="auto"/>
        </w:rPr>
        <w:tab/>
      </w:r>
      <w:r w:rsidRPr="003B2BC7">
        <w:rPr>
          <w:color w:val="auto"/>
        </w:rPr>
        <w:t>If a conflict of interest arises during a meeting the member concerned, or their deputy, must withdraw from the meeting, or part thereof, as appropriate. This will be recorded in the minutes.</w:t>
      </w:r>
    </w:p>
    <w:p w14:paraId="1AC58EBA" w14:textId="77777777" w:rsidR="00B50CA6" w:rsidRDefault="00B50CA6" w:rsidP="00B50CA6">
      <w:pPr>
        <w:pStyle w:val="Default"/>
        <w:ind w:left="720" w:hanging="720"/>
        <w:rPr>
          <w:color w:val="auto"/>
        </w:rPr>
      </w:pPr>
    </w:p>
    <w:p w14:paraId="2E2BC953" w14:textId="0997AC9C" w:rsidR="002E0330" w:rsidRPr="003B2BC7" w:rsidRDefault="002E0330" w:rsidP="00B50CA6">
      <w:pPr>
        <w:pStyle w:val="Default"/>
        <w:ind w:left="720" w:hanging="720"/>
        <w:rPr>
          <w:color w:val="auto"/>
        </w:rPr>
      </w:pPr>
      <w:r w:rsidRPr="003B2BC7">
        <w:rPr>
          <w:b/>
          <w:bCs/>
          <w:i/>
          <w:iCs/>
          <w:color w:val="auto"/>
        </w:rPr>
        <w:t xml:space="preserve">Chair’s action </w:t>
      </w:r>
    </w:p>
    <w:p w14:paraId="60D73B82" w14:textId="77777777" w:rsidR="002E0330" w:rsidRPr="003B2BC7" w:rsidRDefault="002E0330" w:rsidP="00583A5E">
      <w:pPr>
        <w:pStyle w:val="Default"/>
        <w:ind w:left="426" w:hanging="426"/>
        <w:rPr>
          <w:color w:val="auto"/>
        </w:rPr>
      </w:pPr>
      <w:r w:rsidRPr="003B2BC7">
        <w:rPr>
          <w:color w:val="auto"/>
        </w:rPr>
        <w:t xml:space="preserve">15. The Chair, or in their absence the appointed Deputy Chair, may </w:t>
      </w:r>
      <w:proofErr w:type="gramStart"/>
      <w:r w:rsidRPr="003B2BC7">
        <w:rPr>
          <w:color w:val="auto"/>
        </w:rPr>
        <w:t>take action</w:t>
      </w:r>
      <w:proofErr w:type="gramEnd"/>
      <w:r w:rsidRPr="003B2BC7">
        <w:rPr>
          <w:color w:val="auto"/>
        </w:rPr>
        <w:t xml:space="preserve"> on behalf of the Guidance Executive outside of the scheduled cycle of meetings when urgent decisions are required, and it is impractical to convene a special meeting of the Guidance Executive. Any such decisions will be ratified at the next meeting. </w:t>
      </w:r>
    </w:p>
    <w:p w14:paraId="3C12D992" w14:textId="77777777" w:rsidR="002E0330" w:rsidRPr="003B2BC7" w:rsidRDefault="002E0330" w:rsidP="002E0330">
      <w:pPr>
        <w:pStyle w:val="Default"/>
        <w:rPr>
          <w:color w:val="auto"/>
        </w:rPr>
      </w:pPr>
    </w:p>
    <w:p w14:paraId="3A318CBB" w14:textId="77777777" w:rsidR="002E0330" w:rsidRPr="003B2BC7" w:rsidRDefault="002E0330" w:rsidP="002E0330">
      <w:pPr>
        <w:pStyle w:val="Default"/>
        <w:rPr>
          <w:color w:val="auto"/>
        </w:rPr>
      </w:pPr>
      <w:r w:rsidRPr="003B2BC7">
        <w:rPr>
          <w:b/>
          <w:bCs/>
          <w:i/>
          <w:iCs/>
          <w:color w:val="auto"/>
        </w:rPr>
        <w:t xml:space="preserve">Interpretation or suspension of standing orders </w:t>
      </w:r>
    </w:p>
    <w:p w14:paraId="19F0C1D8" w14:textId="77777777" w:rsidR="002E0330" w:rsidRPr="003B2BC7" w:rsidRDefault="002E0330" w:rsidP="00285BA0">
      <w:pPr>
        <w:pStyle w:val="Default"/>
        <w:spacing w:after="301"/>
        <w:ind w:left="426" w:hanging="426"/>
        <w:rPr>
          <w:color w:val="auto"/>
        </w:rPr>
      </w:pPr>
      <w:r w:rsidRPr="003B2BC7">
        <w:rPr>
          <w:color w:val="auto"/>
        </w:rPr>
        <w:t xml:space="preserve">16. During the meeting, the Chair of the Guidance Executive has the final authority on the interpretation of standing orders. </w:t>
      </w:r>
    </w:p>
    <w:p w14:paraId="44494220" w14:textId="77777777" w:rsidR="002E0330" w:rsidRPr="003B2BC7" w:rsidRDefault="002E0330" w:rsidP="001D5DD8">
      <w:pPr>
        <w:pStyle w:val="Default"/>
        <w:spacing w:after="301"/>
        <w:ind w:left="426" w:hanging="426"/>
        <w:rPr>
          <w:color w:val="auto"/>
        </w:rPr>
      </w:pPr>
      <w:r w:rsidRPr="003B2BC7">
        <w:rPr>
          <w:color w:val="auto"/>
        </w:rPr>
        <w:t xml:space="preserve">17. Except where this would contravene any statutory provision, any one or more of the standing orders may be suspended at any meeting providing a simple majority of those present and eligible to participate vote in favour of the suspension. </w:t>
      </w:r>
    </w:p>
    <w:p w14:paraId="497AAA7A" w14:textId="77777777" w:rsidR="002E0330" w:rsidRPr="003B2BC7" w:rsidRDefault="002E0330" w:rsidP="00EB6AFD">
      <w:pPr>
        <w:pStyle w:val="Default"/>
        <w:spacing w:after="301"/>
        <w:ind w:left="426" w:hanging="426"/>
        <w:rPr>
          <w:color w:val="auto"/>
        </w:rPr>
      </w:pPr>
      <w:r w:rsidRPr="003B2BC7">
        <w:rPr>
          <w:color w:val="auto"/>
        </w:rPr>
        <w:t xml:space="preserve">18. Any decision to suspend standing orders shall be recorded in the minutes of the meeting. </w:t>
      </w:r>
    </w:p>
    <w:p w14:paraId="01EAF6E5" w14:textId="77777777" w:rsidR="002E0330" w:rsidRPr="003B2BC7" w:rsidRDefault="002E0330" w:rsidP="00084238">
      <w:pPr>
        <w:pStyle w:val="Default"/>
        <w:ind w:left="426" w:hanging="426"/>
        <w:rPr>
          <w:color w:val="auto"/>
        </w:rPr>
      </w:pPr>
      <w:r w:rsidRPr="003B2BC7">
        <w:rPr>
          <w:color w:val="auto"/>
        </w:rPr>
        <w:t xml:space="preserve">19. No formal business may be transacted while standing orders are suspended. </w:t>
      </w:r>
    </w:p>
    <w:p w14:paraId="2E0E6A3C" w14:textId="77777777" w:rsidR="002E0330" w:rsidRPr="003B2BC7" w:rsidRDefault="002E0330" w:rsidP="002E0330">
      <w:pPr>
        <w:pStyle w:val="Default"/>
        <w:rPr>
          <w:color w:val="auto"/>
        </w:rPr>
      </w:pPr>
    </w:p>
    <w:p w14:paraId="7A0E5EBB" w14:textId="77777777" w:rsidR="002E0330" w:rsidRPr="003B2BC7" w:rsidRDefault="002E0330" w:rsidP="002E0330">
      <w:pPr>
        <w:pStyle w:val="Default"/>
        <w:rPr>
          <w:color w:val="auto"/>
        </w:rPr>
      </w:pPr>
      <w:r w:rsidRPr="003B2BC7">
        <w:rPr>
          <w:b/>
          <w:bCs/>
          <w:i/>
          <w:iCs/>
          <w:color w:val="auto"/>
        </w:rPr>
        <w:t xml:space="preserve">Voting </w:t>
      </w:r>
    </w:p>
    <w:p w14:paraId="14552219" w14:textId="77777777" w:rsidR="002E0330" w:rsidRPr="003B2BC7" w:rsidRDefault="002E0330" w:rsidP="00351291">
      <w:pPr>
        <w:pStyle w:val="Default"/>
        <w:spacing w:after="301"/>
        <w:ind w:left="426" w:hanging="426"/>
        <w:rPr>
          <w:color w:val="auto"/>
        </w:rPr>
      </w:pPr>
      <w:r w:rsidRPr="003B2BC7">
        <w:rPr>
          <w:color w:val="auto"/>
        </w:rPr>
        <w:t xml:space="preserve">20. The decisions of the Guidance Executive will normally be arrived at by a consensus of those members present. Before a decision to move to a vote is made, the Chair will always consider whether continuing the discussion at a subsequent meeting is likely to lead to a consensus. </w:t>
      </w:r>
    </w:p>
    <w:p w14:paraId="2109DDCB" w14:textId="77777777" w:rsidR="002E0330" w:rsidRPr="003B2BC7" w:rsidRDefault="002E0330" w:rsidP="000B3640">
      <w:pPr>
        <w:pStyle w:val="Default"/>
        <w:spacing w:after="301"/>
        <w:ind w:left="426" w:hanging="426"/>
        <w:rPr>
          <w:color w:val="auto"/>
        </w:rPr>
      </w:pPr>
      <w:r w:rsidRPr="003B2BC7">
        <w:rPr>
          <w:color w:val="auto"/>
        </w:rPr>
        <w:t xml:space="preserve">21. Voting, where required, will be by show of hands and decisions determined by a simple majority of those members present at a quorate meeting. Deputies (see paragraph 12) and other attendees are not entitled to vote, unless formally appointed to act up for a Director. </w:t>
      </w:r>
    </w:p>
    <w:p w14:paraId="128E7DE1" w14:textId="77777777" w:rsidR="002E0330" w:rsidRPr="003B2BC7" w:rsidRDefault="002E0330" w:rsidP="000B3640">
      <w:pPr>
        <w:pStyle w:val="Default"/>
        <w:ind w:left="426" w:hanging="426"/>
        <w:rPr>
          <w:color w:val="auto"/>
        </w:rPr>
      </w:pPr>
      <w:r w:rsidRPr="003B2BC7">
        <w:rPr>
          <w:color w:val="auto"/>
        </w:rPr>
        <w:t xml:space="preserve">22. The Chair of the meeting will be included in the vote. If the result is a tie, the chair will have a second, casting vote. </w:t>
      </w:r>
    </w:p>
    <w:p w14:paraId="7F7FDF00" w14:textId="77777777" w:rsidR="002E0330" w:rsidRPr="003B2BC7" w:rsidRDefault="002E0330" w:rsidP="002E0330">
      <w:pPr>
        <w:pStyle w:val="Default"/>
        <w:rPr>
          <w:color w:val="auto"/>
        </w:rPr>
      </w:pPr>
    </w:p>
    <w:p w14:paraId="679B0107" w14:textId="77777777" w:rsidR="002E0330" w:rsidRPr="003B2BC7" w:rsidRDefault="002E0330" w:rsidP="002E0330">
      <w:pPr>
        <w:pStyle w:val="Default"/>
        <w:rPr>
          <w:color w:val="auto"/>
        </w:rPr>
      </w:pPr>
      <w:r w:rsidRPr="003B2BC7">
        <w:rPr>
          <w:b/>
          <w:bCs/>
          <w:i/>
          <w:iCs/>
          <w:color w:val="auto"/>
        </w:rPr>
        <w:t xml:space="preserve">Arrangements for meetings </w:t>
      </w:r>
    </w:p>
    <w:p w14:paraId="40835777" w14:textId="77777777" w:rsidR="002E0330" w:rsidRPr="003B2BC7" w:rsidRDefault="002E0330" w:rsidP="002E0330">
      <w:pPr>
        <w:pStyle w:val="Default"/>
        <w:spacing w:after="302"/>
        <w:rPr>
          <w:color w:val="auto"/>
        </w:rPr>
      </w:pPr>
      <w:r w:rsidRPr="003B2BC7">
        <w:rPr>
          <w:color w:val="auto"/>
        </w:rPr>
        <w:t xml:space="preserve">23. The Guidance Executive will normally meet weekly. </w:t>
      </w:r>
    </w:p>
    <w:p w14:paraId="09BF359E" w14:textId="05BADD36" w:rsidR="002E0330" w:rsidRPr="003B2BC7" w:rsidRDefault="002E0330" w:rsidP="00E730E2">
      <w:pPr>
        <w:pStyle w:val="Default"/>
        <w:ind w:left="426" w:hanging="426"/>
        <w:rPr>
          <w:color w:val="auto"/>
        </w:rPr>
      </w:pPr>
      <w:r w:rsidRPr="003B2BC7">
        <w:rPr>
          <w:color w:val="auto"/>
        </w:rPr>
        <w:t xml:space="preserve">24. </w:t>
      </w:r>
      <w:r w:rsidR="00E730E2" w:rsidRPr="003B2BC7">
        <w:rPr>
          <w:color w:val="auto"/>
        </w:rPr>
        <w:tab/>
      </w:r>
      <w:r w:rsidRPr="003B2BC7">
        <w:rPr>
          <w:color w:val="auto"/>
        </w:rPr>
        <w:t xml:space="preserve">Agenda items should be notified in advance and submitted as set out in the Guidance Executive administration notes on NICE Space. Agendas </w:t>
      </w:r>
      <w:r w:rsidRPr="003B2BC7">
        <w:rPr>
          <w:color w:val="auto"/>
        </w:rPr>
        <w:lastRenderedPageBreak/>
        <w:t xml:space="preserve">will be amended at the discretion of the chair in advance of the meeting to ensure there is adequate time for discussion and decision-making. Less urgent items and those submitted after the deadline may be held over to the next available meeting. </w:t>
      </w:r>
    </w:p>
    <w:p w14:paraId="760759A8" w14:textId="77777777" w:rsidR="002E0330" w:rsidRPr="003B2BC7" w:rsidRDefault="002E0330" w:rsidP="00E730E2">
      <w:pPr>
        <w:pStyle w:val="Default"/>
        <w:ind w:left="426" w:hanging="426"/>
        <w:rPr>
          <w:color w:val="auto"/>
        </w:rPr>
      </w:pPr>
      <w:r w:rsidRPr="003B2BC7">
        <w:rPr>
          <w:color w:val="auto"/>
        </w:rPr>
        <w:t xml:space="preserve">25. No business other than that on the agenda may be discussed at the meeting, except at the discretion of the chair. </w:t>
      </w:r>
    </w:p>
    <w:p w14:paraId="13076637" w14:textId="77777777" w:rsidR="002E0330" w:rsidRPr="003B2BC7" w:rsidRDefault="002E0330" w:rsidP="002E0330">
      <w:pPr>
        <w:pStyle w:val="Default"/>
        <w:rPr>
          <w:color w:val="auto"/>
        </w:rPr>
      </w:pPr>
    </w:p>
    <w:p w14:paraId="1DE8F9EA" w14:textId="77777777" w:rsidR="002E0330" w:rsidRPr="003B2BC7" w:rsidRDefault="002E0330" w:rsidP="002E0330">
      <w:pPr>
        <w:pStyle w:val="Default"/>
        <w:rPr>
          <w:color w:val="auto"/>
        </w:rPr>
      </w:pPr>
      <w:r w:rsidRPr="003B2BC7">
        <w:rPr>
          <w:b/>
          <w:bCs/>
          <w:i/>
          <w:iCs/>
          <w:color w:val="auto"/>
        </w:rPr>
        <w:t xml:space="preserve">Minutes </w:t>
      </w:r>
    </w:p>
    <w:p w14:paraId="0DC846C0" w14:textId="77777777" w:rsidR="002E0330" w:rsidRPr="003B2BC7" w:rsidRDefault="002E0330" w:rsidP="00E730E2">
      <w:pPr>
        <w:pStyle w:val="Default"/>
        <w:spacing w:after="304"/>
        <w:ind w:left="426" w:hanging="426"/>
        <w:rPr>
          <w:color w:val="auto"/>
        </w:rPr>
      </w:pPr>
      <w:r w:rsidRPr="003B2BC7">
        <w:rPr>
          <w:color w:val="auto"/>
        </w:rPr>
        <w:t xml:space="preserve">26. The minutes of the Guidance Executive meeting will be submitted to the next meeting for approval. </w:t>
      </w:r>
    </w:p>
    <w:p w14:paraId="574EE4D4" w14:textId="77777777" w:rsidR="002E0330" w:rsidRPr="003B2BC7" w:rsidRDefault="002E0330" w:rsidP="005D7000">
      <w:pPr>
        <w:pStyle w:val="Default"/>
        <w:ind w:left="426" w:hanging="426"/>
        <w:rPr>
          <w:color w:val="auto"/>
        </w:rPr>
      </w:pPr>
      <w:r w:rsidRPr="003B2BC7">
        <w:rPr>
          <w:color w:val="auto"/>
        </w:rPr>
        <w:t xml:space="preserve">27. Approved minutes will be available to the public subject to any exemptions in place under the Freedom of Information Act. </w:t>
      </w:r>
    </w:p>
    <w:p w14:paraId="08AD71E2" w14:textId="77777777" w:rsidR="002E0330" w:rsidRPr="003B2BC7" w:rsidRDefault="002E0330" w:rsidP="002E0330">
      <w:pPr>
        <w:pStyle w:val="Default"/>
        <w:rPr>
          <w:color w:val="auto"/>
        </w:rPr>
      </w:pPr>
    </w:p>
    <w:p w14:paraId="00F6AEEA" w14:textId="77777777" w:rsidR="002E0330" w:rsidRPr="003B2BC7" w:rsidRDefault="002E0330" w:rsidP="002E0330">
      <w:pPr>
        <w:pStyle w:val="Default"/>
        <w:rPr>
          <w:color w:val="auto"/>
        </w:rPr>
      </w:pPr>
      <w:r w:rsidRPr="003B2BC7">
        <w:rPr>
          <w:b/>
          <w:bCs/>
          <w:i/>
          <w:iCs/>
          <w:color w:val="auto"/>
        </w:rPr>
        <w:t xml:space="preserve">Other matters </w:t>
      </w:r>
    </w:p>
    <w:p w14:paraId="12A1093F" w14:textId="77777777" w:rsidR="002E0330" w:rsidRPr="003B2BC7" w:rsidRDefault="002E0330" w:rsidP="002161E8">
      <w:pPr>
        <w:pStyle w:val="Default"/>
        <w:ind w:left="426" w:hanging="426"/>
        <w:rPr>
          <w:color w:val="auto"/>
        </w:rPr>
      </w:pPr>
      <w:r w:rsidRPr="003B2BC7">
        <w:rPr>
          <w:color w:val="auto"/>
        </w:rPr>
        <w:t xml:space="preserve">28. The Guidance Executive administration team will provide support to the meetings. </w:t>
      </w:r>
    </w:p>
    <w:p w14:paraId="46EC7F3E" w14:textId="77777777" w:rsidR="002E0330" w:rsidRPr="003B2BC7" w:rsidRDefault="002E0330" w:rsidP="002E0330">
      <w:pPr>
        <w:pStyle w:val="Default"/>
        <w:rPr>
          <w:color w:val="auto"/>
        </w:rPr>
      </w:pPr>
    </w:p>
    <w:p w14:paraId="79DA4C31" w14:textId="77777777" w:rsidR="002E0330" w:rsidRPr="003B2BC7" w:rsidRDefault="002E0330" w:rsidP="002E0330">
      <w:pPr>
        <w:pStyle w:val="Default"/>
        <w:rPr>
          <w:color w:val="auto"/>
        </w:rPr>
      </w:pPr>
      <w:r w:rsidRPr="003B2BC7">
        <w:rPr>
          <w:b/>
          <w:bCs/>
          <w:i/>
          <w:iCs/>
          <w:color w:val="auto"/>
        </w:rPr>
        <w:t xml:space="preserve">Review of terms of reference and standing orders </w:t>
      </w:r>
    </w:p>
    <w:p w14:paraId="0668BBCD" w14:textId="77777777" w:rsidR="002161E8" w:rsidRPr="003B2BC7" w:rsidRDefault="002E0330" w:rsidP="003B2BC7">
      <w:pPr>
        <w:pStyle w:val="Default"/>
        <w:ind w:left="426" w:hanging="426"/>
        <w:rPr>
          <w:color w:val="auto"/>
        </w:rPr>
      </w:pPr>
      <w:r w:rsidRPr="003B2BC7">
        <w:rPr>
          <w:color w:val="auto"/>
        </w:rPr>
        <w:t xml:space="preserve">29. These terms of reference and standing orders will be reviewed every 3 years. </w:t>
      </w:r>
    </w:p>
    <w:p w14:paraId="49AD3EC3" w14:textId="77777777" w:rsidR="002161E8" w:rsidRPr="003B2BC7" w:rsidRDefault="002161E8" w:rsidP="002E0330">
      <w:pPr>
        <w:pStyle w:val="Default"/>
        <w:rPr>
          <w:color w:val="auto"/>
        </w:rPr>
      </w:pPr>
    </w:p>
    <w:p w14:paraId="46A9F414" w14:textId="0E6107E1" w:rsidR="002E0330" w:rsidRPr="003B2BC7" w:rsidRDefault="002E0330" w:rsidP="002E0330">
      <w:pPr>
        <w:pStyle w:val="Default"/>
        <w:rPr>
          <w:color w:val="auto"/>
        </w:rPr>
      </w:pPr>
      <w:r w:rsidRPr="003B2BC7">
        <w:rPr>
          <w:color w:val="auto"/>
        </w:rPr>
        <w:t xml:space="preserve">The next review date is </w:t>
      </w:r>
      <w:r w:rsidR="00700987">
        <w:rPr>
          <w:color w:val="auto"/>
        </w:rPr>
        <w:t>September</w:t>
      </w:r>
      <w:r w:rsidR="00700987" w:rsidRPr="003B2BC7">
        <w:rPr>
          <w:color w:val="auto"/>
        </w:rPr>
        <w:t xml:space="preserve"> </w:t>
      </w:r>
      <w:r w:rsidRPr="003B2BC7">
        <w:rPr>
          <w:color w:val="auto"/>
        </w:rPr>
        <w:t xml:space="preserve">2026. </w:t>
      </w:r>
    </w:p>
    <w:p w14:paraId="52F9BEAB" w14:textId="77777777" w:rsidR="00594C3A" w:rsidRPr="003B2BC7" w:rsidRDefault="00594C3A" w:rsidP="00136206">
      <w:pPr>
        <w:pStyle w:val="Title"/>
        <w:rPr>
          <w:rFonts w:cs="Arial"/>
          <w:sz w:val="24"/>
          <w:szCs w:val="24"/>
        </w:rPr>
      </w:pPr>
    </w:p>
    <w:p w14:paraId="7237E569" w14:textId="77777777" w:rsidR="002E0330" w:rsidRPr="003B2BC7" w:rsidRDefault="002E0330" w:rsidP="002E0330">
      <w:pPr>
        <w:pStyle w:val="Heading1"/>
        <w:rPr>
          <w:sz w:val="24"/>
          <w:szCs w:val="24"/>
          <w:lang w:eastAsia="en-GB"/>
        </w:rPr>
      </w:pPr>
    </w:p>
    <w:sectPr w:rsidR="002E0330" w:rsidRPr="003B2BC7" w:rsidSect="008F6FB7">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0C862" w14:textId="77777777" w:rsidR="00D77AAC" w:rsidRDefault="00D77AAC" w:rsidP="00446BEE">
      <w:r>
        <w:separator/>
      </w:r>
    </w:p>
  </w:endnote>
  <w:endnote w:type="continuationSeparator" w:id="0">
    <w:p w14:paraId="286B89A4" w14:textId="77777777" w:rsidR="00D77AAC" w:rsidRDefault="00D77AAC" w:rsidP="00446BEE">
      <w:r>
        <w:continuationSeparator/>
      </w:r>
    </w:p>
  </w:endnote>
  <w:endnote w:type="continuationNotice" w:id="1">
    <w:p w14:paraId="5D90E361" w14:textId="77777777" w:rsidR="00D77AAC" w:rsidRDefault="00D77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altName w:val="Calibri"/>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C3EBA" w14:textId="3AC9C133" w:rsidR="00446BEE" w:rsidRDefault="0010170B" w:rsidP="00446BEE">
    <w:pPr>
      <w:pStyle w:val="Footer"/>
    </w:pPr>
    <w:r>
      <w:t xml:space="preserve">GE </w:t>
    </w:r>
    <w:proofErr w:type="spellStart"/>
    <w:r>
      <w:t>ToR</w:t>
    </w:r>
    <w:proofErr w:type="spellEnd"/>
    <w:r w:rsidR="004F6BF5">
      <w:t xml:space="preserve"> </w:t>
    </w:r>
    <w:r w:rsidR="00700987">
      <w:t xml:space="preserve">September </w:t>
    </w:r>
    <w:r w:rsidR="004F6BF5">
      <w:t>2024</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127B41">
      <w:fldChar w:fldCharType="begin"/>
    </w:r>
    <w:r w:rsidR="00127B41">
      <w:instrText xml:space="preserve"> NUMPAGES  </w:instrText>
    </w:r>
    <w:r w:rsidR="00127B41">
      <w:fldChar w:fldCharType="separate"/>
    </w:r>
    <w:r w:rsidR="00FA2C5A">
      <w:rPr>
        <w:noProof/>
      </w:rPr>
      <w:t>1</w:t>
    </w:r>
    <w:r w:rsidR="00127B41">
      <w:rPr>
        <w:noProof/>
      </w:rPr>
      <w:fldChar w:fldCharType="end"/>
    </w:r>
  </w:p>
  <w:p w14:paraId="562F47E0" w14:textId="77777777" w:rsidR="00446BEE" w:rsidRDefault="00446BEE">
    <w:pPr>
      <w:pStyle w:val="Footer"/>
    </w:pPr>
  </w:p>
  <w:p w14:paraId="6EE54233"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DBC014A" w14:textId="30733996" w:rsidR="008E7826" w:rsidRDefault="00127B41" w:rsidP="008E7826">
            <w:pPr>
              <w:pStyle w:val="Footer"/>
            </w:pPr>
            <w:r>
              <w:t xml:space="preserve">GE </w:t>
            </w:r>
            <w:proofErr w:type="spellStart"/>
            <w:r>
              <w:t>ToR</w:t>
            </w:r>
            <w:proofErr w:type="spellEnd"/>
            <w:r>
              <w:t xml:space="preserve"> </w:t>
            </w:r>
            <w:r w:rsidR="0036119D">
              <w:t>Sept</w:t>
            </w:r>
            <w:r w:rsidR="00C47E45">
              <w:t xml:space="preserve">ember </w:t>
            </w:r>
            <w:r>
              <w:t>2024</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fldChar w:fldCharType="begin"/>
            </w:r>
            <w:r>
              <w:instrText xml:space="preserve"> NUMPAGES  </w:instrText>
            </w:r>
            <w:r>
              <w:fldChar w:fldCharType="separate"/>
            </w:r>
            <w:r w:rsidR="008E7826"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B68C8" w14:textId="77777777" w:rsidR="00D77AAC" w:rsidRDefault="00D77AAC" w:rsidP="00446BEE">
      <w:r>
        <w:separator/>
      </w:r>
    </w:p>
  </w:footnote>
  <w:footnote w:type="continuationSeparator" w:id="0">
    <w:p w14:paraId="460CA06E" w14:textId="77777777" w:rsidR="00D77AAC" w:rsidRDefault="00D77AAC" w:rsidP="00446BEE">
      <w:r>
        <w:continuationSeparator/>
      </w:r>
    </w:p>
  </w:footnote>
  <w:footnote w:type="continuationNotice" w:id="1">
    <w:p w14:paraId="01EB261B" w14:textId="77777777" w:rsidR="00D77AAC" w:rsidRDefault="00D77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E7B7" w14:textId="77777777" w:rsidR="008F6FB7" w:rsidRDefault="008F6FB7">
    <w:pPr>
      <w:pStyle w:val="Header"/>
    </w:pPr>
    <w:r>
      <w:rPr>
        <w:noProof/>
      </w:rPr>
      <w:drawing>
        <wp:anchor distT="0" distB="0" distL="114300" distR="114300" simplePos="0" relativeHeight="251658240" behindDoc="0" locked="0" layoutInCell="1" allowOverlap="1" wp14:anchorId="1A34E9AB" wp14:editId="7AF511C5">
          <wp:simplePos x="0" y="0"/>
          <wp:positionH relativeFrom="column">
            <wp:posOffset>0</wp:posOffset>
          </wp:positionH>
          <wp:positionV relativeFrom="page">
            <wp:posOffset>447675</wp:posOffset>
          </wp:positionV>
          <wp:extent cx="2444400" cy="252000"/>
          <wp:effectExtent l="0" t="0" r="0" b="0"/>
          <wp:wrapNone/>
          <wp:docPr id="388289922" name="Picture 38828992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C02B7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1281A"/>
    <w:multiLevelType w:val="hybridMultilevel"/>
    <w:tmpl w:val="E3641B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662152"/>
    <w:multiLevelType w:val="hybridMultilevel"/>
    <w:tmpl w:val="14FC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FD1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14532"/>
    <w:multiLevelType w:val="hybridMultilevel"/>
    <w:tmpl w:val="B47E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051A49"/>
    <w:multiLevelType w:val="hybridMultilevel"/>
    <w:tmpl w:val="19E604C4"/>
    <w:lvl w:ilvl="0" w:tplc="4362845A">
      <w:start w:val="1"/>
      <w:numFmt w:val="bullet"/>
      <w:lvlText w:val=""/>
      <w:lvlJc w:val="left"/>
      <w:pPr>
        <w:tabs>
          <w:tab w:val="num" w:pos="720"/>
        </w:tabs>
        <w:ind w:left="720" w:hanging="360"/>
      </w:pPr>
      <w:rPr>
        <w:rFonts w:ascii="Wingdings" w:hAnsi="Wingdings" w:hint="default"/>
      </w:rPr>
    </w:lvl>
    <w:lvl w:ilvl="1" w:tplc="D30C115A" w:tentative="1">
      <w:start w:val="1"/>
      <w:numFmt w:val="bullet"/>
      <w:lvlText w:val=""/>
      <w:lvlJc w:val="left"/>
      <w:pPr>
        <w:tabs>
          <w:tab w:val="num" w:pos="1440"/>
        </w:tabs>
        <w:ind w:left="1440" w:hanging="360"/>
      </w:pPr>
      <w:rPr>
        <w:rFonts w:ascii="Wingdings" w:hAnsi="Wingdings" w:hint="default"/>
      </w:rPr>
    </w:lvl>
    <w:lvl w:ilvl="2" w:tplc="F21248DC" w:tentative="1">
      <w:start w:val="1"/>
      <w:numFmt w:val="bullet"/>
      <w:lvlText w:val=""/>
      <w:lvlJc w:val="left"/>
      <w:pPr>
        <w:tabs>
          <w:tab w:val="num" w:pos="2160"/>
        </w:tabs>
        <w:ind w:left="2160" w:hanging="360"/>
      </w:pPr>
      <w:rPr>
        <w:rFonts w:ascii="Wingdings" w:hAnsi="Wingdings" w:hint="default"/>
      </w:rPr>
    </w:lvl>
    <w:lvl w:ilvl="3" w:tplc="841484B4" w:tentative="1">
      <w:start w:val="1"/>
      <w:numFmt w:val="bullet"/>
      <w:lvlText w:val=""/>
      <w:lvlJc w:val="left"/>
      <w:pPr>
        <w:tabs>
          <w:tab w:val="num" w:pos="2880"/>
        </w:tabs>
        <w:ind w:left="2880" w:hanging="360"/>
      </w:pPr>
      <w:rPr>
        <w:rFonts w:ascii="Wingdings" w:hAnsi="Wingdings" w:hint="default"/>
      </w:rPr>
    </w:lvl>
    <w:lvl w:ilvl="4" w:tplc="886E5BBA" w:tentative="1">
      <w:start w:val="1"/>
      <w:numFmt w:val="bullet"/>
      <w:lvlText w:val=""/>
      <w:lvlJc w:val="left"/>
      <w:pPr>
        <w:tabs>
          <w:tab w:val="num" w:pos="3600"/>
        </w:tabs>
        <w:ind w:left="3600" w:hanging="360"/>
      </w:pPr>
      <w:rPr>
        <w:rFonts w:ascii="Wingdings" w:hAnsi="Wingdings" w:hint="default"/>
      </w:rPr>
    </w:lvl>
    <w:lvl w:ilvl="5" w:tplc="4D0ADBEC" w:tentative="1">
      <w:start w:val="1"/>
      <w:numFmt w:val="bullet"/>
      <w:lvlText w:val=""/>
      <w:lvlJc w:val="left"/>
      <w:pPr>
        <w:tabs>
          <w:tab w:val="num" w:pos="4320"/>
        </w:tabs>
        <w:ind w:left="4320" w:hanging="360"/>
      </w:pPr>
      <w:rPr>
        <w:rFonts w:ascii="Wingdings" w:hAnsi="Wingdings" w:hint="default"/>
      </w:rPr>
    </w:lvl>
    <w:lvl w:ilvl="6" w:tplc="8C96C272" w:tentative="1">
      <w:start w:val="1"/>
      <w:numFmt w:val="bullet"/>
      <w:lvlText w:val=""/>
      <w:lvlJc w:val="left"/>
      <w:pPr>
        <w:tabs>
          <w:tab w:val="num" w:pos="5040"/>
        </w:tabs>
        <w:ind w:left="5040" w:hanging="360"/>
      </w:pPr>
      <w:rPr>
        <w:rFonts w:ascii="Wingdings" w:hAnsi="Wingdings" w:hint="default"/>
      </w:rPr>
    </w:lvl>
    <w:lvl w:ilvl="7" w:tplc="184C888E" w:tentative="1">
      <w:start w:val="1"/>
      <w:numFmt w:val="bullet"/>
      <w:lvlText w:val=""/>
      <w:lvlJc w:val="left"/>
      <w:pPr>
        <w:tabs>
          <w:tab w:val="num" w:pos="5760"/>
        </w:tabs>
        <w:ind w:left="5760" w:hanging="360"/>
      </w:pPr>
      <w:rPr>
        <w:rFonts w:ascii="Wingdings" w:hAnsi="Wingdings" w:hint="default"/>
      </w:rPr>
    </w:lvl>
    <w:lvl w:ilvl="8" w:tplc="144E7D0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89D257C"/>
    <w:multiLevelType w:val="hybridMultilevel"/>
    <w:tmpl w:val="812C1C9A"/>
    <w:lvl w:ilvl="0" w:tplc="37BEC39A">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2" w15:restartNumberingAfterBreak="0">
    <w:nsid w:val="6F0E3D55"/>
    <w:multiLevelType w:val="hybridMultilevel"/>
    <w:tmpl w:val="2AFC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8D0D54"/>
    <w:multiLevelType w:val="hybridMultilevel"/>
    <w:tmpl w:val="FA88FBB4"/>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384370">
    <w:abstractNumId w:val="16"/>
  </w:num>
  <w:num w:numId="2" w16cid:durableId="1271931310">
    <w:abstractNumId w:val="20"/>
  </w:num>
  <w:num w:numId="3" w16cid:durableId="987441700">
    <w:abstractNumId w:val="20"/>
    <w:lvlOverride w:ilvl="0">
      <w:startOverride w:val="1"/>
    </w:lvlOverride>
  </w:num>
  <w:num w:numId="4" w16cid:durableId="1499422565">
    <w:abstractNumId w:val="20"/>
    <w:lvlOverride w:ilvl="0">
      <w:startOverride w:val="1"/>
    </w:lvlOverride>
  </w:num>
  <w:num w:numId="5" w16cid:durableId="2069916214">
    <w:abstractNumId w:val="20"/>
    <w:lvlOverride w:ilvl="0">
      <w:startOverride w:val="1"/>
    </w:lvlOverride>
  </w:num>
  <w:num w:numId="6" w16cid:durableId="1714303981">
    <w:abstractNumId w:val="20"/>
    <w:lvlOverride w:ilvl="0">
      <w:startOverride w:val="1"/>
    </w:lvlOverride>
  </w:num>
  <w:num w:numId="7" w16cid:durableId="1383334273">
    <w:abstractNumId w:val="20"/>
    <w:lvlOverride w:ilvl="0">
      <w:startOverride w:val="1"/>
    </w:lvlOverride>
  </w:num>
  <w:num w:numId="8" w16cid:durableId="1773280767">
    <w:abstractNumId w:val="10"/>
  </w:num>
  <w:num w:numId="9" w16cid:durableId="25370262">
    <w:abstractNumId w:val="8"/>
  </w:num>
  <w:num w:numId="10" w16cid:durableId="631717178">
    <w:abstractNumId w:val="7"/>
  </w:num>
  <w:num w:numId="11" w16cid:durableId="229852498">
    <w:abstractNumId w:val="6"/>
  </w:num>
  <w:num w:numId="12" w16cid:durableId="619150223">
    <w:abstractNumId w:val="5"/>
  </w:num>
  <w:num w:numId="13" w16cid:durableId="1727877967">
    <w:abstractNumId w:val="9"/>
  </w:num>
  <w:num w:numId="14" w16cid:durableId="1039671961">
    <w:abstractNumId w:val="4"/>
  </w:num>
  <w:num w:numId="15" w16cid:durableId="1876431772">
    <w:abstractNumId w:val="3"/>
  </w:num>
  <w:num w:numId="16" w16cid:durableId="1799951448">
    <w:abstractNumId w:val="2"/>
  </w:num>
  <w:num w:numId="17" w16cid:durableId="960921361">
    <w:abstractNumId w:val="1"/>
  </w:num>
  <w:num w:numId="18" w16cid:durableId="250091122">
    <w:abstractNumId w:val="14"/>
  </w:num>
  <w:num w:numId="19" w16cid:durableId="1373924523">
    <w:abstractNumId w:val="14"/>
    <w:lvlOverride w:ilvl="0">
      <w:startOverride w:val="1"/>
    </w:lvlOverride>
  </w:num>
  <w:num w:numId="20" w16cid:durableId="399716702">
    <w:abstractNumId w:val="16"/>
  </w:num>
  <w:num w:numId="21" w16cid:durableId="1595244151">
    <w:abstractNumId w:val="20"/>
  </w:num>
  <w:num w:numId="22" w16cid:durableId="368646558">
    <w:abstractNumId w:val="14"/>
  </w:num>
  <w:num w:numId="23" w16cid:durableId="534393170">
    <w:abstractNumId w:val="18"/>
  </w:num>
  <w:num w:numId="24" w16cid:durableId="609512517">
    <w:abstractNumId w:val="21"/>
  </w:num>
  <w:num w:numId="25" w16cid:durableId="1785997490">
    <w:abstractNumId w:val="0"/>
  </w:num>
  <w:num w:numId="26" w16cid:durableId="1906527837">
    <w:abstractNumId w:val="13"/>
  </w:num>
  <w:num w:numId="27" w16cid:durableId="327638845">
    <w:abstractNumId w:val="23"/>
  </w:num>
  <w:num w:numId="28" w16cid:durableId="226190665">
    <w:abstractNumId w:val="22"/>
  </w:num>
  <w:num w:numId="29" w16cid:durableId="1873490783">
    <w:abstractNumId w:val="12"/>
  </w:num>
  <w:num w:numId="30" w16cid:durableId="377628298">
    <w:abstractNumId w:val="15"/>
  </w:num>
  <w:num w:numId="31" w16cid:durableId="2029329175">
    <w:abstractNumId w:val="11"/>
  </w:num>
  <w:num w:numId="32" w16cid:durableId="2781638">
    <w:abstractNumId w:val="19"/>
  </w:num>
  <w:num w:numId="33" w16cid:durableId="276181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0"/>
    <w:rsid w:val="000053F8"/>
    <w:rsid w:val="00016523"/>
    <w:rsid w:val="00024D0A"/>
    <w:rsid w:val="000630A0"/>
    <w:rsid w:val="00070065"/>
    <w:rsid w:val="000833A9"/>
    <w:rsid w:val="00084238"/>
    <w:rsid w:val="000A4FEE"/>
    <w:rsid w:val="000B3640"/>
    <w:rsid w:val="000B5939"/>
    <w:rsid w:val="000F22F6"/>
    <w:rsid w:val="0010170B"/>
    <w:rsid w:val="001134E7"/>
    <w:rsid w:val="00127B41"/>
    <w:rsid w:val="00132AE2"/>
    <w:rsid w:val="001336FF"/>
    <w:rsid w:val="00136206"/>
    <w:rsid w:val="00136CD0"/>
    <w:rsid w:val="001511D7"/>
    <w:rsid w:val="00157BBE"/>
    <w:rsid w:val="0017169E"/>
    <w:rsid w:val="001818BF"/>
    <w:rsid w:val="001A4EF6"/>
    <w:rsid w:val="001A6635"/>
    <w:rsid w:val="001A69EC"/>
    <w:rsid w:val="001B0EE9"/>
    <w:rsid w:val="001B1A8B"/>
    <w:rsid w:val="001B28A3"/>
    <w:rsid w:val="001B65B3"/>
    <w:rsid w:val="001D5DD8"/>
    <w:rsid w:val="001E60D6"/>
    <w:rsid w:val="002124D5"/>
    <w:rsid w:val="002148C6"/>
    <w:rsid w:val="002161E8"/>
    <w:rsid w:val="00223720"/>
    <w:rsid w:val="002408EA"/>
    <w:rsid w:val="002456F8"/>
    <w:rsid w:val="00255A50"/>
    <w:rsid w:val="0025603E"/>
    <w:rsid w:val="002671A1"/>
    <w:rsid w:val="002819D7"/>
    <w:rsid w:val="00285BA0"/>
    <w:rsid w:val="002A41A4"/>
    <w:rsid w:val="002C1A7E"/>
    <w:rsid w:val="002D3376"/>
    <w:rsid w:val="002E0330"/>
    <w:rsid w:val="00306455"/>
    <w:rsid w:val="00311ED0"/>
    <w:rsid w:val="00332F50"/>
    <w:rsid w:val="0034032D"/>
    <w:rsid w:val="0034244A"/>
    <w:rsid w:val="00351291"/>
    <w:rsid w:val="0036119D"/>
    <w:rsid w:val="003648C5"/>
    <w:rsid w:val="003722FA"/>
    <w:rsid w:val="00376E3A"/>
    <w:rsid w:val="00392802"/>
    <w:rsid w:val="003B2BC7"/>
    <w:rsid w:val="003B3DAC"/>
    <w:rsid w:val="003B5A9E"/>
    <w:rsid w:val="003C5B0B"/>
    <w:rsid w:val="003C7AAF"/>
    <w:rsid w:val="003D1751"/>
    <w:rsid w:val="003E3D4C"/>
    <w:rsid w:val="003F0A04"/>
    <w:rsid w:val="003F1C1C"/>
    <w:rsid w:val="003F26E8"/>
    <w:rsid w:val="004075B6"/>
    <w:rsid w:val="00420952"/>
    <w:rsid w:val="00426300"/>
    <w:rsid w:val="00432E6D"/>
    <w:rsid w:val="00446BEE"/>
    <w:rsid w:val="004519BB"/>
    <w:rsid w:val="00465B35"/>
    <w:rsid w:val="004754FD"/>
    <w:rsid w:val="004A2AB4"/>
    <w:rsid w:val="004B523A"/>
    <w:rsid w:val="004F6BF5"/>
    <w:rsid w:val="00500377"/>
    <w:rsid w:val="005025A1"/>
    <w:rsid w:val="00522858"/>
    <w:rsid w:val="00525C6E"/>
    <w:rsid w:val="00583A5E"/>
    <w:rsid w:val="00594C3A"/>
    <w:rsid w:val="005A02D5"/>
    <w:rsid w:val="005A4047"/>
    <w:rsid w:val="005D0096"/>
    <w:rsid w:val="005D52D0"/>
    <w:rsid w:val="005D7000"/>
    <w:rsid w:val="006066FF"/>
    <w:rsid w:val="00624140"/>
    <w:rsid w:val="00663150"/>
    <w:rsid w:val="006709A9"/>
    <w:rsid w:val="006802A7"/>
    <w:rsid w:val="006921E1"/>
    <w:rsid w:val="0069225C"/>
    <w:rsid w:val="00696C0A"/>
    <w:rsid w:val="006A25F8"/>
    <w:rsid w:val="006A28FB"/>
    <w:rsid w:val="006A3163"/>
    <w:rsid w:val="006A4563"/>
    <w:rsid w:val="006C468C"/>
    <w:rsid w:val="006D6B6D"/>
    <w:rsid w:val="006E2417"/>
    <w:rsid w:val="006F26ED"/>
    <w:rsid w:val="00700987"/>
    <w:rsid w:val="00702992"/>
    <w:rsid w:val="00713756"/>
    <w:rsid w:val="007154EE"/>
    <w:rsid w:val="007219BB"/>
    <w:rsid w:val="00736348"/>
    <w:rsid w:val="0077376B"/>
    <w:rsid w:val="00781C41"/>
    <w:rsid w:val="00781F75"/>
    <w:rsid w:val="007878F5"/>
    <w:rsid w:val="007B11AA"/>
    <w:rsid w:val="007B6163"/>
    <w:rsid w:val="007D1593"/>
    <w:rsid w:val="007D63F5"/>
    <w:rsid w:val="007D769F"/>
    <w:rsid w:val="007E6F72"/>
    <w:rsid w:val="007E7477"/>
    <w:rsid w:val="0083041B"/>
    <w:rsid w:val="00833D8A"/>
    <w:rsid w:val="00836531"/>
    <w:rsid w:val="00852514"/>
    <w:rsid w:val="00853332"/>
    <w:rsid w:val="00853F85"/>
    <w:rsid w:val="00861B92"/>
    <w:rsid w:val="008814FB"/>
    <w:rsid w:val="00887D26"/>
    <w:rsid w:val="008911FD"/>
    <w:rsid w:val="008A41BF"/>
    <w:rsid w:val="008A4336"/>
    <w:rsid w:val="008D2F35"/>
    <w:rsid w:val="008E7826"/>
    <w:rsid w:val="008E7F50"/>
    <w:rsid w:val="008F0349"/>
    <w:rsid w:val="008F5E30"/>
    <w:rsid w:val="008F6FB7"/>
    <w:rsid w:val="009039E1"/>
    <w:rsid w:val="00914D7F"/>
    <w:rsid w:val="00917503"/>
    <w:rsid w:val="009272D4"/>
    <w:rsid w:val="0094134F"/>
    <w:rsid w:val="00970E6A"/>
    <w:rsid w:val="0097305A"/>
    <w:rsid w:val="009A1D1F"/>
    <w:rsid w:val="009A54AB"/>
    <w:rsid w:val="009B42CE"/>
    <w:rsid w:val="009B7892"/>
    <w:rsid w:val="009D0370"/>
    <w:rsid w:val="009E359F"/>
    <w:rsid w:val="009E680B"/>
    <w:rsid w:val="00A15A1F"/>
    <w:rsid w:val="00A1603B"/>
    <w:rsid w:val="00A23A64"/>
    <w:rsid w:val="00A32BD3"/>
    <w:rsid w:val="00A3325A"/>
    <w:rsid w:val="00A3513A"/>
    <w:rsid w:val="00A43013"/>
    <w:rsid w:val="00A6257F"/>
    <w:rsid w:val="00AB1329"/>
    <w:rsid w:val="00AB15B5"/>
    <w:rsid w:val="00AF108A"/>
    <w:rsid w:val="00B02E55"/>
    <w:rsid w:val="00B036C1"/>
    <w:rsid w:val="00B24C83"/>
    <w:rsid w:val="00B461D8"/>
    <w:rsid w:val="00B50CA6"/>
    <w:rsid w:val="00B5431F"/>
    <w:rsid w:val="00B65A11"/>
    <w:rsid w:val="00B812A3"/>
    <w:rsid w:val="00B9344F"/>
    <w:rsid w:val="00BA26A6"/>
    <w:rsid w:val="00BA6F3D"/>
    <w:rsid w:val="00BB6331"/>
    <w:rsid w:val="00BC184B"/>
    <w:rsid w:val="00BC69B1"/>
    <w:rsid w:val="00BC7ED6"/>
    <w:rsid w:val="00BE71EA"/>
    <w:rsid w:val="00BF7097"/>
    <w:rsid w:val="00BF7FE0"/>
    <w:rsid w:val="00C02C81"/>
    <w:rsid w:val="00C36044"/>
    <w:rsid w:val="00C47E45"/>
    <w:rsid w:val="00C50C0A"/>
    <w:rsid w:val="00C74ACC"/>
    <w:rsid w:val="00C77C66"/>
    <w:rsid w:val="00C85682"/>
    <w:rsid w:val="00C96411"/>
    <w:rsid w:val="00C96F1B"/>
    <w:rsid w:val="00CA1ACE"/>
    <w:rsid w:val="00CB2369"/>
    <w:rsid w:val="00CD1F61"/>
    <w:rsid w:val="00CF2E5C"/>
    <w:rsid w:val="00CF4C9C"/>
    <w:rsid w:val="00CF58B7"/>
    <w:rsid w:val="00D02A8F"/>
    <w:rsid w:val="00D1699D"/>
    <w:rsid w:val="00D23037"/>
    <w:rsid w:val="00D34C30"/>
    <w:rsid w:val="00D351C1"/>
    <w:rsid w:val="00D35EFB"/>
    <w:rsid w:val="00D41D53"/>
    <w:rsid w:val="00D47D55"/>
    <w:rsid w:val="00D504B3"/>
    <w:rsid w:val="00D63387"/>
    <w:rsid w:val="00D77AAC"/>
    <w:rsid w:val="00D86BF0"/>
    <w:rsid w:val="00D9034B"/>
    <w:rsid w:val="00D90C22"/>
    <w:rsid w:val="00DA7280"/>
    <w:rsid w:val="00DC57DA"/>
    <w:rsid w:val="00DD675C"/>
    <w:rsid w:val="00DE2465"/>
    <w:rsid w:val="00E4176D"/>
    <w:rsid w:val="00E4375A"/>
    <w:rsid w:val="00E51079"/>
    <w:rsid w:val="00E51920"/>
    <w:rsid w:val="00E64120"/>
    <w:rsid w:val="00E660A1"/>
    <w:rsid w:val="00E72AE9"/>
    <w:rsid w:val="00E730E2"/>
    <w:rsid w:val="00E82CA5"/>
    <w:rsid w:val="00E851C4"/>
    <w:rsid w:val="00EB096F"/>
    <w:rsid w:val="00EB6AFD"/>
    <w:rsid w:val="00F055F1"/>
    <w:rsid w:val="00F067D2"/>
    <w:rsid w:val="00F12CC6"/>
    <w:rsid w:val="00F27682"/>
    <w:rsid w:val="00F520A7"/>
    <w:rsid w:val="00F610AF"/>
    <w:rsid w:val="00FA2C5A"/>
    <w:rsid w:val="00FC2D11"/>
    <w:rsid w:val="00FC6230"/>
    <w:rsid w:val="00FF61E7"/>
    <w:rsid w:val="02182EC3"/>
    <w:rsid w:val="025C57E8"/>
    <w:rsid w:val="11181364"/>
    <w:rsid w:val="14FB09BC"/>
    <w:rsid w:val="17A96A25"/>
    <w:rsid w:val="3105E858"/>
    <w:rsid w:val="335C68FA"/>
    <w:rsid w:val="3C4C5071"/>
    <w:rsid w:val="4AA25F8F"/>
    <w:rsid w:val="63566303"/>
    <w:rsid w:val="65FBE410"/>
    <w:rsid w:val="67BD5275"/>
    <w:rsid w:val="6C78796D"/>
    <w:rsid w:val="723548E6"/>
    <w:rsid w:val="793380B2"/>
    <w:rsid w:val="7BC5C1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6AD6A"/>
  <w15:chartTrackingRefBased/>
  <w15:docId w15:val="{E3F310A0-274A-4851-93FF-C8D2D579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B6D"/>
    <w:rPr>
      <w:rFonts w:ascii="Aptos" w:eastAsiaTheme="minorHAnsi" w:hAnsi="Aptos" w:cs="Aptos"/>
      <w:sz w:val="24"/>
      <w:szCs w:val="24"/>
      <w:lang w:eastAsia="en-US"/>
      <w14:ligatures w14:val="standardContextual"/>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eastAsia="Times New Roman" w:hAnsi="Arial" w:cs="Arial"/>
      <w:b/>
      <w:bCs/>
      <w:kern w:val="32"/>
      <w:sz w:val="32"/>
      <w:szCs w:val="32"/>
      <w14:ligatures w14:val="none"/>
    </w:rPr>
  </w:style>
  <w:style w:type="paragraph" w:styleId="Heading2">
    <w:name w:val="heading 2"/>
    <w:basedOn w:val="Normal"/>
    <w:next w:val="Paragraph"/>
    <w:link w:val="Heading2Char"/>
    <w:qFormat/>
    <w:rsid w:val="00C77C66"/>
    <w:pPr>
      <w:keepNext/>
      <w:spacing w:before="240" w:after="60" w:line="360" w:lineRule="auto"/>
      <w:outlineLvl w:val="1"/>
    </w:pPr>
    <w:rPr>
      <w:rFonts w:ascii="Arial" w:eastAsia="Times New Roman" w:hAnsi="Arial" w:cs="Arial"/>
      <w:b/>
      <w:bCs/>
      <w:color w:val="228096"/>
      <w:sz w:val="28"/>
      <w:szCs w:val="28"/>
      <w14:ligatures w14:val="none"/>
    </w:rPr>
  </w:style>
  <w:style w:type="paragraph" w:styleId="Heading3">
    <w:name w:val="heading 3"/>
    <w:basedOn w:val="Normal"/>
    <w:next w:val="Paragraph"/>
    <w:link w:val="Heading3Char"/>
    <w:qFormat/>
    <w:rsid w:val="00833D8A"/>
    <w:pPr>
      <w:keepNext/>
      <w:spacing w:before="240" w:after="60" w:line="360" w:lineRule="auto"/>
      <w:outlineLvl w:val="2"/>
    </w:pPr>
    <w:rPr>
      <w:rFonts w:ascii="Arial" w:eastAsia="Times New Roman" w:hAnsi="Arial" w:cs="Arial"/>
      <w:b/>
      <w:bCs/>
      <w:sz w:val="26"/>
      <w14:ligatures w14:val="none"/>
    </w:rPr>
  </w:style>
  <w:style w:type="paragraph" w:styleId="Heading4">
    <w:name w:val="heading 4"/>
    <w:basedOn w:val="Normal"/>
    <w:next w:val="Paragraph"/>
    <w:link w:val="Heading4Char"/>
    <w:qFormat/>
    <w:rsid w:val="00C77C66"/>
    <w:pPr>
      <w:keepNext/>
      <w:spacing w:before="120" w:after="60" w:line="360" w:lineRule="auto"/>
      <w:outlineLvl w:val="3"/>
    </w:pPr>
    <w:rPr>
      <w:rFonts w:ascii="Arial" w:eastAsia="Times New Roman" w:hAnsi="Arial" w:cs="Times New Roman"/>
      <w:b/>
      <w:bCs/>
      <w:iCs/>
      <w:color w:val="228096"/>
      <w:szCs w:val="28"/>
      <w14:ligatures w14:val="none"/>
    </w:rPr>
  </w:style>
  <w:style w:type="paragraph" w:styleId="Heading5">
    <w:name w:val="heading 5"/>
    <w:basedOn w:val="Normal"/>
    <w:next w:val="Normal"/>
    <w:link w:val="Heading5Char"/>
    <w:semiHidden/>
    <w:qFormat/>
    <w:rsid w:val="002E0330"/>
    <w:pPr>
      <w:keepNext/>
      <w:keepLines/>
      <w:spacing w:before="80" w:after="40"/>
      <w:outlineLvl w:val="4"/>
    </w:pPr>
    <w:rPr>
      <w:rFonts w:asciiTheme="minorHAnsi" w:eastAsiaTheme="majorEastAsia" w:hAnsiTheme="minorHAnsi" w:cstheme="majorBidi"/>
      <w:color w:val="195F70" w:themeColor="accent1" w:themeShade="BF"/>
      <w:lang w:eastAsia="en-GB"/>
      <w14:ligatures w14:val="none"/>
    </w:rPr>
  </w:style>
  <w:style w:type="paragraph" w:styleId="Heading6">
    <w:name w:val="heading 6"/>
    <w:basedOn w:val="Normal"/>
    <w:next w:val="Normal"/>
    <w:link w:val="Heading6Char"/>
    <w:semiHidden/>
    <w:qFormat/>
    <w:rsid w:val="002E0330"/>
    <w:pPr>
      <w:keepNext/>
      <w:keepLines/>
      <w:spacing w:before="40"/>
      <w:outlineLvl w:val="5"/>
    </w:pPr>
    <w:rPr>
      <w:rFonts w:asciiTheme="minorHAnsi" w:eastAsiaTheme="majorEastAsia" w:hAnsiTheme="minorHAnsi" w:cstheme="majorBidi"/>
      <w:i/>
      <w:iCs/>
      <w:color w:val="595959" w:themeColor="text1" w:themeTint="A6"/>
      <w:lang w:eastAsia="en-GB"/>
      <w14:ligatures w14:val="none"/>
    </w:rPr>
  </w:style>
  <w:style w:type="paragraph" w:styleId="Heading7">
    <w:name w:val="heading 7"/>
    <w:basedOn w:val="Normal"/>
    <w:next w:val="Normal"/>
    <w:link w:val="Heading7Char"/>
    <w:semiHidden/>
    <w:qFormat/>
    <w:rsid w:val="002E0330"/>
    <w:pPr>
      <w:keepNext/>
      <w:keepLines/>
      <w:spacing w:before="40"/>
      <w:outlineLvl w:val="6"/>
    </w:pPr>
    <w:rPr>
      <w:rFonts w:asciiTheme="minorHAnsi" w:eastAsiaTheme="majorEastAsia" w:hAnsiTheme="minorHAnsi" w:cstheme="majorBidi"/>
      <w:color w:val="595959" w:themeColor="text1" w:themeTint="A6"/>
      <w:lang w:eastAsia="en-GB"/>
      <w14:ligatures w14:val="none"/>
    </w:rPr>
  </w:style>
  <w:style w:type="paragraph" w:styleId="Heading8">
    <w:name w:val="heading 8"/>
    <w:basedOn w:val="Normal"/>
    <w:next w:val="Normal"/>
    <w:link w:val="Heading8Char"/>
    <w:semiHidden/>
    <w:qFormat/>
    <w:rsid w:val="002E0330"/>
    <w:pPr>
      <w:keepNext/>
      <w:keepLines/>
      <w:outlineLvl w:val="7"/>
    </w:pPr>
    <w:rPr>
      <w:rFonts w:asciiTheme="minorHAnsi" w:eastAsiaTheme="majorEastAsia" w:hAnsiTheme="minorHAnsi" w:cstheme="majorBidi"/>
      <w:i/>
      <w:iCs/>
      <w:color w:val="272727" w:themeColor="text1" w:themeTint="D8"/>
      <w:lang w:eastAsia="en-GB"/>
      <w14:ligatures w14:val="none"/>
    </w:rPr>
  </w:style>
  <w:style w:type="paragraph" w:styleId="Heading9">
    <w:name w:val="heading 9"/>
    <w:basedOn w:val="Normal"/>
    <w:next w:val="Normal"/>
    <w:link w:val="Heading9Char"/>
    <w:semiHidden/>
    <w:qFormat/>
    <w:rsid w:val="002E0330"/>
    <w:pPr>
      <w:keepNext/>
      <w:keepLines/>
      <w:outlineLvl w:val="8"/>
    </w:pPr>
    <w:rPr>
      <w:rFonts w:asciiTheme="minorHAnsi" w:eastAsiaTheme="majorEastAsia" w:hAnsiTheme="minorHAnsi" w:cstheme="majorBidi"/>
      <w:color w:val="272727" w:themeColor="text1" w:themeTint="D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eastAsia="Times New Roman" w:hAnsi="Arial" w:cs="Times New Roman"/>
      <w14:ligatures w14:val="none"/>
    </w:rPr>
  </w:style>
  <w:style w:type="paragraph" w:styleId="Title">
    <w:name w:val="Title"/>
    <w:basedOn w:val="Normal"/>
    <w:next w:val="Heading1"/>
    <w:link w:val="TitleChar"/>
    <w:qFormat/>
    <w:rsid w:val="00696C0A"/>
    <w:pPr>
      <w:spacing w:before="240" w:after="240"/>
      <w:jc w:val="center"/>
      <w:outlineLvl w:val="0"/>
    </w:pPr>
    <w:rPr>
      <w:rFonts w:ascii="Arial" w:eastAsia="Times New Roman" w:hAnsi="Arial" w:cs="Times New Roman"/>
      <w:b/>
      <w:bCs/>
      <w:kern w:val="28"/>
      <w:sz w:val="40"/>
      <w:szCs w:val="32"/>
      <w:lang w:eastAsia="en-GB"/>
      <w14:ligatures w14:val="none"/>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eastAsia="Times New Roman" w:hAnsi="Arial" w:cs="Times New Roman"/>
      <w14:ligatures w14:val="none"/>
    </w:rPr>
  </w:style>
  <w:style w:type="paragraph" w:styleId="Header">
    <w:name w:val="header"/>
    <w:basedOn w:val="Normal"/>
    <w:link w:val="HeaderChar"/>
    <w:uiPriority w:val="99"/>
    <w:semiHidden/>
    <w:rsid w:val="0017169E"/>
    <w:pPr>
      <w:tabs>
        <w:tab w:val="center" w:pos="4513"/>
        <w:tab w:val="right" w:pos="9026"/>
      </w:tabs>
    </w:pPr>
    <w:rPr>
      <w:rFonts w:ascii="Arial" w:eastAsia="Times New Roman" w:hAnsi="Arial" w:cs="Times New Roman"/>
      <w:lang w:eastAsia="en-GB"/>
      <w14:ligatures w14:val="none"/>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eastAsia="Times New Roman" w:hAnsi="Arial" w:cs="Times New Roman"/>
      <w:sz w:val="20"/>
      <w:lang w:eastAsia="en-GB"/>
      <w14:ligatures w14:val="none"/>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eastAsia="Times New Roman" w:hAnsi="Tahoma" w:cs="Tahoma"/>
      <w:sz w:val="16"/>
      <w:szCs w:val="16"/>
      <w:lang w:eastAsia="en-GB"/>
      <w14:ligatures w14:val="none"/>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eastAsia="Times New Roman" w:hAnsi="Arial" w:cs="Times New Roman"/>
      <w:lang w:eastAsia="en-GB"/>
      <w14:ligatures w14:val="none"/>
    </w:rPr>
  </w:style>
  <w:style w:type="paragraph" w:customStyle="1" w:styleId="Paragraph">
    <w:name w:val="Paragraph"/>
    <w:basedOn w:val="Normal"/>
    <w:uiPriority w:val="99"/>
    <w:qFormat/>
    <w:rsid w:val="00624140"/>
    <w:pPr>
      <w:spacing w:after="240" w:line="360" w:lineRule="auto"/>
    </w:pPr>
    <w:rPr>
      <w:rFonts w:ascii="Arial" w:eastAsia="Times New Roman" w:hAnsi="Arial" w:cs="Times New Roman"/>
      <w14:ligatures w14:val="none"/>
    </w:rPr>
  </w:style>
  <w:style w:type="paragraph" w:styleId="TOC1">
    <w:name w:val="toc 1"/>
    <w:basedOn w:val="Normal"/>
    <w:next w:val="Normal"/>
    <w:autoRedefine/>
    <w:uiPriority w:val="39"/>
    <w:rsid w:val="003F0A04"/>
    <w:pPr>
      <w:spacing w:line="360" w:lineRule="auto"/>
    </w:pPr>
    <w:rPr>
      <w:rFonts w:ascii="Arial" w:eastAsia="Times New Roman" w:hAnsi="Arial" w:cs="Times New Roman"/>
      <w:lang w:eastAsia="en-GB"/>
      <w14:ligatures w14:val="none"/>
    </w:rPr>
  </w:style>
  <w:style w:type="paragraph" w:styleId="TOC2">
    <w:name w:val="toc 2"/>
    <w:basedOn w:val="Normal"/>
    <w:next w:val="Normal"/>
    <w:autoRedefine/>
    <w:uiPriority w:val="39"/>
    <w:rsid w:val="003F0A04"/>
    <w:pPr>
      <w:spacing w:line="360" w:lineRule="auto"/>
      <w:ind w:left="240"/>
    </w:pPr>
    <w:rPr>
      <w:rFonts w:ascii="Arial" w:eastAsia="Times New Roman" w:hAnsi="Arial" w:cs="Times New Roman"/>
      <w:lang w:eastAsia="en-GB"/>
      <w14:ligatures w14:val="none"/>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eastAsia="Times New Roman" w:hAnsi="Arial" w:cs="Times New Roman"/>
      <w:noProof/>
      <w:lang w:eastAsia="en-GB"/>
      <w14:ligatures w14:val="none"/>
    </w:rPr>
  </w:style>
  <w:style w:type="paragraph" w:styleId="TOC4">
    <w:name w:val="toc 4"/>
    <w:basedOn w:val="Normal"/>
    <w:next w:val="Normal"/>
    <w:autoRedefine/>
    <w:semiHidden/>
    <w:rsid w:val="00F610AF"/>
    <w:pPr>
      <w:ind w:left="720"/>
    </w:pPr>
    <w:rPr>
      <w:rFonts w:ascii="Arial" w:eastAsia="Times New Roman" w:hAnsi="Arial" w:cs="Times New Roman"/>
      <w:lang w:eastAsia="en-GB"/>
      <w14:ligatures w14:val="none"/>
    </w:rPr>
  </w:style>
  <w:style w:type="paragraph" w:styleId="TOAHeading">
    <w:name w:val="toa heading"/>
    <w:basedOn w:val="Normal"/>
    <w:next w:val="Normal"/>
    <w:semiHidden/>
    <w:rsid w:val="00F610AF"/>
    <w:pPr>
      <w:spacing w:before="120"/>
    </w:pPr>
    <w:rPr>
      <w:rFonts w:ascii="Arial" w:eastAsia="Times New Roman" w:hAnsi="Arial" w:cs="Times New Roman"/>
      <w:b/>
      <w:bCs/>
      <w:lang w:eastAsia="en-GB"/>
      <w14:ligatures w14:val="none"/>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eastAsia="Times New Roman" w:hAnsi="Arial" w:cs="Times New Roman"/>
      <w:b/>
      <w:iCs/>
      <w:szCs w:val="18"/>
      <w14:ligatures w14:val="none"/>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eastAsia="Times New Roman" w:hAnsi="Arial" w:cs="Times New Roman"/>
      <w:sz w:val="22"/>
      <w14:ligatures w14:val="none"/>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rFonts w:ascii="Times New Roman" w:eastAsia="Times New Roman" w:hAnsi="Times New Roman" w:cs="Times New Roman"/>
      <w:sz w:val="20"/>
      <w:szCs w:val="20"/>
      <w:lang w:eastAsia="en-GB"/>
      <w14:ligatures w14:val="none"/>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2E0330"/>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2E0330"/>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2E0330"/>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2E0330"/>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2E0330"/>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2E03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2E03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E0330"/>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2E0330"/>
    <w:rPr>
      <w:i/>
      <w:iCs/>
      <w:color w:val="404040" w:themeColor="text1" w:themeTint="BF"/>
      <w:sz w:val="24"/>
      <w:szCs w:val="24"/>
    </w:rPr>
  </w:style>
  <w:style w:type="paragraph" w:styleId="ListParagraph">
    <w:name w:val="List Paragraph"/>
    <w:basedOn w:val="Normal"/>
    <w:uiPriority w:val="34"/>
    <w:qFormat/>
    <w:rsid w:val="002E0330"/>
    <w:pPr>
      <w:ind w:left="720"/>
      <w:contextualSpacing/>
    </w:pPr>
    <w:rPr>
      <w:rFonts w:ascii="Times New Roman" w:eastAsia="Times New Roman" w:hAnsi="Times New Roman" w:cs="Times New Roman"/>
      <w:lang w:eastAsia="en-GB"/>
      <w14:ligatures w14:val="none"/>
    </w:rPr>
  </w:style>
  <w:style w:type="character" w:styleId="IntenseEmphasis">
    <w:name w:val="Intense Emphasis"/>
    <w:basedOn w:val="DefaultParagraphFont"/>
    <w:uiPriority w:val="21"/>
    <w:semiHidden/>
    <w:qFormat/>
    <w:rsid w:val="002E0330"/>
    <w:rPr>
      <w:i/>
      <w:iCs/>
      <w:color w:val="195F70" w:themeColor="accent1" w:themeShade="BF"/>
    </w:rPr>
  </w:style>
  <w:style w:type="paragraph" w:styleId="IntenseQuote">
    <w:name w:val="Intense Quote"/>
    <w:basedOn w:val="Normal"/>
    <w:next w:val="Normal"/>
    <w:link w:val="IntenseQuoteChar"/>
    <w:uiPriority w:val="30"/>
    <w:semiHidden/>
    <w:qFormat/>
    <w:rsid w:val="002E0330"/>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2E0330"/>
    <w:rPr>
      <w:i/>
      <w:iCs/>
      <w:color w:val="195F70" w:themeColor="accent1" w:themeShade="BF"/>
      <w:sz w:val="24"/>
      <w:szCs w:val="24"/>
    </w:rPr>
  </w:style>
  <w:style w:type="character" w:styleId="IntenseReference">
    <w:name w:val="Intense Reference"/>
    <w:basedOn w:val="DefaultParagraphFont"/>
    <w:uiPriority w:val="32"/>
    <w:semiHidden/>
    <w:qFormat/>
    <w:rsid w:val="002E0330"/>
    <w:rPr>
      <w:b/>
      <w:bCs/>
      <w:smallCaps/>
      <w:color w:val="195F70" w:themeColor="accent1" w:themeShade="BF"/>
      <w:spacing w:val="5"/>
    </w:rPr>
  </w:style>
  <w:style w:type="paragraph" w:customStyle="1" w:styleId="Default">
    <w:name w:val="Default"/>
    <w:rsid w:val="002E033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C69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431278">
      <w:bodyDiv w:val="1"/>
      <w:marLeft w:val="0"/>
      <w:marRight w:val="0"/>
      <w:marTop w:val="0"/>
      <w:marBottom w:val="0"/>
      <w:divBdr>
        <w:top w:val="none" w:sz="0" w:space="0" w:color="auto"/>
        <w:left w:val="none" w:sz="0" w:space="0" w:color="auto"/>
        <w:bottom w:val="none" w:sz="0" w:space="0" w:color="auto"/>
        <w:right w:val="none" w:sz="0" w:space="0" w:color="auto"/>
      </w:divBdr>
    </w:div>
    <w:div w:id="1280529858">
      <w:bodyDiv w:val="1"/>
      <w:marLeft w:val="0"/>
      <w:marRight w:val="0"/>
      <w:marTop w:val="0"/>
      <w:marBottom w:val="0"/>
      <w:divBdr>
        <w:top w:val="none" w:sz="0" w:space="0" w:color="auto"/>
        <w:left w:val="none" w:sz="0" w:space="0" w:color="auto"/>
        <w:bottom w:val="none" w:sz="0" w:space="0" w:color="auto"/>
        <w:right w:val="none" w:sz="0" w:space="0" w:color="auto"/>
      </w:divBdr>
      <w:divsChild>
        <w:div w:id="1062220141">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43b6749bacbb2e1998eb903b41df710f">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0e30389c7656ecbc6f4d95a51ac14af2"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FEF6FA02-27CD-4A50-9FDA-50D23BD6D98B}"/>
</file>

<file path=customXml/itemProps3.xml><?xml version="1.0" encoding="utf-8"?>
<ds:datastoreItem xmlns:ds="http://schemas.openxmlformats.org/officeDocument/2006/customXml" ds:itemID="{F50452A9-333D-4F6B-999D-F7A7F1408AB6}">
  <ds:schemaRefs>
    <ds:schemaRef ds:uri="http://schemas.microsoft.com/office/2006/metadata/properties"/>
    <ds:schemaRef ds:uri="http://schemas.microsoft.com/office/infopath/2007/PartnerControls"/>
    <ds:schemaRef ds:uri="e616203a-d9ce-48ae-a29f-93ef8515b01f"/>
  </ds:schemaRefs>
</ds:datastoreItem>
</file>

<file path=customXml/itemProps4.xml><?xml version="1.0" encoding="utf-8"?>
<ds:datastoreItem xmlns:ds="http://schemas.openxmlformats.org/officeDocument/2006/customXml" ds:itemID="{41CAE1A2-6737-42CE-8589-95F517779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Johnson</dc:creator>
  <cp:keywords/>
  <dc:description/>
  <cp:lastModifiedBy>Lindsay Johnson</cp:lastModifiedBy>
  <cp:revision>2</cp:revision>
  <dcterms:created xsi:type="dcterms:W3CDTF">2024-09-05T18:26:00Z</dcterms:created>
  <dcterms:modified xsi:type="dcterms:W3CDTF">2024-09-05T18:26:00Z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2024-05-17T10:03:05Z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3fa5c361-9c79-45d2-b73c-bae8ee533687</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MediaServiceImageTags">
    <vt:lpwstr/>
  </property>
</Properties>
</file>