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48686776" w:rsidR="00975C12" w:rsidRPr="00F40D3F" w:rsidRDefault="00975C12" w:rsidP="00975C12">
      <w:pPr>
        <w:pStyle w:val="Heading1"/>
        <w:jc w:val="center"/>
      </w:pPr>
      <w:r w:rsidRPr="00F40D3F">
        <w:t xml:space="preserve">Minutes of the meeting held on </w:t>
      </w:r>
      <w:r w:rsidR="0012667C">
        <w:t>20</w:t>
      </w:r>
      <w:r w:rsidR="00D20500">
        <w:t xml:space="preserve"> October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5652997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5019FAB" w14:textId="0982C1C4" w:rsidR="00285711" w:rsidRDefault="00285711"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3017A53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390CF074" w14:textId="69EFEEC2" w:rsidR="005E1D7B" w:rsidRPr="00940904"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 xml:space="preserve">Acting Director – Health and Social Care </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27661E0C" w14:textId="1A25AE55" w:rsidR="00025283" w:rsidRDefault="00025283" w:rsidP="00B43F28">
      <w:pPr>
        <w:pStyle w:val="NICEnormal"/>
        <w:spacing w:after="0" w:line="240" w:lineRule="auto"/>
        <w:ind w:left="2160" w:hanging="2160"/>
        <w:rPr>
          <w:rFonts w:cs="Arial"/>
          <w:sz w:val="22"/>
          <w:szCs w:val="22"/>
        </w:rPr>
      </w:pPr>
      <w:r w:rsidRPr="00E6613F">
        <w:rPr>
          <w:rFonts w:cs="Arial"/>
          <w:sz w:val="22"/>
          <w:szCs w:val="22"/>
        </w:rPr>
        <w:t>Alison Liddell</w:t>
      </w:r>
      <w:r w:rsidRPr="00E6613F">
        <w:rPr>
          <w:rFonts w:cs="Arial"/>
          <w:sz w:val="22"/>
          <w:szCs w:val="22"/>
        </w:rPr>
        <w:tab/>
        <w:t>Programme Director and Deputy Digital, Information and Technology Director</w:t>
      </w:r>
    </w:p>
    <w:p w14:paraId="2C85E5B2" w14:textId="108272B6" w:rsidR="00E84887" w:rsidRDefault="00E84887" w:rsidP="00E84887">
      <w:pPr>
        <w:ind w:left="2160" w:hanging="2160"/>
        <w:rPr>
          <w:rFonts w:ascii="Arial" w:hAnsi="Arial" w:cs="Arial"/>
          <w:sz w:val="22"/>
          <w:szCs w:val="22"/>
        </w:rPr>
      </w:pPr>
      <w:r w:rsidRPr="00E6613F">
        <w:rPr>
          <w:rFonts w:ascii="Arial" w:hAnsi="Arial" w:cs="Arial"/>
          <w:sz w:val="22"/>
          <w:szCs w:val="22"/>
        </w:rPr>
        <w:t>Martin Davison</w:t>
      </w:r>
      <w:r w:rsidRPr="00E6613F">
        <w:rPr>
          <w:rFonts w:ascii="Arial" w:hAnsi="Arial" w:cs="Arial"/>
          <w:sz w:val="22"/>
          <w:szCs w:val="22"/>
        </w:rPr>
        <w:tab/>
        <w:t>Acting Associate Director – Finance (item</w:t>
      </w:r>
      <w:r>
        <w:rPr>
          <w:rFonts w:ascii="Arial" w:hAnsi="Arial" w:cs="Arial"/>
          <w:sz w:val="22"/>
          <w:szCs w:val="22"/>
        </w:rPr>
        <w:t xml:space="preserve"> 7.1</w:t>
      </w:r>
      <w:r w:rsidRPr="00E6613F">
        <w:rPr>
          <w:rFonts w:ascii="Arial" w:hAnsi="Arial" w:cs="Arial"/>
          <w:sz w:val="22"/>
          <w:szCs w:val="22"/>
        </w:rPr>
        <w:t>)</w:t>
      </w:r>
    </w:p>
    <w:p w14:paraId="3D9B88B5" w14:textId="6CCE3DF9" w:rsidR="00C042DB" w:rsidRPr="00AD588F" w:rsidRDefault="00C042DB" w:rsidP="00E84887">
      <w:pPr>
        <w:ind w:left="2160" w:hanging="2160"/>
        <w:rPr>
          <w:rFonts w:ascii="Arial" w:hAnsi="Arial" w:cs="Arial"/>
          <w:sz w:val="22"/>
          <w:szCs w:val="22"/>
        </w:rPr>
      </w:pPr>
      <w:r>
        <w:rPr>
          <w:rFonts w:ascii="Arial" w:hAnsi="Arial" w:cs="Arial"/>
          <w:sz w:val="22"/>
          <w:szCs w:val="22"/>
        </w:rPr>
        <w:t xml:space="preserve">Pilar Pinilla- </w:t>
      </w:r>
      <w:r>
        <w:rPr>
          <w:rFonts w:ascii="Arial" w:hAnsi="Arial" w:cs="Arial"/>
          <w:sz w:val="22"/>
          <w:szCs w:val="22"/>
        </w:rPr>
        <w:tab/>
        <w:t xml:space="preserve">Principal Scientific Advisor </w:t>
      </w:r>
      <w:r w:rsidR="00AD588F">
        <w:rPr>
          <w:rFonts w:ascii="Arial" w:hAnsi="Arial" w:cs="Arial"/>
          <w:sz w:val="22"/>
          <w:szCs w:val="22"/>
        </w:rPr>
        <w:t>–</w:t>
      </w:r>
      <w:r w:rsidR="00AD588F" w:rsidRPr="00AD588F">
        <w:rPr>
          <w:rFonts w:ascii="Arial" w:hAnsi="Arial" w:cs="Arial"/>
          <w:sz w:val="22"/>
          <w:szCs w:val="22"/>
        </w:rPr>
        <w:t xml:space="preserve"> </w:t>
      </w:r>
      <w:r w:rsidR="00AD588F">
        <w:rPr>
          <w:rFonts w:ascii="Arial" w:hAnsi="Arial" w:cs="Arial"/>
          <w:sz w:val="22"/>
          <w:szCs w:val="22"/>
        </w:rPr>
        <w:t xml:space="preserve">Scientific Advice </w:t>
      </w:r>
      <w:r w:rsidRPr="00AD588F">
        <w:rPr>
          <w:rFonts w:ascii="Arial" w:hAnsi="Arial" w:cs="Arial"/>
          <w:sz w:val="22"/>
          <w:szCs w:val="22"/>
        </w:rPr>
        <w:t>(item 7.2)</w:t>
      </w:r>
    </w:p>
    <w:p w14:paraId="6D032510" w14:textId="187E5D5B" w:rsidR="00C042DB" w:rsidRPr="00AD588F" w:rsidRDefault="00C042DB" w:rsidP="00E84887">
      <w:pPr>
        <w:ind w:left="2160" w:hanging="2160"/>
        <w:rPr>
          <w:rFonts w:ascii="Arial" w:hAnsi="Arial" w:cs="Arial"/>
          <w:sz w:val="22"/>
          <w:szCs w:val="22"/>
        </w:rPr>
      </w:pPr>
      <w:r w:rsidRPr="00AD588F">
        <w:rPr>
          <w:rFonts w:ascii="Arial" w:hAnsi="Arial" w:cs="Arial"/>
          <w:sz w:val="22"/>
          <w:szCs w:val="22"/>
        </w:rPr>
        <w:t xml:space="preserve">Dominguez </w:t>
      </w:r>
    </w:p>
    <w:p w14:paraId="2CCE44CA" w14:textId="7A6D6122" w:rsidR="00E84887" w:rsidRPr="00AD588F" w:rsidRDefault="00E84887" w:rsidP="00C042DB">
      <w:pPr>
        <w:ind w:left="2160" w:hanging="2160"/>
        <w:rPr>
          <w:rFonts w:ascii="Arial" w:hAnsi="Arial" w:cs="Arial"/>
          <w:sz w:val="22"/>
          <w:szCs w:val="22"/>
        </w:rPr>
      </w:pPr>
      <w:r w:rsidRPr="00AD588F">
        <w:rPr>
          <w:rFonts w:ascii="Arial" w:hAnsi="Arial" w:cs="Arial"/>
          <w:sz w:val="22"/>
          <w:szCs w:val="22"/>
        </w:rPr>
        <w:t>Deborah Lee</w:t>
      </w:r>
      <w:r w:rsidR="00C042DB" w:rsidRPr="00AD588F">
        <w:rPr>
          <w:rFonts w:ascii="Arial" w:hAnsi="Arial" w:cs="Arial"/>
          <w:sz w:val="22"/>
          <w:szCs w:val="22"/>
        </w:rPr>
        <w:tab/>
        <w:t>Senior Project Manager</w:t>
      </w:r>
      <w:r w:rsidR="00AD588F" w:rsidRPr="00AD588F">
        <w:rPr>
          <w:rFonts w:ascii="Arial" w:hAnsi="Arial" w:cs="Arial"/>
          <w:sz w:val="22"/>
          <w:szCs w:val="22"/>
        </w:rPr>
        <w:t xml:space="preserve"> - </w:t>
      </w:r>
      <w:r w:rsidR="00AD588F">
        <w:rPr>
          <w:rFonts w:ascii="Arial" w:hAnsi="Arial" w:cs="Arial"/>
          <w:sz w:val="22"/>
          <w:szCs w:val="22"/>
        </w:rPr>
        <w:t xml:space="preserve">Scientific Advice </w:t>
      </w:r>
      <w:r w:rsidR="00C042DB" w:rsidRPr="00AD588F">
        <w:rPr>
          <w:rFonts w:ascii="Arial" w:hAnsi="Arial" w:cs="Arial"/>
          <w:sz w:val="22"/>
          <w:szCs w:val="22"/>
        </w:rPr>
        <w:t>(item 7.2)</w:t>
      </w:r>
    </w:p>
    <w:p w14:paraId="6C3D17B6" w14:textId="095413A5" w:rsidR="00CF1EB0" w:rsidRPr="00AD588F" w:rsidRDefault="00CF1EB0" w:rsidP="002445B0">
      <w:pPr>
        <w:ind w:left="2160" w:hanging="2160"/>
        <w:rPr>
          <w:rFonts w:ascii="Arial" w:hAnsi="Arial" w:cs="Arial"/>
          <w:sz w:val="22"/>
          <w:szCs w:val="22"/>
        </w:rPr>
      </w:pPr>
      <w:r w:rsidRPr="00AD588F">
        <w:rPr>
          <w:rFonts w:ascii="Arial" w:hAnsi="Arial" w:cs="Arial"/>
          <w:sz w:val="22"/>
          <w:szCs w:val="22"/>
        </w:rPr>
        <w:t xml:space="preserve">Mark Salmon </w:t>
      </w:r>
      <w:r w:rsidR="002445B0" w:rsidRPr="00AD588F">
        <w:rPr>
          <w:rFonts w:ascii="Arial" w:hAnsi="Arial" w:cs="Arial"/>
          <w:sz w:val="22"/>
          <w:szCs w:val="22"/>
        </w:rPr>
        <w:tab/>
        <w:t>Programme Director – Science, Evidence and Analytics (</w:t>
      </w:r>
      <w:r w:rsidRPr="00AD588F">
        <w:rPr>
          <w:rFonts w:ascii="Arial" w:hAnsi="Arial" w:cs="Arial"/>
          <w:sz w:val="22"/>
          <w:szCs w:val="22"/>
        </w:rPr>
        <w:t xml:space="preserve">item </w:t>
      </w:r>
      <w:r w:rsidR="00D97F88" w:rsidRPr="00AD588F">
        <w:rPr>
          <w:rFonts w:ascii="Arial" w:hAnsi="Arial" w:cs="Arial"/>
          <w:sz w:val="22"/>
          <w:szCs w:val="22"/>
        </w:rPr>
        <w:t>7.4</w:t>
      </w:r>
      <w:r w:rsidR="002445B0" w:rsidRPr="00AD588F">
        <w:rPr>
          <w:rFonts w:ascii="Arial" w:hAnsi="Arial" w:cs="Arial"/>
          <w:sz w:val="22"/>
          <w:szCs w:val="22"/>
        </w:rPr>
        <w:t>)</w:t>
      </w:r>
    </w:p>
    <w:p w14:paraId="79825038" w14:textId="39FC9266" w:rsidR="001F7004" w:rsidRPr="00AD588F" w:rsidRDefault="001F7004" w:rsidP="002445B0">
      <w:pPr>
        <w:ind w:left="2160" w:hanging="2160"/>
        <w:rPr>
          <w:rFonts w:ascii="Arial" w:hAnsi="Arial" w:cs="Arial"/>
          <w:sz w:val="22"/>
          <w:szCs w:val="22"/>
        </w:rPr>
      </w:pPr>
      <w:r w:rsidRPr="00AD588F">
        <w:rPr>
          <w:rFonts w:ascii="Arial" w:hAnsi="Arial" w:cs="Arial"/>
          <w:sz w:val="22"/>
          <w:szCs w:val="22"/>
        </w:rPr>
        <w:t>Grace Marguerie</w:t>
      </w:r>
      <w:r w:rsidR="00C042DB" w:rsidRPr="00AD588F">
        <w:rPr>
          <w:rFonts w:ascii="Arial" w:hAnsi="Arial" w:cs="Arial"/>
          <w:sz w:val="22"/>
          <w:szCs w:val="22"/>
        </w:rPr>
        <w:tab/>
        <w:t>Associate Director – HR (item 7.4)</w:t>
      </w:r>
    </w:p>
    <w:p w14:paraId="1EE8D88A" w14:textId="500FC3D5" w:rsidR="001F7004" w:rsidRDefault="001F7004" w:rsidP="002445B0">
      <w:pPr>
        <w:ind w:left="2160" w:hanging="2160"/>
        <w:rPr>
          <w:rFonts w:ascii="Arial" w:hAnsi="Arial" w:cs="Arial"/>
          <w:sz w:val="22"/>
          <w:szCs w:val="22"/>
        </w:rPr>
      </w:pPr>
      <w:r>
        <w:rPr>
          <w:rFonts w:ascii="Arial" w:hAnsi="Arial" w:cs="Arial"/>
          <w:sz w:val="22"/>
          <w:szCs w:val="22"/>
        </w:rPr>
        <w:t>Jonathan Underhill</w:t>
      </w:r>
      <w:r w:rsidR="00C042DB">
        <w:rPr>
          <w:rFonts w:ascii="Arial" w:hAnsi="Arial" w:cs="Arial"/>
          <w:sz w:val="22"/>
          <w:szCs w:val="22"/>
        </w:rPr>
        <w:tab/>
        <w:t>Medicines Consultant Clinical Advisor (item 7.5)</w:t>
      </w:r>
    </w:p>
    <w:p w14:paraId="5A55D333" w14:textId="6F8AC7A6" w:rsidR="001F7004" w:rsidRDefault="001F7004" w:rsidP="002445B0">
      <w:pPr>
        <w:ind w:left="2160" w:hanging="2160"/>
        <w:rPr>
          <w:rFonts w:ascii="Arial" w:hAnsi="Arial" w:cs="Arial"/>
          <w:sz w:val="22"/>
          <w:szCs w:val="22"/>
        </w:rPr>
      </w:pPr>
      <w:r>
        <w:rPr>
          <w:rFonts w:ascii="Arial" w:hAnsi="Arial" w:cs="Arial"/>
          <w:sz w:val="22"/>
          <w:szCs w:val="22"/>
        </w:rPr>
        <w:t>Laura Norburn</w:t>
      </w:r>
      <w:r w:rsidR="00C042DB">
        <w:rPr>
          <w:rFonts w:ascii="Arial" w:hAnsi="Arial" w:cs="Arial"/>
          <w:sz w:val="22"/>
          <w:szCs w:val="22"/>
        </w:rPr>
        <w:tab/>
        <w:t>Senior Operations Manager – Public Involvement Programme (item 7.5)</w:t>
      </w:r>
    </w:p>
    <w:p w14:paraId="08E3116A" w14:textId="2CC69B02" w:rsidR="00D97F88" w:rsidRPr="00E6613F" w:rsidRDefault="00D97F88" w:rsidP="002445B0">
      <w:pPr>
        <w:ind w:left="2160" w:hanging="2160"/>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and Risk Manager (minutes)</w:t>
      </w:r>
    </w:p>
    <w:p w14:paraId="00856417" w14:textId="77777777" w:rsidR="00CF1EB0" w:rsidRPr="007C67AB" w:rsidRDefault="00CF1EB0"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3D66D778" w:rsidR="006F3BE2" w:rsidRPr="00E6613F" w:rsidRDefault="00731C38" w:rsidP="00C50606">
      <w:pPr>
        <w:pStyle w:val="Numberedpara"/>
        <w:rPr>
          <w:color w:val="auto"/>
        </w:rPr>
      </w:pPr>
      <w:r w:rsidRPr="00E6613F">
        <w:rPr>
          <w:color w:val="auto"/>
        </w:rPr>
        <w:t xml:space="preserve">Apologies were received from </w:t>
      </w:r>
      <w:r w:rsidR="0030624F" w:rsidRPr="00E6613F">
        <w:rPr>
          <w:color w:val="auto"/>
        </w:rPr>
        <w:t>Alexia Tonnel</w:t>
      </w:r>
      <w:r w:rsidRPr="00E6613F">
        <w:rPr>
          <w:color w:val="auto"/>
        </w:rPr>
        <w:t xml:space="preserve"> who w</w:t>
      </w:r>
      <w:r w:rsidR="00E6613F" w:rsidRPr="00E6613F">
        <w:rPr>
          <w:color w:val="auto"/>
        </w:rPr>
        <w:t xml:space="preserve">as </w:t>
      </w:r>
      <w:r w:rsidRPr="00E6613F">
        <w:rPr>
          <w:color w:val="auto"/>
        </w:rPr>
        <w:t xml:space="preserve">represented by </w:t>
      </w:r>
      <w:r w:rsidR="0030624F" w:rsidRPr="00E6613F">
        <w:rPr>
          <w:color w:val="auto"/>
        </w:rPr>
        <w:t>Alison Liddell</w:t>
      </w:r>
      <w:r w:rsidR="00E6613F" w:rsidRPr="00E6613F">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34C3E570" w:rsidR="0043491E" w:rsidRPr="00E6613F" w:rsidRDefault="006F3BE2" w:rsidP="00826DF2">
      <w:pPr>
        <w:pStyle w:val="Numberedpara"/>
        <w:rPr>
          <w:color w:val="auto"/>
        </w:rPr>
      </w:pPr>
      <w:r>
        <w:t xml:space="preserve">The minutes of the meeting held on </w:t>
      </w:r>
      <w:r w:rsidR="002727D7">
        <w:t>13</w:t>
      </w:r>
      <w:r w:rsidR="00E65CA4">
        <w:t xml:space="preserve"> October</w:t>
      </w:r>
      <w:r w:rsidR="00E44C2E">
        <w:t xml:space="preserve"> 2020</w:t>
      </w:r>
      <w:r>
        <w:t xml:space="preserve"> were agreed</w:t>
      </w:r>
      <w:r w:rsidR="00AF08F1">
        <w:t xml:space="preserve"> </w:t>
      </w:r>
      <w:r w:rsidR="002727D7">
        <w:t>as a correct record.</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47FD5973" w:rsidR="006F3BE2" w:rsidRDefault="006F3BE2" w:rsidP="00FF68A5">
      <w:pPr>
        <w:pStyle w:val="Numberedpara"/>
      </w:pPr>
      <w:r>
        <w:t xml:space="preserve">The actions from the meeting held on </w:t>
      </w:r>
      <w:r w:rsidR="007C77ED">
        <w:t>13</w:t>
      </w:r>
      <w:r w:rsidR="00E65CA4">
        <w:t xml:space="preserve"> October</w:t>
      </w:r>
      <w:r w:rsidR="00697D0D">
        <w:t xml:space="preserve"> 2020 </w:t>
      </w:r>
      <w:r>
        <w:t xml:space="preserve">were noted as complete or in hand. </w:t>
      </w:r>
    </w:p>
    <w:p w14:paraId="58C47F93" w14:textId="552E96E6" w:rsidR="004B702C" w:rsidRDefault="004B702C" w:rsidP="004B702C">
      <w:pPr>
        <w:pStyle w:val="Numberedpara"/>
        <w:numPr>
          <w:ilvl w:val="0"/>
          <w:numId w:val="0"/>
        </w:numPr>
        <w:ind w:left="357"/>
      </w:pPr>
    </w:p>
    <w:p w14:paraId="539DBBC9" w14:textId="5A484362" w:rsidR="005F164C" w:rsidRDefault="007C77ED" w:rsidP="005F164C">
      <w:pPr>
        <w:pStyle w:val="Numberedpara"/>
        <w:spacing w:after="240"/>
      </w:pPr>
      <w:r>
        <w:t>F</w:t>
      </w:r>
      <w:r w:rsidR="0004602F">
        <w:t>urther to</w:t>
      </w:r>
      <w:r>
        <w:t xml:space="preserve"> the </w:t>
      </w:r>
      <w:r w:rsidR="0004602F">
        <w:t xml:space="preserve">slide shared at the </w:t>
      </w:r>
      <w:r>
        <w:t xml:space="preserve">all </w:t>
      </w:r>
      <w:r w:rsidR="003B422C">
        <w:t>staff meeting</w:t>
      </w:r>
      <w:r w:rsidR="0004602F">
        <w:t xml:space="preserve"> </w:t>
      </w:r>
      <w:r w:rsidR="007D4207">
        <w:t>on</w:t>
      </w:r>
      <w:r w:rsidR="0004602F">
        <w:t xml:space="preserve"> progress and next steps with the strategic plan,</w:t>
      </w:r>
      <w:r>
        <w:t xml:space="preserve"> it was agreed that SMT </w:t>
      </w:r>
      <w:r w:rsidR="0004602F">
        <w:t>sh</w:t>
      </w:r>
      <w:r>
        <w:t xml:space="preserve">ould discuss with their senior teams how to engage them in the next stage of the </w:t>
      </w:r>
      <w:r w:rsidR="003B422C">
        <w:t xml:space="preserve">strategy </w:t>
      </w:r>
      <w:r>
        <w:t xml:space="preserve">development </w:t>
      </w:r>
      <w:r w:rsidR="003B422C">
        <w:t>work</w:t>
      </w:r>
      <w:r w:rsidR="002102BB">
        <w:t xml:space="preserve"> as they will be critical to how the plan </w:t>
      </w:r>
      <w:r w:rsidR="00CC3E2D">
        <w:t>is</w:t>
      </w:r>
      <w:r w:rsidR="002102BB">
        <w:t xml:space="preserve"> taken forward and implemented within the directorates.</w:t>
      </w:r>
    </w:p>
    <w:p w14:paraId="36BEFDFF" w14:textId="69484D33" w:rsidR="005F164C" w:rsidRPr="005F164C" w:rsidRDefault="005F164C" w:rsidP="005F164C">
      <w:pPr>
        <w:pStyle w:val="Numberedpara"/>
        <w:numPr>
          <w:ilvl w:val="0"/>
          <w:numId w:val="0"/>
        </w:numPr>
        <w:spacing w:after="240"/>
        <w:jc w:val="right"/>
        <w:rPr>
          <w:b/>
          <w:bCs/>
        </w:rPr>
      </w:pPr>
      <w:r w:rsidRPr="005F164C">
        <w:rPr>
          <w:b/>
          <w:bCs/>
        </w:rPr>
        <w:t>ACTION: SMT</w:t>
      </w:r>
    </w:p>
    <w:p w14:paraId="4259E520" w14:textId="77C808FC" w:rsidR="002102BB" w:rsidRDefault="002102BB" w:rsidP="007C77ED">
      <w:pPr>
        <w:pStyle w:val="Numberedpara"/>
        <w:spacing w:after="240"/>
      </w:pPr>
      <w:r>
        <w:t xml:space="preserve">SMT discussed where responsibility for approving staff attendance at conferences </w:t>
      </w:r>
      <w:r w:rsidR="0067064E">
        <w:t xml:space="preserve">should ultimately </w:t>
      </w:r>
      <w:r w:rsidR="00CC3E2D">
        <w:t>sit</w:t>
      </w:r>
      <w:r w:rsidR="0067064E">
        <w:t xml:space="preserve"> given t</w:t>
      </w:r>
      <w:r w:rsidR="005F164C">
        <w:t>he cross-directorate considerations of financ</w:t>
      </w:r>
      <w:r w:rsidR="007D4207">
        <w:t>e</w:t>
      </w:r>
      <w:r>
        <w:t xml:space="preserve">, </w:t>
      </w:r>
      <w:r w:rsidR="005F164C">
        <w:t xml:space="preserve">HR </w:t>
      </w:r>
      <w:r>
        <w:t xml:space="preserve">and the </w:t>
      </w:r>
      <w:r>
        <w:lastRenderedPageBreak/>
        <w:t xml:space="preserve">scientific </w:t>
      </w:r>
      <w:r w:rsidR="0067064E">
        <w:t>support</w:t>
      </w:r>
      <w:r>
        <w:t xml:space="preserve"> that NICE offers to external events</w:t>
      </w:r>
      <w:r w:rsidR="005F164C">
        <w:t xml:space="preserve">.  It was agreed that Rebecca Threlfall </w:t>
      </w:r>
      <w:r w:rsidR="0067064E">
        <w:t>would</w:t>
      </w:r>
      <w:r w:rsidR="005F164C">
        <w:t xml:space="preserve"> liaise with Meindert Boysen and Jennifer Howells with a view to bringing a proposal back to SMT.</w:t>
      </w:r>
    </w:p>
    <w:p w14:paraId="4DA58486" w14:textId="3C712E1F" w:rsidR="003B422C" w:rsidRPr="0062426C" w:rsidRDefault="005F164C" w:rsidP="0062426C">
      <w:pPr>
        <w:pStyle w:val="Numberedpara"/>
        <w:numPr>
          <w:ilvl w:val="0"/>
          <w:numId w:val="0"/>
        </w:numPr>
        <w:spacing w:after="240"/>
        <w:ind w:left="357"/>
        <w:jc w:val="right"/>
        <w:rPr>
          <w:b/>
          <w:bCs/>
        </w:rPr>
      </w:pPr>
      <w:r w:rsidRPr="005F164C">
        <w:rPr>
          <w:b/>
          <w:bCs/>
        </w:rPr>
        <w:t>ACTION: RT</w:t>
      </w:r>
      <w:r w:rsidR="00A4054F">
        <w:rPr>
          <w:b/>
          <w:bCs/>
        </w:rPr>
        <w:t>/MB/JH</w:t>
      </w:r>
    </w:p>
    <w:p w14:paraId="0F45C691" w14:textId="251C350D" w:rsidR="003D4FE4" w:rsidRDefault="003D4FE4" w:rsidP="003D4FE4">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4D1B8F43" w14:textId="77777777" w:rsidR="00D0438B" w:rsidRDefault="00E6613F" w:rsidP="00E6613F">
      <w:pPr>
        <w:pStyle w:val="Numberedpara"/>
        <w:rPr>
          <w:color w:val="auto"/>
        </w:rPr>
      </w:pPr>
      <w:r>
        <w:rPr>
          <w:color w:val="auto"/>
        </w:rPr>
        <w:t>The</w:t>
      </w:r>
      <w:r w:rsidR="00D0438B">
        <w:rPr>
          <w:color w:val="auto"/>
        </w:rPr>
        <w:t xml:space="preserve"> following </w:t>
      </w:r>
      <w:r>
        <w:rPr>
          <w:color w:val="auto"/>
        </w:rPr>
        <w:t xml:space="preserve">decisions </w:t>
      </w:r>
      <w:r w:rsidR="00D0438B">
        <w:rPr>
          <w:color w:val="auto"/>
        </w:rPr>
        <w:t>from</w:t>
      </w:r>
      <w:r>
        <w:rPr>
          <w:color w:val="auto"/>
        </w:rPr>
        <w:t xml:space="preserve"> the </w:t>
      </w:r>
      <w:r w:rsidR="00D0438B">
        <w:rPr>
          <w:color w:val="auto"/>
        </w:rPr>
        <w:t>G</w:t>
      </w:r>
      <w:r>
        <w:rPr>
          <w:color w:val="auto"/>
        </w:rPr>
        <w:t xml:space="preserve">old group </w:t>
      </w:r>
      <w:r w:rsidR="00D0438B">
        <w:rPr>
          <w:color w:val="auto"/>
        </w:rPr>
        <w:t>were</w:t>
      </w:r>
      <w:r>
        <w:rPr>
          <w:color w:val="auto"/>
        </w:rPr>
        <w:t xml:space="preserve"> confirm</w:t>
      </w:r>
      <w:r w:rsidR="00D0438B">
        <w:rPr>
          <w:color w:val="auto"/>
        </w:rPr>
        <w:t>ed:</w:t>
      </w:r>
    </w:p>
    <w:p w14:paraId="6F4450EB" w14:textId="77777777" w:rsidR="00D0438B" w:rsidRDefault="00D0438B" w:rsidP="00D0438B">
      <w:pPr>
        <w:pStyle w:val="Numberedpara"/>
        <w:numPr>
          <w:ilvl w:val="0"/>
          <w:numId w:val="0"/>
        </w:numPr>
        <w:ind w:left="357"/>
        <w:rPr>
          <w:color w:val="auto"/>
        </w:rPr>
      </w:pPr>
    </w:p>
    <w:p w14:paraId="26943A79" w14:textId="44C2A925" w:rsidR="00E65CA4" w:rsidRDefault="00D0438B" w:rsidP="00D0438B">
      <w:pPr>
        <w:pStyle w:val="Numberedpara"/>
        <w:numPr>
          <w:ilvl w:val="0"/>
          <w:numId w:val="47"/>
        </w:numPr>
        <w:spacing w:after="240"/>
        <w:ind w:left="1139" w:hanging="357"/>
        <w:rPr>
          <w:color w:val="auto"/>
        </w:rPr>
      </w:pPr>
      <w:r>
        <w:rPr>
          <w:color w:val="auto"/>
        </w:rPr>
        <w:t xml:space="preserve">To </w:t>
      </w:r>
      <w:r w:rsidRPr="00D0438B">
        <w:rPr>
          <w:color w:val="auto"/>
        </w:rPr>
        <w:t xml:space="preserve">proceed with the re-design of the back reception area of City Tower to provide a bike store, showers and lockers, and to install auto-opening </w:t>
      </w:r>
      <w:r>
        <w:rPr>
          <w:color w:val="auto"/>
        </w:rPr>
        <w:t xml:space="preserve">entry and exit </w:t>
      </w:r>
      <w:r w:rsidRPr="00D0438B">
        <w:rPr>
          <w:color w:val="auto"/>
        </w:rPr>
        <w:t xml:space="preserve">doors throughout </w:t>
      </w:r>
      <w:r>
        <w:rPr>
          <w:color w:val="auto"/>
        </w:rPr>
        <w:t>the office.</w:t>
      </w:r>
    </w:p>
    <w:p w14:paraId="7ADFC1F6" w14:textId="3359549A" w:rsidR="00D0438B" w:rsidRDefault="00D0438B" w:rsidP="00D0438B">
      <w:pPr>
        <w:pStyle w:val="Numberedpara"/>
        <w:numPr>
          <w:ilvl w:val="0"/>
          <w:numId w:val="47"/>
        </w:numPr>
        <w:rPr>
          <w:color w:val="auto"/>
        </w:rPr>
      </w:pPr>
      <w:r>
        <w:rPr>
          <w:color w:val="auto"/>
        </w:rPr>
        <w:t>T</w:t>
      </w:r>
      <w:r w:rsidRPr="00D0438B">
        <w:rPr>
          <w:color w:val="auto"/>
        </w:rPr>
        <w:t xml:space="preserve">o close the Manchester office for the 3 days </w:t>
      </w:r>
      <w:r>
        <w:rPr>
          <w:color w:val="auto"/>
        </w:rPr>
        <w:t xml:space="preserve">in </w:t>
      </w:r>
      <w:r w:rsidRPr="00D0438B">
        <w:rPr>
          <w:color w:val="auto"/>
        </w:rPr>
        <w:t>between Christmas and New Year</w:t>
      </w:r>
      <w:r>
        <w:rPr>
          <w:color w:val="auto"/>
        </w:rPr>
        <w:t>.</w:t>
      </w:r>
    </w:p>
    <w:p w14:paraId="41DE97CF" w14:textId="77777777" w:rsidR="00E6613F" w:rsidRDefault="00E6613F" w:rsidP="00E6613F">
      <w:pPr>
        <w:pStyle w:val="Numberedpara"/>
        <w:numPr>
          <w:ilvl w:val="0"/>
          <w:numId w:val="0"/>
        </w:numPr>
        <w:ind w:left="357"/>
        <w:rPr>
          <w:color w:val="auto"/>
        </w:rPr>
      </w:pPr>
    </w:p>
    <w:p w14:paraId="397C4593" w14:textId="2F417FB2" w:rsidR="00E65CA4" w:rsidRDefault="00D32E12" w:rsidP="004214ED">
      <w:pPr>
        <w:pStyle w:val="Heading2"/>
      </w:pPr>
      <w:r>
        <w:t xml:space="preserve">October </w:t>
      </w:r>
      <w:r w:rsidR="0062426C">
        <w:t>B</w:t>
      </w:r>
      <w:r>
        <w:t>oard strategy meeting</w:t>
      </w:r>
      <w:r w:rsidR="00E65CA4">
        <w:t xml:space="preserve"> (item 6.1)</w:t>
      </w:r>
    </w:p>
    <w:p w14:paraId="54F3A7DB" w14:textId="29A8FE49" w:rsidR="00E65CA4" w:rsidRDefault="00E65CA4" w:rsidP="00E65CA4">
      <w:pPr>
        <w:pStyle w:val="Paragraph"/>
        <w:numPr>
          <w:ilvl w:val="0"/>
          <w:numId w:val="0"/>
        </w:numPr>
        <w:ind w:left="720" w:hanging="360"/>
      </w:pPr>
    </w:p>
    <w:p w14:paraId="532FF05D" w14:textId="40EE3C3C" w:rsidR="00944699" w:rsidRDefault="0062426C" w:rsidP="00944699">
      <w:pPr>
        <w:pStyle w:val="Numberedpara"/>
      </w:pPr>
      <w:r>
        <w:t xml:space="preserve">Arrangements for the Board strategy meeting were discussed.  David Coombs was asked to confirm what time the room </w:t>
      </w:r>
      <w:r w:rsidR="00A4054F">
        <w:t>w</w:t>
      </w:r>
      <w:r>
        <w:t>ould be a</w:t>
      </w:r>
      <w:r w:rsidR="00A4054F">
        <w:t>vailable</w:t>
      </w:r>
      <w:r>
        <w:t xml:space="preserve"> from.</w:t>
      </w:r>
    </w:p>
    <w:p w14:paraId="70F30814" w14:textId="14ADF5B8" w:rsidR="0062426C" w:rsidRPr="0062426C" w:rsidRDefault="0062426C" w:rsidP="0062426C">
      <w:pPr>
        <w:pStyle w:val="Numberedpara"/>
        <w:numPr>
          <w:ilvl w:val="0"/>
          <w:numId w:val="0"/>
        </w:numPr>
        <w:ind w:left="357"/>
        <w:jc w:val="right"/>
        <w:rPr>
          <w:b/>
          <w:bCs/>
        </w:rPr>
      </w:pPr>
      <w:r w:rsidRPr="0062426C">
        <w:rPr>
          <w:b/>
          <w:bCs/>
        </w:rPr>
        <w:t>ACTION: DC</w:t>
      </w:r>
    </w:p>
    <w:p w14:paraId="5A5540CC" w14:textId="77777777" w:rsidR="00A448EC" w:rsidRDefault="00A448EC" w:rsidP="00A448EC">
      <w:pPr>
        <w:pStyle w:val="Numberedpara"/>
        <w:numPr>
          <w:ilvl w:val="0"/>
          <w:numId w:val="0"/>
        </w:numPr>
        <w:ind w:left="357"/>
      </w:pPr>
    </w:p>
    <w:p w14:paraId="724C461A" w14:textId="0222943F" w:rsidR="00E65CA4" w:rsidRDefault="0062426C" w:rsidP="00944699">
      <w:pPr>
        <w:pStyle w:val="Heading2"/>
      </w:pPr>
      <w:r>
        <w:t>Finance report</w:t>
      </w:r>
      <w:r w:rsidR="00E65CA4">
        <w:t xml:space="preserve"> (item </w:t>
      </w:r>
      <w:r>
        <w:t>7</w:t>
      </w:r>
      <w:r w:rsidR="00E65CA4">
        <w:t>.</w:t>
      </w:r>
      <w:r>
        <w:t>1</w:t>
      </w:r>
      <w:r w:rsidR="00E65CA4">
        <w:t>)</w:t>
      </w:r>
    </w:p>
    <w:p w14:paraId="3B3A6BAB" w14:textId="557CCEDE" w:rsidR="00E65CA4" w:rsidRDefault="00E65CA4" w:rsidP="00E65CA4">
      <w:pPr>
        <w:pStyle w:val="Paragraph"/>
        <w:numPr>
          <w:ilvl w:val="0"/>
          <w:numId w:val="0"/>
        </w:numPr>
        <w:ind w:left="720" w:hanging="360"/>
      </w:pPr>
    </w:p>
    <w:p w14:paraId="3018ED4C" w14:textId="5293A7A9" w:rsidR="00944699" w:rsidRDefault="000F7FD7" w:rsidP="00944699">
      <w:pPr>
        <w:pStyle w:val="Numberedpara"/>
      </w:pPr>
      <w:r w:rsidRPr="000F7FD7">
        <w:rPr>
          <w:color w:val="auto"/>
        </w:rPr>
        <w:t>Jennifer Howells</w:t>
      </w:r>
      <w:r w:rsidR="001A11C8">
        <w:t xml:space="preserve"> </w:t>
      </w:r>
      <w:r w:rsidR="0062426C">
        <w:t>introduc</w:t>
      </w:r>
      <w:r w:rsidR="001A11C8">
        <w:t>ed the paper</w:t>
      </w:r>
      <w:r w:rsidR="00833787">
        <w:t xml:space="preserve"> which advised SMT of the financial position </w:t>
      </w:r>
      <w:r w:rsidR="00B730C4">
        <w:t xml:space="preserve">as </w:t>
      </w:r>
      <w:r w:rsidR="00833787">
        <w:t xml:space="preserve">at 30 September 2020 and gave an updated forecast outturn for the year.  Martin Davison explained the revised assumptions which had changed the forecast year end deficit of £0.1m reported to the Board in September, to a projected £1.3m underspend.  The </w:t>
      </w:r>
      <w:r w:rsidR="00B730C4">
        <w:t xml:space="preserve">underspend was comprised of </w:t>
      </w:r>
      <w:r w:rsidR="00833787">
        <w:t xml:space="preserve">savings on pay due to vacancies and turnover and </w:t>
      </w:r>
      <w:r w:rsidR="008C6B21">
        <w:t xml:space="preserve">other </w:t>
      </w:r>
      <w:r w:rsidR="00833787">
        <w:t>non-pay items including</w:t>
      </w:r>
      <w:r w:rsidR="008C6B21">
        <w:t xml:space="preserve"> travel and subsistence</w:t>
      </w:r>
      <w:r w:rsidR="00B730C4">
        <w:t xml:space="preserve">, </w:t>
      </w:r>
      <w:r w:rsidR="008C6B21">
        <w:t xml:space="preserve">the </w:t>
      </w:r>
      <w:r w:rsidR="00B730C4">
        <w:t xml:space="preserve">flexible element of the </w:t>
      </w:r>
      <w:r w:rsidR="008C6B21">
        <w:t>External Assessment Centre contracts, and strong performance in the NICE Scientific Advice team.</w:t>
      </w:r>
      <w:r w:rsidR="00B730C4">
        <w:t xml:space="preserve">  It was noted that the underspend was partly off-set by </w:t>
      </w:r>
      <w:r w:rsidR="00AE0948">
        <w:t>the loss of income from TA &amp; HTAs at the start of the financial year due to programmes being paused.</w:t>
      </w:r>
    </w:p>
    <w:p w14:paraId="06D90679" w14:textId="77777777" w:rsidR="007F341F" w:rsidRDefault="007F341F" w:rsidP="007F341F">
      <w:pPr>
        <w:pStyle w:val="Numberedpara"/>
        <w:numPr>
          <w:ilvl w:val="0"/>
          <w:numId w:val="0"/>
        </w:numPr>
        <w:ind w:left="357"/>
      </w:pPr>
    </w:p>
    <w:p w14:paraId="15F5F11E" w14:textId="056F959C" w:rsidR="00D2257C" w:rsidRDefault="00AE0948" w:rsidP="008C0DFB">
      <w:pPr>
        <w:pStyle w:val="Numberedpara"/>
      </w:pPr>
      <w:r>
        <w:t xml:space="preserve">Martin advised that there were a number of uncertainties which </w:t>
      </w:r>
      <w:r w:rsidR="000D3AC1">
        <w:t xml:space="preserve">have not yet materialised </w:t>
      </w:r>
      <w:r w:rsidR="00A4054F">
        <w:t>which may</w:t>
      </w:r>
      <w:r>
        <w:t xml:space="preserve"> impact the second half of the year</w:t>
      </w:r>
      <w:r w:rsidR="000D3AC1">
        <w:t>.</w:t>
      </w:r>
      <w:r>
        <w:t xml:space="preserve"> </w:t>
      </w:r>
      <w:r w:rsidR="000D3AC1">
        <w:t xml:space="preserve"> T</w:t>
      </w:r>
      <w:r>
        <w:t>he position has been adjusted to reflect some known cost pressures relating to recruitment</w:t>
      </w:r>
      <w:r w:rsidR="00323813">
        <w:t>, including the COVID Unit</w:t>
      </w:r>
      <w:r w:rsidR="000D3AC1">
        <w:t>,</w:t>
      </w:r>
      <w:r>
        <w:t xml:space="preserve"> NICE Connect </w:t>
      </w:r>
      <w:r w:rsidR="00F63809">
        <w:t>pay and non-pay items</w:t>
      </w:r>
      <w:r w:rsidR="000D3AC1">
        <w:t>, and consultancy costs related to Share</w:t>
      </w:r>
      <w:r w:rsidR="00D00033">
        <w:t>P</w:t>
      </w:r>
      <w:r w:rsidR="000D3AC1">
        <w:t xml:space="preserve">oint </w:t>
      </w:r>
      <w:r w:rsidR="00A4054F">
        <w:t>implementation.</w:t>
      </w:r>
    </w:p>
    <w:p w14:paraId="172FB855" w14:textId="75AC1D73" w:rsidR="00D2257C" w:rsidRDefault="00D2257C" w:rsidP="000D3AC1"/>
    <w:p w14:paraId="3BD42B8E" w14:textId="40932849" w:rsidR="00D2257C" w:rsidRDefault="00323813" w:rsidP="00D2257C">
      <w:pPr>
        <w:pStyle w:val="Numberedpara"/>
      </w:pPr>
      <w:r>
        <w:t xml:space="preserve">SMT discussed the </w:t>
      </w:r>
      <w:r w:rsidR="000D3AC1">
        <w:t xml:space="preserve">number of vacancies </w:t>
      </w:r>
      <w:r w:rsidR="00F94828">
        <w:t>causing</w:t>
      </w:r>
      <w:r w:rsidR="000D3AC1">
        <w:t xml:space="preserve"> </w:t>
      </w:r>
      <w:r>
        <w:t>capacity challenges in teams and considered whether short term, non-recurrent support could be brought in to help alleviate pressure in Q3 &amp; Q4.</w:t>
      </w:r>
      <w:r w:rsidR="00F94828">
        <w:t xml:space="preserve">  Martin noted that there is a high level of internal movement but backfilling those roles does not appear to be happening.  SMT were encouraged to </w:t>
      </w:r>
      <w:r w:rsidR="00A4054F">
        <w:t xml:space="preserve">look at options to </w:t>
      </w:r>
      <w:r w:rsidR="00F94828">
        <w:t xml:space="preserve">utilise </w:t>
      </w:r>
      <w:r w:rsidR="00A4054F">
        <w:t xml:space="preserve">some of </w:t>
      </w:r>
      <w:r w:rsidR="00F94828">
        <w:t>the underspend on pay to appoint externally</w:t>
      </w:r>
      <w:r w:rsidR="00C508D8">
        <w:t xml:space="preserve"> </w:t>
      </w:r>
      <w:r w:rsidR="00C3251C">
        <w:t xml:space="preserve">where possible, </w:t>
      </w:r>
      <w:r w:rsidR="00C508D8">
        <w:t xml:space="preserve">to alleviate </w:t>
      </w:r>
      <w:r w:rsidR="00C3251C">
        <w:t>the current pressure on teams.</w:t>
      </w:r>
    </w:p>
    <w:p w14:paraId="6FADEF86" w14:textId="77777777" w:rsidR="00F94828" w:rsidRDefault="00F94828" w:rsidP="00F94828">
      <w:pPr>
        <w:pStyle w:val="ListParagraph"/>
      </w:pPr>
    </w:p>
    <w:p w14:paraId="7F04A153" w14:textId="638740C9" w:rsidR="00F94828" w:rsidRDefault="00F94828" w:rsidP="00D2257C">
      <w:pPr>
        <w:pStyle w:val="Numberedpara"/>
      </w:pPr>
      <w:r>
        <w:t>The finance report was noted and agreed for submission to the Board.</w:t>
      </w:r>
    </w:p>
    <w:p w14:paraId="16FE0240" w14:textId="77777777" w:rsidR="00944699" w:rsidRDefault="00944699" w:rsidP="00F94828">
      <w:pPr>
        <w:pStyle w:val="Paragraph"/>
        <w:numPr>
          <w:ilvl w:val="0"/>
          <w:numId w:val="0"/>
        </w:numPr>
      </w:pPr>
    </w:p>
    <w:p w14:paraId="26EFF0AB" w14:textId="0477636B" w:rsidR="00E65CA4" w:rsidRDefault="00323813" w:rsidP="00944699">
      <w:pPr>
        <w:pStyle w:val="Heading2"/>
      </w:pPr>
      <w:r>
        <w:t>NICE International – Progress update and annual review</w:t>
      </w:r>
      <w:r w:rsidR="00944699">
        <w:t xml:space="preserve"> (item </w:t>
      </w:r>
      <w:r>
        <w:t>7.2</w:t>
      </w:r>
      <w:r w:rsidR="00944699">
        <w:t>)</w:t>
      </w:r>
    </w:p>
    <w:p w14:paraId="277FD91F" w14:textId="6EB94FE7" w:rsidR="00944699" w:rsidRDefault="00944699" w:rsidP="00E65CA4">
      <w:pPr>
        <w:pStyle w:val="Paragraph"/>
        <w:numPr>
          <w:ilvl w:val="0"/>
          <w:numId w:val="0"/>
        </w:numPr>
        <w:ind w:left="720" w:hanging="360"/>
      </w:pPr>
    </w:p>
    <w:p w14:paraId="53A13679" w14:textId="154D3007" w:rsidR="005044CA" w:rsidRDefault="00DE34BF" w:rsidP="00944699">
      <w:pPr>
        <w:pStyle w:val="Numberedpara"/>
      </w:pPr>
      <w:r>
        <w:t>Pilar Pin</w:t>
      </w:r>
      <w:r w:rsidR="00B82C7C">
        <w:t>illa-Dominguez presented an update on the</w:t>
      </w:r>
      <w:r w:rsidR="00B82C7C" w:rsidRPr="00626252">
        <w:t xml:space="preserve"> progress of NICE International since it was relaunched in </w:t>
      </w:r>
      <w:r w:rsidR="00B82C7C">
        <w:t>November</w:t>
      </w:r>
      <w:r w:rsidR="00B82C7C" w:rsidRPr="00626252">
        <w:t xml:space="preserve"> 2019 and</w:t>
      </w:r>
      <w:r w:rsidR="00B82C7C">
        <w:t xml:space="preserve"> </w:t>
      </w:r>
      <w:r w:rsidR="00B82C7C" w:rsidRPr="00626252">
        <w:t>the pipeline and future aspirations of the team for the rest of 2020/21</w:t>
      </w:r>
      <w:r w:rsidR="00B82C7C">
        <w:t>.  The report also included t</w:t>
      </w:r>
      <w:r w:rsidR="00B82C7C" w:rsidRPr="00626252">
        <w:t>he</w:t>
      </w:r>
      <w:r w:rsidR="00B82C7C">
        <w:t xml:space="preserve"> first</w:t>
      </w:r>
      <w:r w:rsidR="00B82C7C" w:rsidRPr="00626252">
        <w:t xml:space="preserve"> annual review </w:t>
      </w:r>
      <w:r w:rsidR="00B82C7C">
        <w:t xml:space="preserve">for NICE </w:t>
      </w:r>
      <w:r w:rsidR="00B82C7C">
        <w:lastRenderedPageBreak/>
        <w:t xml:space="preserve">International </w:t>
      </w:r>
      <w:r w:rsidR="00DD0591">
        <w:t xml:space="preserve">and its strategic engagement plan </w:t>
      </w:r>
      <w:r w:rsidR="00B82C7C">
        <w:t xml:space="preserve">for presentation to the </w:t>
      </w:r>
      <w:r w:rsidR="00DD0591">
        <w:t>November board meeting.</w:t>
      </w:r>
    </w:p>
    <w:p w14:paraId="49982221" w14:textId="77777777" w:rsidR="005044CA" w:rsidRDefault="005044CA" w:rsidP="005044CA">
      <w:pPr>
        <w:pStyle w:val="Numberedpara"/>
        <w:numPr>
          <w:ilvl w:val="0"/>
          <w:numId w:val="0"/>
        </w:numPr>
        <w:ind w:left="357"/>
      </w:pPr>
    </w:p>
    <w:p w14:paraId="6F3A5DEF" w14:textId="75AFA90F" w:rsidR="00E5465D" w:rsidRDefault="00074FA0" w:rsidP="008C0DFB">
      <w:pPr>
        <w:pStyle w:val="Numberedpara"/>
      </w:pPr>
      <w:r>
        <w:t>SMT</w:t>
      </w:r>
      <w:r w:rsidR="00C10E69">
        <w:t xml:space="preserve"> </w:t>
      </w:r>
      <w:r w:rsidR="00DD0591">
        <w:t xml:space="preserve">welcomed the report and supported the aspirations.  Felix Greaves requested that the team links in with </w:t>
      </w:r>
      <w:r w:rsidR="007C6AA8">
        <w:t xml:space="preserve">the </w:t>
      </w:r>
      <w:r w:rsidR="00DD0591">
        <w:t xml:space="preserve">Science Policy &amp; Research to ensure collaboration and avoid duplication of effort.  Judith Richardson commented that the Public Involvement Team has struggled </w:t>
      </w:r>
      <w:r w:rsidR="007C6AA8">
        <w:t>t</w:t>
      </w:r>
      <w:r w:rsidR="00DD0591">
        <w:t xml:space="preserve">o support </w:t>
      </w:r>
      <w:r w:rsidR="00157246">
        <w:t xml:space="preserve">the many </w:t>
      </w:r>
      <w:r w:rsidR="00DD0591">
        <w:t>NICE International</w:t>
      </w:r>
      <w:r w:rsidR="00157246">
        <w:t xml:space="preserve"> engage</w:t>
      </w:r>
      <w:r w:rsidR="00DD0591">
        <w:t xml:space="preserve">ments and stated that it would be helpful to understand what the priorities </w:t>
      </w:r>
      <w:r w:rsidR="007C6AA8">
        <w:t>we</w:t>
      </w:r>
      <w:r w:rsidR="00DD0591">
        <w:t>re.  Pilar confirmed she had a meeting plann</w:t>
      </w:r>
      <w:r w:rsidR="004B291B">
        <w:t>ed</w:t>
      </w:r>
      <w:r w:rsidR="00DD0591">
        <w:t xml:space="preserve"> with </w:t>
      </w:r>
      <w:r w:rsidR="007C6AA8">
        <w:t>PIP Team to discuss resourcing</w:t>
      </w:r>
      <w:r w:rsidR="00157246">
        <w:t>.</w:t>
      </w:r>
    </w:p>
    <w:p w14:paraId="08FE89B4" w14:textId="77777777" w:rsidR="007C6AA8" w:rsidRDefault="007C6AA8" w:rsidP="007C6AA8">
      <w:pPr>
        <w:pStyle w:val="ListParagraph"/>
      </w:pPr>
    </w:p>
    <w:p w14:paraId="754591FD" w14:textId="5B871B7C" w:rsidR="007C6AA8" w:rsidRDefault="00157246" w:rsidP="008C0DFB">
      <w:pPr>
        <w:pStyle w:val="Numberedpara"/>
      </w:pPr>
      <w:r>
        <w:t xml:space="preserve">In terms of the </w:t>
      </w:r>
      <w:r w:rsidR="006A13ED">
        <w:t>annual</w:t>
      </w:r>
      <w:r>
        <w:t xml:space="preserve"> report, SMT </w:t>
      </w:r>
      <w:r w:rsidR="006A13ED">
        <w:t xml:space="preserve">requested </w:t>
      </w:r>
      <w:r>
        <w:t>some suggested amendments:</w:t>
      </w:r>
    </w:p>
    <w:p w14:paraId="2A5A3187" w14:textId="77777777" w:rsidR="00157246" w:rsidRDefault="00157246" w:rsidP="00157246">
      <w:pPr>
        <w:pStyle w:val="ListParagraph"/>
      </w:pPr>
    </w:p>
    <w:p w14:paraId="2D7CDDEA" w14:textId="4C06246B" w:rsidR="00157246" w:rsidRDefault="00157246" w:rsidP="00157246">
      <w:pPr>
        <w:pStyle w:val="Numberedpara"/>
        <w:numPr>
          <w:ilvl w:val="0"/>
          <w:numId w:val="48"/>
        </w:numPr>
      </w:pPr>
      <w:r>
        <w:t>Reduce the length of th</w:t>
      </w:r>
      <w:r w:rsidR="006A13ED">
        <w:t>e</w:t>
      </w:r>
      <w:r>
        <w:t xml:space="preserve"> report to the board</w:t>
      </w:r>
    </w:p>
    <w:p w14:paraId="1AAE43ED" w14:textId="5F4609FB" w:rsidR="00157246" w:rsidRDefault="00157246" w:rsidP="00157246">
      <w:pPr>
        <w:pStyle w:val="Numberedpara"/>
        <w:numPr>
          <w:ilvl w:val="0"/>
          <w:numId w:val="48"/>
        </w:numPr>
      </w:pPr>
      <w:r>
        <w:t>Include a section to show the split of NICE International’s work between guidelines, health technology assessments and social care</w:t>
      </w:r>
    </w:p>
    <w:p w14:paraId="1CF9BE7F" w14:textId="1105EA69" w:rsidR="00157246" w:rsidRDefault="00157246" w:rsidP="00157246">
      <w:pPr>
        <w:pStyle w:val="Numberedpara"/>
        <w:numPr>
          <w:ilvl w:val="0"/>
          <w:numId w:val="48"/>
        </w:numPr>
      </w:pPr>
      <w:r>
        <w:t>Move the graph of sustainable development goals further down the report and use the ‘background’ section to explain NICE’s role and objectives</w:t>
      </w:r>
    </w:p>
    <w:p w14:paraId="2AFE69AE" w14:textId="09D5B7D0" w:rsidR="00157246" w:rsidRDefault="00157246" w:rsidP="00157246">
      <w:pPr>
        <w:pStyle w:val="Numberedpara"/>
        <w:numPr>
          <w:ilvl w:val="0"/>
          <w:numId w:val="48"/>
        </w:numPr>
      </w:pPr>
      <w:r>
        <w:t>Amend paragraphs 7 – 9 to be bullet points</w:t>
      </w:r>
    </w:p>
    <w:p w14:paraId="66F969C5" w14:textId="51977E21" w:rsidR="00583E16" w:rsidRDefault="00583E16" w:rsidP="00157246">
      <w:pPr>
        <w:pStyle w:val="Numberedpara"/>
        <w:numPr>
          <w:ilvl w:val="0"/>
          <w:numId w:val="48"/>
        </w:numPr>
      </w:pPr>
      <w:r>
        <w:t>Update the governance structure in figure 3</w:t>
      </w:r>
    </w:p>
    <w:p w14:paraId="3BCE8D68" w14:textId="47F0D3E1" w:rsidR="00583E16" w:rsidRDefault="00583E16" w:rsidP="00157246">
      <w:pPr>
        <w:pStyle w:val="Numberedpara"/>
        <w:numPr>
          <w:ilvl w:val="0"/>
          <w:numId w:val="48"/>
        </w:numPr>
      </w:pPr>
      <w:r>
        <w:t>Para 61 take out ‘only’ and para 67 amend to ‘increasing’</w:t>
      </w:r>
    </w:p>
    <w:p w14:paraId="64D7223F" w14:textId="7CFD4204" w:rsidR="00157246" w:rsidRDefault="00157246" w:rsidP="00157246">
      <w:pPr>
        <w:pStyle w:val="Numberedpara"/>
        <w:numPr>
          <w:ilvl w:val="0"/>
          <w:numId w:val="48"/>
        </w:numPr>
      </w:pPr>
      <w:r>
        <w:t>Include reference to relationships with Canada and Australia</w:t>
      </w:r>
    </w:p>
    <w:p w14:paraId="1ADA8725" w14:textId="27384339" w:rsidR="00583E16" w:rsidRDefault="00583E16" w:rsidP="00157246">
      <w:pPr>
        <w:pStyle w:val="Numberedpara"/>
        <w:numPr>
          <w:ilvl w:val="0"/>
          <w:numId w:val="48"/>
        </w:numPr>
      </w:pPr>
      <w:r>
        <w:t>In the future plans section, add reference to the A</w:t>
      </w:r>
      <w:r w:rsidR="003D1C0A">
        <w:t>ll-</w:t>
      </w:r>
      <w:r>
        <w:t>P</w:t>
      </w:r>
      <w:r w:rsidR="003D1C0A">
        <w:t xml:space="preserve">arty </w:t>
      </w:r>
      <w:r>
        <w:t>P</w:t>
      </w:r>
      <w:r w:rsidR="003D1C0A">
        <w:t xml:space="preserve">arliamentary </w:t>
      </w:r>
      <w:r>
        <w:t>G</w:t>
      </w:r>
      <w:r w:rsidR="003D1C0A">
        <w:t>roup</w:t>
      </w:r>
      <w:r>
        <w:t xml:space="preserve"> on Global Health and contributing to the G7.</w:t>
      </w:r>
    </w:p>
    <w:p w14:paraId="6BF875D1" w14:textId="77777777" w:rsidR="00157246" w:rsidRDefault="00157246" w:rsidP="00157246">
      <w:pPr>
        <w:pStyle w:val="ListParagraph"/>
      </w:pPr>
    </w:p>
    <w:p w14:paraId="64ED4AF1" w14:textId="20019476" w:rsidR="00512254" w:rsidRDefault="00512254" w:rsidP="00512254">
      <w:pPr>
        <w:pStyle w:val="SMTActions"/>
      </w:pPr>
      <w:r>
        <w:t>ACTION: PPD</w:t>
      </w:r>
    </w:p>
    <w:p w14:paraId="6823F919" w14:textId="77777777" w:rsidR="00512254" w:rsidRDefault="00512254" w:rsidP="00512254">
      <w:pPr>
        <w:pStyle w:val="Numberedpara"/>
        <w:numPr>
          <w:ilvl w:val="0"/>
          <w:numId w:val="0"/>
        </w:numPr>
        <w:ind w:left="357"/>
      </w:pPr>
    </w:p>
    <w:p w14:paraId="3C217E56" w14:textId="7E60F1AA" w:rsidR="00157246" w:rsidRDefault="00583E16" w:rsidP="008C0DFB">
      <w:pPr>
        <w:pStyle w:val="Numberedpara"/>
      </w:pPr>
      <w:r>
        <w:t xml:space="preserve">SMT agreed to discuss whether </w:t>
      </w:r>
      <w:r w:rsidR="004B291B">
        <w:t xml:space="preserve">any changes were </w:t>
      </w:r>
      <w:r>
        <w:t xml:space="preserve">needed in the </w:t>
      </w:r>
      <w:r w:rsidR="004B291B">
        <w:t xml:space="preserve">various </w:t>
      </w:r>
      <w:r>
        <w:t xml:space="preserve">governance </w:t>
      </w:r>
      <w:r w:rsidR="004B291B">
        <w:t xml:space="preserve">groups related to </w:t>
      </w:r>
      <w:r>
        <w:t>NICE International, at the SMT away day in November.</w:t>
      </w:r>
    </w:p>
    <w:p w14:paraId="168541C5" w14:textId="77777777" w:rsidR="00C10E69" w:rsidRDefault="00C10E69" w:rsidP="00C10E69">
      <w:pPr>
        <w:pStyle w:val="ListParagraph"/>
      </w:pPr>
    </w:p>
    <w:p w14:paraId="1D56A327" w14:textId="0EACC7C2" w:rsidR="00074FA0" w:rsidRDefault="00C10E69" w:rsidP="007E18C9">
      <w:pPr>
        <w:pStyle w:val="SMTActions"/>
      </w:pPr>
      <w:r>
        <w:t xml:space="preserve">ACTION: </w:t>
      </w:r>
      <w:r w:rsidR="00A27C8A">
        <w:t>RT</w:t>
      </w:r>
    </w:p>
    <w:p w14:paraId="424F42A4" w14:textId="2D8B8A1E" w:rsidR="001A11C8" w:rsidRDefault="001A11C8" w:rsidP="00944699">
      <w:pPr>
        <w:pStyle w:val="Heading2"/>
      </w:pPr>
    </w:p>
    <w:p w14:paraId="417030E7" w14:textId="392BAB1E" w:rsidR="00C61949" w:rsidRDefault="00DE34BF" w:rsidP="00C61949">
      <w:pPr>
        <w:pStyle w:val="Heading2"/>
      </w:pPr>
      <w:r>
        <w:t>Counter fraud return Q2</w:t>
      </w:r>
      <w:r w:rsidR="00C61949">
        <w:t xml:space="preserve"> (item </w:t>
      </w:r>
      <w:r>
        <w:t>7.3)</w:t>
      </w:r>
    </w:p>
    <w:p w14:paraId="0810D3AE" w14:textId="77777777" w:rsidR="00C61949" w:rsidRDefault="00C61949" w:rsidP="00C61949">
      <w:pPr>
        <w:pStyle w:val="Paragraph"/>
        <w:numPr>
          <w:ilvl w:val="0"/>
          <w:numId w:val="0"/>
        </w:numPr>
        <w:ind w:left="720" w:hanging="360"/>
      </w:pPr>
    </w:p>
    <w:p w14:paraId="089571D0" w14:textId="56A5423B" w:rsidR="00C61949" w:rsidRDefault="007207FE" w:rsidP="00C61949">
      <w:pPr>
        <w:pStyle w:val="Numberedpara"/>
      </w:pPr>
      <w:r>
        <w:t xml:space="preserve">SMT noted the Q2 counter fraud return to </w:t>
      </w:r>
      <w:r w:rsidR="00BC3435">
        <w:t xml:space="preserve">be made to </w:t>
      </w:r>
      <w:r>
        <w:t xml:space="preserve">the DHSC </w:t>
      </w:r>
      <w:r w:rsidR="00BC3435">
        <w:t xml:space="preserve">by 26 October 2020, </w:t>
      </w:r>
      <w:r>
        <w:t xml:space="preserve">in compliance with the </w:t>
      </w:r>
      <w:r w:rsidR="00BC3435">
        <w:t xml:space="preserve">government </w:t>
      </w:r>
      <w:r>
        <w:t>functional standard.</w:t>
      </w:r>
    </w:p>
    <w:p w14:paraId="683BE37F" w14:textId="77777777" w:rsidR="00C61949" w:rsidRDefault="00C61949" w:rsidP="00C61949">
      <w:pPr>
        <w:pStyle w:val="Numberedpara"/>
        <w:numPr>
          <w:ilvl w:val="0"/>
          <w:numId w:val="0"/>
        </w:numPr>
        <w:ind w:left="567"/>
      </w:pPr>
    </w:p>
    <w:p w14:paraId="5C935C0C" w14:textId="019466E2" w:rsidR="00C61949" w:rsidRDefault="007207FE" w:rsidP="00C61949">
      <w:pPr>
        <w:pStyle w:val="Numberedpara"/>
      </w:pPr>
      <w:r>
        <w:t xml:space="preserve">Gill Leng agreed that future returns </w:t>
      </w:r>
      <w:r w:rsidR="00BC3435">
        <w:t>c</w:t>
      </w:r>
      <w:r>
        <w:t>ould be signed off by Jennifer Howells and only presented to SMT on an exception basis.</w:t>
      </w:r>
    </w:p>
    <w:p w14:paraId="32EDE9C8" w14:textId="77777777" w:rsidR="007207FE" w:rsidRDefault="007207FE" w:rsidP="007207FE">
      <w:pPr>
        <w:pStyle w:val="ListParagraph"/>
      </w:pPr>
    </w:p>
    <w:p w14:paraId="51D6A7BD" w14:textId="46457913" w:rsidR="007207FE" w:rsidRDefault="007207FE" w:rsidP="00C61949">
      <w:pPr>
        <w:pStyle w:val="Numberedpara"/>
      </w:pPr>
      <w:r>
        <w:t>SMT agreed to raise with their teams</w:t>
      </w:r>
      <w:r w:rsidR="00BC3435">
        <w:t xml:space="preserve"> </w:t>
      </w:r>
      <w:r>
        <w:t xml:space="preserve">the </w:t>
      </w:r>
      <w:r w:rsidR="00BC3435">
        <w:t xml:space="preserve">requirement for all staff to complete the </w:t>
      </w:r>
      <w:r>
        <w:t>mandatory fraud awareness e-learning module.  Elaine Repton agreed to provide wording for inclusion in a</w:t>
      </w:r>
      <w:r w:rsidR="00BC3435">
        <w:t xml:space="preserve"> </w:t>
      </w:r>
      <w:r>
        <w:t xml:space="preserve">daily </w:t>
      </w:r>
      <w:r w:rsidR="00BC3435">
        <w:t xml:space="preserve">CEO </w:t>
      </w:r>
      <w:r>
        <w:t>message to remind staff to complete the training.</w:t>
      </w:r>
    </w:p>
    <w:p w14:paraId="59AF0BD2" w14:textId="77777777" w:rsidR="007207FE" w:rsidRDefault="007207FE" w:rsidP="007207FE">
      <w:pPr>
        <w:pStyle w:val="ListParagraph"/>
      </w:pPr>
    </w:p>
    <w:p w14:paraId="4CEDCBC4" w14:textId="6E2D0F7D" w:rsidR="007207FE" w:rsidRPr="007207FE" w:rsidRDefault="007207FE" w:rsidP="007207FE">
      <w:pPr>
        <w:pStyle w:val="Numberedpara"/>
        <w:numPr>
          <w:ilvl w:val="0"/>
          <w:numId w:val="0"/>
        </w:numPr>
        <w:ind w:left="357"/>
        <w:jc w:val="right"/>
        <w:rPr>
          <w:b/>
          <w:bCs/>
        </w:rPr>
      </w:pPr>
      <w:r w:rsidRPr="007207FE">
        <w:rPr>
          <w:b/>
          <w:bCs/>
        </w:rPr>
        <w:t>ACTION: ER/JG</w:t>
      </w:r>
    </w:p>
    <w:p w14:paraId="42901BE9" w14:textId="77777777" w:rsidR="00C61949" w:rsidRPr="00C61949" w:rsidRDefault="00C61949" w:rsidP="00C61949">
      <w:pPr>
        <w:pStyle w:val="Paragraph"/>
        <w:numPr>
          <w:ilvl w:val="0"/>
          <w:numId w:val="0"/>
        </w:numPr>
        <w:ind w:left="720" w:hanging="360"/>
      </w:pPr>
    </w:p>
    <w:p w14:paraId="1A42647F" w14:textId="74CDBCAD" w:rsidR="00944699" w:rsidRDefault="00DE34BF" w:rsidP="00944699">
      <w:pPr>
        <w:pStyle w:val="Heading2"/>
      </w:pPr>
      <w:r>
        <w:t>Update from the Freedom to Speak Up Guardians</w:t>
      </w:r>
      <w:r w:rsidR="00944699">
        <w:t xml:space="preserve"> (item </w:t>
      </w:r>
      <w:r>
        <w:t>7</w:t>
      </w:r>
      <w:r w:rsidR="00944699">
        <w:t>.4)</w:t>
      </w:r>
    </w:p>
    <w:p w14:paraId="48134F95" w14:textId="27E0D7AE" w:rsidR="00944699" w:rsidRDefault="00944699" w:rsidP="00E65CA4">
      <w:pPr>
        <w:pStyle w:val="Paragraph"/>
        <w:numPr>
          <w:ilvl w:val="0"/>
          <w:numId w:val="0"/>
        </w:numPr>
        <w:ind w:left="720" w:hanging="360"/>
      </w:pPr>
    </w:p>
    <w:p w14:paraId="77BEEBCD" w14:textId="62C5981B" w:rsidR="00944699" w:rsidRDefault="007E18C9" w:rsidP="00944699">
      <w:pPr>
        <w:pStyle w:val="Numberedpara"/>
      </w:pPr>
      <w:r>
        <w:t xml:space="preserve">Mark Salmon presented </w:t>
      </w:r>
      <w:r w:rsidR="008026F0">
        <w:t>a report on the work and activities of the Freedom to Speak Up Guardians</w:t>
      </w:r>
      <w:r w:rsidR="006755AF">
        <w:t xml:space="preserve"> since they were appointed in 2019 and</w:t>
      </w:r>
      <w:r w:rsidR="008026F0">
        <w:t xml:space="preserve"> summarised </w:t>
      </w:r>
      <w:r w:rsidR="006755AF">
        <w:t>eight cases that have been raised either by an individual or a group of staff.</w:t>
      </w:r>
    </w:p>
    <w:p w14:paraId="72E3472A" w14:textId="77777777" w:rsidR="00C61949" w:rsidRDefault="00C61949" w:rsidP="00C61949">
      <w:pPr>
        <w:pStyle w:val="Numberedpara"/>
        <w:numPr>
          <w:ilvl w:val="0"/>
          <w:numId w:val="0"/>
        </w:numPr>
        <w:ind w:left="357"/>
      </w:pPr>
    </w:p>
    <w:p w14:paraId="7A9ACC3F" w14:textId="59867BC8" w:rsidR="00B70313" w:rsidRDefault="00C61949" w:rsidP="00944699">
      <w:pPr>
        <w:pStyle w:val="Numberedpara"/>
      </w:pPr>
      <w:r>
        <w:t xml:space="preserve">SMT </w:t>
      </w:r>
      <w:bookmarkStart w:id="0" w:name="_Hlk53515141"/>
      <w:r w:rsidR="006755AF">
        <w:t>agreed that roles were providing an important and i</w:t>
      </w:r>
      <w:r w:rsidR="00B5150D">
        <w:t>mpartial</w:t>
      </w:r>
      <w:r w:rsidR="006755AF">
        <w:t xml:space="preserve"> outlet for staff who may not wish to raise a concern with HR or the union.  Grace Marguerie added that the guardians were playing a really important role </w:t>
      </w:r>
      <w:r w:rsidR="00973D4D">
        <w:t>and potentially</w:t>
      </w:r>
      <w:r w:rsidR="006755AF">
        <w:t xml:space="preserve"> avoiding issues escalating </w:t>
      </w:r>
      <w:r w:rsidR="006755AF">
        <w:lastRenderedPageBreak/>
        <w:t>to a grievance</w:t>
      </w:r>
      <w:r w:rsidR="00973D4D">
        <w:t xml:space="preserve">.  They are </w:t>
      </w:r>
      <w:r w:rsidR="00154A00">
        <w:t xml:space="preserve">also </w:t>
      </w:r>
      <w:r w:rsidR="00973D4D">
        <w:t xml:space="preserve">a </w:t>
      </w:r>
      <w:r w:rsidR="006755AF">
        <w:t>support</w:t>
      </w:r>
      <w:r w:rsidR="00973D4D">
        <w:t xml:space="preserve"> to</w:t>
      </w:r>
      <w:r w:rsidR="006755AF">
        <w:t xml:space="preserve"> the HR team in </w:t>
      </w:r>
      <w:r w:rsidR="00154A00">
        <w:t>identify</w:t>
      </w:r>
      <w:r w:rsidR="006755AF">
        <w:t>ing where policies might need to be adjusted as a result of feedback from concerns raised.</w:t>
      </w:r>
    </w:p>
    <w:p w14:paraId="229C4388" w14:textId="77777777" w:rsidR="00154A00" w:rsidRDefault="00154A00" w:rsidP="00154A00">
      <w:pPr>
        <w:pStyle w:val="ListParagraph"/>
      </w:pPr>
    </w:p>
    <w:p w14:paraId="231F9DF9" w14:textId="68C6CE85" w:rsidR="00154A00" w:rsidRDefault="00154A00" w:rsidP="00944699">
      <w:pPr>
        <w:pStyle w:val="Numberedpara"/>
      </w:pPr>
      <w:r>
        <w:t xml:space="preserve">SMT discussed the type of issues </w:t>
      </w:r>
      <w:r w:rsidR="008A5FAF">
        <w:t>that have been</w:t>
      </w:r>
      <w:r>
        <w:t xml:space="preserve"> raised </w:t>
      </w:r>
      <w:r w:rsidR="00B5150D">
        <w:t xml:space="preserve">and agreed it would be appropriate to share the report with Programme Directors so they have sight of topic areas.  The report was also agreed for presentation to a morning session of the Board as the Board </w:t>
      </w:r>
      <w:r w:rsidR="008A5FAF">
        <w:t xml:space="preserve">was </w:t>
      </w:r>
      <w:r w:rsidR="00B5150D">
        <w:t>keen</w:t>
      </w:r>
      <w:r w:rsidR="008A5FAF">
        <w:t xml:space="preserve"> to</w:t>
      </w:r>
      <w:r w:rsidR="00B5150D">
        <w:t xml:space="preserve"> support establishing the roles</w:t>
      </w:r>
      <w:r w:rsidR="008A5FAF">
        <w:t xml:space="preserve"> within NICE</w:t>
      </w:r>
      <w:r w:rsidR="00B5150D">
        <w:t>.</w:t>
      </w:r>
      <w:r w:rsidR="00C74874">
        <w:t xml:space="preserve">  As October is ‘Speak Up’ month, Gill Leng agreed to include the key themes coming out of the report at the November all staff meeting.</w:t>
      </w:r>
    </w:p>
    <w:bookmarkEnd w:id="0"/>
    <w:p w14:paraId="2EB874FA" w14:textId="77777777" w:rsidR="004338B3" w:rsidRDefault="004338B3" w:rsidP="004338B3">
      <w:pPr>
        <w:pStyle w:val="ListParagraph"/>
      </w:pPr>
    </w:p>
    <w:p w14:paraId="660A2849" w14:textId="65BA4C65" w:rsidR="004338B3" w:rsidRDefault="004338B3" w:rsidP="004338B3">
      <w:pPr>
        <w:pStyle w:val="SMTActions"/>
      </w:pPr>
      <w:r>
        <w:t xml:space="preserve">ACTION: </w:t>
      </w:r>
      <w:r w:rsidR="00B5150D">
        <w:t>MS</w:t>
      </w:r>
      <w:r w:rsidR="00C74874">
        <w:t>/GL</w:t>
      </w:r>
    </w:p>
    <w:p w14:paraId="1F9A8034" w14:textId="77777777" w:rsidR="00B70313" w:rsidRDefault="00B70313" w:rsidP="00B70313">
      <w:pPr>
        <w:pStyle w:val="ListParagraph"/>
      </w:pPr>
    </w:p>
    <w:p w14:paraId="48C8F7FA" w14:textId="7B685894" w:rsidR="004338B3" w:rsidRDefault="008A5FAF" w:rsidP="00255A5A">
      <w:pPr>
        <w:pStyle w:val="Numberedpara"/>
      </w:pPr>
      <w:r>
        <w:t>On the issue of workload</w:t>
      </w:r>
      <w:r w:rsidR="00E83A40">
        <w:t xml:space="preserve"> pressures</w:t>
      </w:r>
      <w:r>
        <w:t xml:space="preserve"> and some staff feeling unable to take annual leave, SMT discussed whether it would be appropriate this year to offer a ‘buy back’ option.  In light of the Working Time Directive </w:t>
      </w:r>
      <w:r w:rsidR="00645A6D">
        <w:t xml:space="preserve">and other </w:t>
      </w:r>
      <w:r w:rsidR="00E83A40">
        <w:t>considerations</w:t>
      </w:r>
      <w:r w:rsidR="00645A6D">
        <w:t xml:space="preserve"> such as </w:t>
      </w:r>
      <w:r>
        <w:t>carry</w:t>
      </w:r>
      <w:r w:rsidR="00645A6D">
        <w:t>ing</w:t>
      </w:r>
      <w:r>
        <w:t xml:space="preserve"> forward days into next year and staff </w:t>
      </w:r>
      <w:r w:rsidR="00645A6D">
        <w:t xml:space="preserve">being encouraged </w:t>
      </w:r>
      <w:r>
        <w:t xml:space="preserve">to take leave over the Christmas period, </w:t>
      </w:r>
      <w:r w:rsidR="00645A6D">
        <w:t xml:space="preserve">it </w:t>
      </w:r>
      <w:r>
        <w:t xml:space="preserve">was </w:t>
      </w:r>
      <w:r w:rsidR="00645A6D">
        <w:t xml:space="preserve">felt </w:t>
      </w:r>
      <w:r>
        <w:t xml:space="preserve">that it was too soon to offer </w:t>
      </w:r>
      <w:r w:rsidR="0061250D">
        <w:t>a buy back</w:t>
      </w:r>
      <w:r w:rsidR="00645A6D">
        <w:t xml:space="preserve">.  It was agreed that Grace Marguerie </w:t>
      </w:r>
      <w:r w:rsidR="00EE4405">
        <w:t xml:space="preserve">should </w:t>
      </w:r>
      <w:r w:rsidR="00645A6D">
        <w:t>bring b</w:t>
      </w:r>
      <w:r w:rsidR="00EE4405">
        <w:t xml:space="preserve">ack </w:t>
      </w:r>
      <w:r w:rsidR="00645A6D">
        <w:t xml:space="preserve">data on </w:t>
      </w:r>
      <w:r w:rsidR="00E83A40">
        <w:t>annual</w:t>
      </w:r>
      <w:r w:rsidR="00645A6D">
        <w:t xml:space="preserve"> leave </w:t>
      </w:r>
      <w:r w:rsidR="00E83A40">
        <w:t xml:space="preserve">taken to date, </w:t>
      </w:r>
      <w:r w:rsidR="00645A6D">
        <w:t xml:space="preserve">to enable SMT to have a further </w:t>
      </w:r>
      <w:r w:rsidR="00E83A40">
        <w:t xml:space="preserve">informed </w:t>
      </w:r>
      <w:r w:rsidR="00645A6D">
        <w:t>discussion.</w:t>
      </w:r>
    </w:p>
    <w:p w14:paraId="5F90FDC6" w14:textId="5864725D" w:rsidR="0061250D" w:rsidRDefault="0061250D" w:rsidP="0061250D">
      <w:pPr>
        <w:pStyle w:val="Numberedpara"/>
        <w:numPr>
          <w:ilvl w:val="0"/>
          <w:numId w:val="0"/>
        </w:numPr>
        <w:ind w:left="357"/>
      </w:pPr>
    </w:p>
    <w:p w14:paraId="20844708" w14:textId="446559B3" w:rsidR="0061250D" w:rsidRPr="0061250D" w:rsidRDefault="0061250D" w:rsidP="0061250D">
      <w:pPr>
        <w:pStyle w:val="Numberedpara"/>
        <w:numPr>
          <w:ilvl w:val="0"/>
          <w:numId w:val="0"/>
        </w:numPr>
        <w:ind w:left="357"/>
        <w:jc w:val="right"/>
        <w:rPr>
          <w:b/>
          <w:bCs/>
        </w:rPr>
      </w:pPr>
      <w:r w:rsidRPr="0061250D">
        <w:rPr>
          <w:b/>
          <w:bCs/>
        </w:rPr>
        <w:t>ACTION: GM</w:t>
      </w:r>
    </w:p>
    <w:p w14:paraId="2E893B3F" w14:textId="77777777" w:rsidR="004338B3" w:rsidRDefault="004338B3" w:rsidP="0061250D">
      <w:pPr>
        <w:pStyle w:val="Paragraph"/>
        <w:numPr>
          <w:ilvl w:val="0"/>
          <w:numId w:val="0"/>
        </w:numPr>
      </w:pPr>
    </w:p>
    <w:p w14:paraId="5EC2FB9D" w14:textId="1D404EEB" w:rsidR="00944699" w:rsidRDefault="00BC6E67" w:rsidP="00944699">
      <w:pPr>
        <w:pStyle w:val="Heading2"/>
      </w:pPr>
      <w:r>
        <w:t>Development and evaluation of a novel learning package</w:t>
      </w:r>
      <w:r w:rsidR="00944699">
        <w:t xml:space="preserve"> </w:t>
      </w:r>
      <w:r>
        <w:t xml:space="preserve">for SDM </w:t>
      </w:r>
      <w:r w:rsidR="00944699">
        <w:t xml:space="preserve">(item </w:t>
      </w:r>
      <w:r>
        <w:t>7</w:t>
      </w:r>
      <w:r w:rsidR="00944699">
        <w:t>.5)</w:t>
      </w:r>
    </w:p>
    <w:p w14:paraId="05462394" w14:textId="00C1F4E5" w:rsidR="00E65CA4" w:rsidRDefault="00E65CA4" w:rsidP="00E65CA4">
      <w:pPr>
        <w:pStyle w:val="Paragraph"/>
        <w:numPr>
          <w:ilvl w:val="0"/>
          <w:numId w:val="0"/>
        </w:numPr>
        <w:ind w:left="720" w:hanging="360"/>
      </w:pPr>
    </w:p>
    <w:p w14:paraId="7F47DE3E" w14:textId="47501C94" w:rsidR="000D1002" w:rsidRDefault="007207FE" w:rsidP="007C54F6">
      <w:pPr>
        <w:pStyle w:val="Numberedpara"/>
        <w:rPr>
          <w:sz w:val="23"/>
          <w:szCs w:val="23"/>
        </w:rPr>
      </w:pPr>
      <w:r>
        <w:t xml:space="preserve">Jonathan Underhill </w:t>
      </w:r>
      <w:r w:rsidR="00D24A67">
        <w:t xml:space="preserve">and Laura Norburn sought SMT approval to use the residual funds from the </w:t>
      </w:r>
      <w:r w:rsidR="00D24A67" w:rsidRPr="005B360D">
        <w:t>joint work</w:t>
      </w:r>
      <w:r w:rsidR="00D24A67">
        <w:t xml:space="preserve">ing </w:t>
      </w:r>
      <w:r w:rsidR="00D24A67" w:rsidRPr="005B360D">
        <w:t>Memorandum of Understanding (MoU) between NICE and Keele University School of Pharmacy</w:t>
      </w:r>
      <w:r w:rsidR="00D24A67">
        <w:t xml:space="preserve"> </w:t>
      </w:r>
      <w:r w:rsidR="00D24A67" w:rsidRPr="005B360D">
        <w:t xml:space="preserve">(£65,310) </w:t>
      </w:r>
      <w:r w:rsidR="00D24A67">
        <w:t xml:space="preserve">to develop a novel e-learning package </w:t>
      </w:r>
      <w:r w:rsidR="00F05B6E">
        <w:t>to</w:t>
      </w:r>
      <w:r w:rsidR="00D24A67" w:rsidRPr="005B360D">
        <w:t xml:space="preserve"> support the objectives of the Shared Decision Making (SDM) Collaborative</w:t>
      </w:r>
      <w:r w:rsidR="00D24A67">
        <w:t xml:space="preserve"> and support the implementation of the SDM NICE guideline when </w:t>
      </w:r>
      <w:r w:rsidR="00A04B9B">
        <w:t xml:space="preserve">it is </w:t>
      </w:r>
      <w:r w:rsidR="00D24A67">
        <w:t>published</w:t>
      </w:r>
      <w:r w:rsidR="00F05B6E">
        <w:t>.</w:t>
      </w:r>
    </w:p>
    <w:p w14:paraId="0325FBBF" w14:textId="77777777" w:rsidR="000D1002" w:rsidRDefault="000D1002" w:rsidP="000D1002">
      <w:pPr>
        <w:pStyle w:val="Default"/>
        <w:rPr>
          <w:sz w:val="23"/>
          <w:szCs w:val="23"/>
        </w:rPr>
      </w:pPr>
    </w:p>
    <w:p w14:paraId="06DC3728" w14:textId="09D92B76" w:rsidR="00944699" w:rsidRDefault="008C0DFB" w:rsidP="00F05B6E">
      <w:pPr>
        <w:pStyle w:val="Numberedpara"/>
      </w:pPr>
      <w:r>
        <w:t>SMT</w:t>
      </w:r>
      <w:r w:rsidR="00FF29C0">
        <w:t xml:space="preserve"> </w:t>
      </w:r>
      <w:r w:rsidR="00F05B6E">
        <w:t>supported the proposal and welcomed confirmation that the training modules include references and links to NICE guidelines, specifically a section on professionals keeping their knowledge up to date in line with NICE advice.</w:t>
      </w:r>
    </w:p>
    <w:p w14:paraId="35535398" w14:textId="77777777" w:rsidR="00944699" w:rsidRDefault="00944699" w:rsidP="004214ED">
      <w:pPr>
        <w:pStyle w:val="Heading2"/>
      </w:pPr>
    </w:p>
    <w:p w14:paraId="1E59B3D5" w14:textId="493C9CAC" w:rsidR="004214ED" w:rsidRDefault="004214ED" w:rsidP="004214ED">
      <w:pPr>
        <w:pStyle w:val="Heading2"/>
      </w:pPr>
      <w:r>
        <w:t xml:space="preserve">EU exit (item </w:t>
      </w:r>
      <w:r w:rsidR="00944699">
        <w:t>8</w:t>
      </w:r>
      <w:r>
        <w:t>)</w:t>
      </w:r>
    </w:p>
    <w:p w14:paraId="07F6F19A" w14:textId="279F5B8B" w:rsidR="004214ED" w:rsidRDefault="004214ED" w:rsidP="003A436B">
      <w:pPr>
        <w:pStyle w:val="Paragraph"/>
        <w:numPr>
          <w:ilvl w:val="0"/>
          <w:numId w:val="0"/>
        </w:numPr>
        <w:ind w:left="567" w:hanging="499"/>
      </w:pPr>
    </w:p>
    <w:p w14:paraId="7AAB64D4" w14:textId="3CAD2601" w:rsidR="00C51BF4" w:rsidRDefault="00543D7F" w:rsidP="00543D7F">
      <w:pPr>
        <w:pStyle w:val="Numberedpara"/>
        <w:spacing w:after="240"/>
        <w:rPr>
          <w:color w:val="000000" w:themeColor="text1"/>
        </w:rPr>
      </w:pPr>
      <w:r>
        <w:rPr>
          <w:color w:val="000000" w:themeColor="text1"/>
        </w:rPr>
        <w:t xml:space="preserve">Meindert Boysen gave feedback from Eric Power’s recent meeting with the MHRA and updated SMT briefly </w:t>
      </w:r>
      <w:r w:rsidR="002B60E2">
        <w:rPr>
          <w:color w:val="000000" w:themeColor="text1"/>
        </w:rPr>
        <w:t>the significant level of</w:t>
      </w:r>
      <w:r>
        <w:rPr>
          <w:color w:val="000000" w:themeColor="text1"/>
        </w:rPr>
        <w:t xml:space="preserve"> activit</w:t>
      </w:r>
      <w:r w:rsidR="002B60E2">
        <w:rPr>
          <w:color w:val="000000" w:themeColor="text1"/>
        </w:rPr>
        <w:t xml:space="preserve">y </w:t>
      </w:r>
      <w:r>
        <w:rPr>
          <w:color w:val="000000" w:themeColor="text1"/>
        </w:rPr>
        <w:t xml:space="preserve">underway </w:t>
      </w:r>
      <w:r w:rsidR="002B60E2">
        <w:rPr>
          <w:color w:val="000000" w:themeColor="text1"/>
        </w:rPr>
        <w:t xml:space="preserve">within MHRA </w:t>
      </w:r>
      <w:r>
        <w:rPr>
          <w:color w:val="000000" w:themeColor="text1"/>
        </w:rPr>
        <w:t>in preparation for end of December.  It was agreed to add a</w:t>
      </w:r>
      <w:r w:rsidR="002B60E2">
        <w:rPr>
          <w:color w:val="000000" w:themeColor="text1"/>
        </w:rPr>
        <w:t xml:space="preserve">n EU Exit update </w:t>
      </w:r>
      <w:r>
        <w:rPr>
          <w:color w:val="000000" w:themeColor="text1"/>
        </w:rPr>
        <w:t>report to the agenda for the morning session of the November board meeting.</w:t>
      </w:r>
    </w:p>
    <w:p w14:paraId="1AB92E8C" w14:textId="77777777" w:rsidR="00543D7F" w:rsidRPr="00543D7F" w:rsidRDefault="00543D7F" w:rsidP="00543D7F">
      <w:pPr>
        <w:pStyle w:val="Numberedpara"/>
        <w:numPr>
          <w:ilvl w:val="0"/>
          <w:numId w:val="0"/>
        </w:numPr>
        <w:ind w:left="357"/>
        <w:jc w:val="right"/>
        <w:rPr>
          <w:b/>
          <w:bCs/>
        </w:rPr>
      </w:pPr>
      <w:r w:rsidRPr="00543D7F">
        <w:rPr>
          <w:b/>
          <w:bCs/>
        </w:rPr>
        <w:t>ACTION: DC</w:t>
      </w:r>
    </w:p>
    <w:p w14:paraId="1E36F71E" w14:textId="77777777" w:rsidR="00543D7F" w:rsidRDefault="00543D7F" w:rsidP="00543D7F">
      <w:pPr>
        <w:pStyle w:val="Numberedpara"/>
        <w:numPr>
          <w:ilvl w:val="0"/>
          <w:numId w:val="0"/>
        </w:numPr>
        <w:spacing w:after="240"/>
        <w:ind w:left="357"/>
        <w:jc w:val="right"/>
        <w:rPr>
          <w:color w:val="000000" w:themeColor="text1"/>
        </w:rPr>
      </w:pPr>
    </w:p>
    <w:p w14:paraId="5CB51C93" w14:textId="3FE5EF05" w:rsidR="00543D7F" w:rsidRDefault="00543D7F" w:rsidP="00756A5E">
      <w:pPr>
        <w:pStyle w:val="Numberedpara"/>
        <w:rPr>
          <w:color w:val="000000" w:themeColor="text1"/>
        </w:rPr>
      </w:pPr>
      <w:r>
        <w:rPr>
          <w:color w:val="000000" w:themeColor="text1"/>
        </w:rPr>
        <w:t xml:space="preserve">Gill Leng advised that she </w:t>
      </w:r>
      <w:r w:rsidR="002359EA">
        <w:rPr>
          <w:color w:val="000000" w:themeColor="text1"/>
        </w:rPr>
        <w:t>has</w:t>
      </w:r>
      <w:r>
        <w:rPr>
          <w:color w:val="000000" w:themeColor="text1"/>
        </w:rPr>
        <w:t xml:space="preserve"> an </w:t>
      </w:r>
      <w:r w:rsidR="002359EA">
        <w:rPr>
          <w:color w:val="000000" w:themeColor="text1"/>
        </w:rPr>
        <w:t xml:space="preserve">ALBs </w:t>
      </w:r>
      <w:r>
        <w:rPr>
          <w:color w:val="000000" w:themeColor="text1"/>
        </w:rPr>
        <w:t xml:space="preserve">EU </w:t>
      </w:r>
      <w:r w:rsidR="002359EA">
        <w:rPr>
          <w:color w:val="000000" w:themeColor="text1"/>
        </w:rPr>
        <w:t>Exit</w:t>
      </w:r>
      <w:r>
        <w:rPr>
          <w:color w:val="000000" w:themeColor="text1"/>
        </w:rPr>
        <w:t xml:space="preserve"> meeting with </w:t>
      </w:r>
      <w:r w:rsidR="002359EA">
        <w:rPr>
          <w:color w:val="000000" w:themeColor="text1"/>
        </w:rPr>
        <w:t>the Secretary of State</w:t>
      </w:r>
      <w:r>
        <w:rPr>
          <w:color w:val="000000" w:themeColor="text1"/>
        </w:rPr>
        <w:t xml:space="preserve"> on</w:t>
      </w:r>
      <w:r w:rsidR="002359EA">
        <w:rPr>
          <w:color w:val="000000" w:themeColor="text1"/>
        </w:rPr>
        <w:t xml:space="preserve"> </w:t>
      </w:r>
      <w:r w:rsidR="00512254">
        <w:rPr>
          <w:color w:val="000000" w:themeColor="text1"/>
        </w:rPr>
        <w:t>4 November</w:t>
      </w:r>
      <w:r w:rsidR="002359EA">
        <w:rPr>
          <w:color w:val="000000" w:themeColor="text1"/>
        </w:rPr>
        <w:t xml:space="preserve"> and requested a briefing note be prepared.</w:t>
      </w:r>
    </w:p>
    <w:p w14:paraId="1118016B" w14:textId="4F8C94C9" w:rsidR="00543D7F" w:rsidRDefault="00543D7F" w:rsidP="00543D7F">
      <w:pPr>
        <w:pStyle w:val="Numberedpara"/>
        <w:numPr>
          <w:ilvl w:val="0"/>
          <w:numId w:val="0"/>
        </w:numPr>
        <w:ind w:left="357"/>
        <w:rPr>
          <w:color w:val="000000" w:themeColor="text1"/>
        </w:rPr>
      </w:pPr>
    </w:p>
    <w:p w14:paraId="5F34B6CA" w14:textId="45AC3CD1" w:rsidR="00543D7F" w:rsidRDefault="00543D7F" w:rsidP="00543D7F">
      <w:pPr>
        <w:pStyle w:val="Numberedpara"/>
        <w:numPr>
          <w:ilvl w:val="0"/>
          <w:numId w:val="0"/>
        </w:numPr>
        <w:ind w:left="357"/>
        <w:jc w:val="right"/>
        <w:rPr>
          <w:b/>
          <w:bCs/>
          <w:color w:val="000000" w:themeColor="text1"/>
        </w:rPr>
      </w:pPr>
      <w:r w:rsidRPr="00543D7F">
        <w:rPr>
          <w:b/>
          <w:bCs/>
          <w:color w:val="000000" w:themeColor="text1"/>
        </w:rPr>
        <w:t xml:space="preserve">ACTION: </w:t>
      </w:r>
      <w:r>
        <w:rPr>
          <w:b/>
          <w:bCs/>
          <w:color w:val="000000" w:themeColor="text1"/>
        </w:rPr>
        <w:t>RT</w:t>
      </w:r>
      <w:r w:rsidR="002359EA">
        <w:rPr>
          <w:b/>
          <w:bCs/>
          <w:color w:val="000000" w:themeColor="text1"/>
        </w:rPr>
        <w:t>/MB</w:t>
      </w:r>
    </w:p>
    <w:p w14:paraId="4E5DD601" w14:textId="00E7D1C3" w:rsidR="00543D7F" w:rsidRDefault="00543D7F" w:rsidP="00543D7F">
      <w:pPr>
        <w:pStyle w:val="Numberedpara"/>
        <w:numPr>
          <w:ilvl w:val="0"/>
          <w:numId w:val="0"/>
        </w:numPr>
        <w:ind w:left="357"/>
        <w:jc w:val="right"/>
        <w:rPr>
          <w:b/>
          <w:bCs/>
          <w:color w:val="000000" w:themeColor="text1"/>
        </w:rPr>
      </w:pPr>
    </w:p>
    <w:p w14:paraId="385C86D6" w14:textId="5A2B278B" w:rsidR="004214ED" w:rsidRDefault="004214ED" w:rsidP="001C1B34">
      <w:pPr>
        <w:pStyle w:val="Heading2"/>
      </w:pPr>
      <w:r>
        <w:t xml:space="preserve">London office move (item </w:t>
      </w:r>
      <w:r w:rsidR="002359EA">
        <w:t>9</w:t>
      </w:r>
      <w:r>
        <w:t>)</w:t>
      </w:r>
    </w:p>
    <w:p w14:paraId="7860F8CA" w14:textId="3B3546F5" w:rsidR="004214ED" w:rsidRDefault="004214ED" w:rsidP="003A436B">
      <w:pPr>
        <w:pStyle w:val="Paragraph"/>
        <w:numPr>
          <w:ilvl w:val="0"/>
          <w:numId w:val="0"/>
        </w:numPr>
        <w:ind w:left="567" w:hanging="499"/>
      </w:pPr>
    </w:p>
    <w:p w14:paraId="5674C98C" w14:textId="0653A9CF" w:rsidR="00CF1EB0" w:rsidRDefault="002359EA" w:rsidP="00CF1EB0">
      <w:pPr>
        <w:pStyle w:val="Numberedpara"/>
        <w:rPr>
          <w:color w:val="000000" w:themeColor="text1"/>
        </w:rPr>
      </w:pPr>
      <w:r>
        <w:rPr>
          <w:color w:val="000000" w:themeColor="text1"/>
        </w:rPr>
        <w:t xml:space="preserve">Jennifer Howells advised that she would </w:t>
      </w:r>
      <w:r w:rsidR="00982EEA">
        <w:rPr>
          <w:color w:val="000000" w:themeColor="text1"/>
        </w:rPr>
        <w:t xml:space="preserve">now </w:t>
      </w:r>
      <w:r>
        <w:rPr>
          <w:color w:val="000000" w:themeColor="text1"/>
        </w:rPr>
        <w:t xml:space="preserve">be attending the Programme Board </w:t>
      </w:r>
      <w:r w:rsidR="00982EEA">
        <w:rPr>
          <w:color w:val="000000" w:themeColor="text1"/>
        </w:rPr>
        <w:t xml:space="preserve">meetings </w:t>
      </w:r>
      <w:r>
        <w:rPr>
          <w:color w:val="000000" w:themeColor="text1"/>
        </w:rPr>
        <w:t xml:space="preserve">in place of Catherine.  There were some new emerging costs but nothing </w:t>
      </w:r>
      <w:r w:rsidR="00982EEA">
        <w:rPr>
          <w:color w:val="000000" w:themeColor="text1"/>
        </w:rPr>
        <w:t xml:space="preserve">of </w:t>
      </w:r>
      <w:r>
        <w:rPr>
          <w:color w:val="000000" w:themeColor="text1"/>
        </w:rPr>
        <w:t>significan</w:t>
      </w:r>
      <w:r w:rsidR="00982EEA">
        <w:rPr>
          <w:color w:val="000000" w:themeColor="text1"/>
        </w:rPr>
        <w:t>ce</w:t>
      </w:r>
      <w:r>
        <w:rPr>
          <w:color w:val="000000" w:themeColor="text1"/>
        </w:rPr>
        <w:t>.</w:t>
      </w:r>
      <w:r w:rsidR="00982EEA">
        <w:rPr>
          <w:color w:val="000000" w:themeColor="text1"/>
        </w:rPr>
        <w:t xml:space="preserve">  It was noted that the ALB reps had begun a discussion about shared </w:t>
      </w:r>
      <w:r w:rsidR="00982EEA">
        <w:rPr>
          <w:color w:val="000000" w:themeColor="text1"/>
        </w:rPr>
        <w:lastRenderedPageBreak/>
        <w:t>values when the teams move into Redman Place.  Jane Gizbert was asked to check whether there was a NICE rep attending the Communications Working Group.</w:t>
      </w:r>
    </w:p>
    <w:p w14:paraId="52A6295D" w14:textId="77777777" w:rsidR="00982EEA" w:rsidRPr="009078A0" w:rsidRDefault="00982EEA" w:rsidP="00982EEA">
      <w:pPr>
        <w:pStyle w:val="Numberedpara"/>
        <w:numPr>
          <w:ilvl w:val="0"/>
          <w:numId w:val="0"/>
        </w:numPr>
        <w:ind w:left="357"/>
        <w:rPr>
          <w:color w:val="000000" w:themeColor="text1"/>
        </w:rPr>
      </w:pPr>
    </w:p>
    <w:p w14:paraId="788A248D" w14:textId="2F7ED9CE" w:rsidR="006B0BE3" w:rsidRPr="00982EEA" w:rsidRDefault="00982EEA" w:rsidP="00982EEA">
      <w:pPr>
        <w:pStyle w:val="Numberedpara"/>
        <w:numPr>
          <w:ilvl w:val="0"/>
          <w:numId w:val="0"/>
        </w:numPr>
        <w:ind w:left="357"/>
        <w:jc w:val="right"/>
        <w:rPr>
          <w:b/>
          <w:bCs/>
        </w:rPr>
      </w:pPr>
      <w:r>
        <w:rPr>
          <w:b/>
          <w:bCs/>
        </w:rPr>
        <w:t>ACTION: JG</w:t>
      </w:r>
    </w:p>
    <w:p w14:paraId="4816FA64" w14:textId="45930084" w:rsidR="006F3BE2" w:rsidRPr="00FA4D12" w:rsidRDefault="000959A0" w:rsidP="00FF68A5">
      <w:pPr>
        <w:pStyle w:val="Heading2"/>
      </w:pPr>
      <w:r>
        <w:t>O</w:t>
      </w:r>
      <w:r w:rsidR="006F3BE2">
        <w:t>ther business (</w:t>
      </w:r>
      <w:r w:rsidR="006F3BE2" w:rsidRPr="00FF68A5">
        <w:t>item</w:t>
      </w:r>
      <w:r w:rsidR="006F3BE2">
        <w:t xml:space="preserve"> </w:t>
      </w:r>
      <w:r w:rsidR="00BA6D66">
        <w:t>10</w:t>
      </w:r>
      <w:r w:rsidR="006F3BE2">
        <w:t>)</w:t>
      </w:r>
    </w:p>
    <w:p w14:paraId="5F62CEA1" w14:textId="032CE578" w:rsidR="00FF68A5" w:rsidRDefault="00FF68A5" w:rsidP="00FF68A5">
      <w:pPr>
        <w:pStyle w:val="Numberedpara"/>
        <w:numPr>
          <w:ilvl w:val="0"/>
          <w:numId w:val="0"/>
        </w:numPr>
        <w:ind w:left="357"/>
      </w:pPr>
    </w:p>
    <w:p w14:paraId="6C6BEB9B" w14:textId="0D991A82" w:rsidR="00EC086A" w:rsidRPr="00EC086A" w:rsidRDefault="000959A0" w:rsidP="00EC086A">
      <w:pPr>
        <w:pStyle w:val="Numberedpara"/>
        <w:numPr>
          <w:ilvl w:val="0"/>
          <w:numId w:val="0"/>
        </w:numPr>
        <w:ind w:left="357" w:hanging="357"/>
        <w:rPr>
          <w:u w:val="single"/>
        </w:rPr>
      </w:pPr>
      <w:r>
        <w:rPr>
          <w:u w:val="single"/>
        </w:rPr>
        <w:t>November public board meeting</w:t>
      </w:r>
    </w:p>
    <w:p w14:paraId="78BE8F3E" w14:textId="77777777" w:rsidR="00EC086A" w:rsidRDefault="00EC086A" w:rsidP="00FF68A5">
      <w:pPr>
        <w:pStyle w:val="Numberedpara"/>
        <w:numPr>
          <w:ilvl w:val="0"/>
          <w:numId w:val="0"/>
        </w:numPr>
        <w:ind w:left="357"/>
      </w:pPr>
    </w:p>
    <w:p w14:paraId="5E8EF40E" w14:textId="7CF9917A" w:rsidR="00CF1EB0" w:rsidRDefault="000959A0" w:rsidP="00CF1EB0">
      <w:pPr>
        <w:pStyle w:val="Numberedpara"/>
      </w:pPr>
      <w:r>
        <w:t xml:space="preserve">Jennifer Howells </w:t>
      </w:r>
      <w:r w:rsidR="00BA16AB">
        <w:t>advis</w:t>
      </w:r>
      <w:r w:rsidR="00595C08">
        <w:t>ed that the review of</w:t>
      </w:r>
      <w:r w:rsidR="00BA16AB">
        <w:t xml:space="preserve"> the Standing Orders, SFIs and scheme of delegation</w:t>
      </w:r>
      <w:r w:rsidR="004957A5">
        <w:t>s</w:t>
      </w:r>
      <w:r w:rsidR="00BA16AB">
        <w:t xml:space="preserve"> was being deferred from the November Board meeting to enable a re-write of some sections</w:t>
      </w:r>
      <w:r w:rsidR="004957A5">
        <w:t xml:space="preserve"> and</w:t>
      </w:r>
      <w:r w:rsidR="00BA16AB">
        <w:t xml:space="preserve"> inclu</w:t>
      </w:r>
      <w:r w:rsidR="004957A5">
        <w:t>sion of</w:t>
      </w:r>
      <w:r w:rsidR="00BA16AB">
        <w:t xml:space="preserve"> a new section on management of income from commissions, TA/HSTs and other third parties.</w:t>
      </w:r>
      <w:r w:rsidR="00595C08">
        <w:t xml:space="preserve"> </w:t>
      </w:r>
    </w:p>
    <w:p w14:paraId="1574F62A" w14:textId="431463A1" w:rsidR="001A0D2B" w:rsidRDefault="001A0D2B" w:rsidP="001A0D2B">
      <w:pPr>
        <w:pStyle w:val="Numberedpara"/>
        <w:numPr>
          <w:ilvl w:val="0"/>
          <w:numId w:val="0"/>
        </w:numPr>
        <w:ind w:left="357" w:hanging="357"/>
      </w:pPr>
    </w:p>
    <w:p w14:paraId="003EDE13" w14:textId="2CB01D27" w:rsidR="001A0D2B" w:rsidRPr="001A0D2B" w:rsidRDefault="000959A0" w:rsidP="001A0D2B">
      <w:pPr>
        <w:pStyle w:val="Numberedpara"/>
        <w:numPr>
          <w:ilvl w:val="0"/>
          <w:numId w:val="0"/>
        </w:numPr>
        <w:ind w:left="357" w:hanging="357"/>
        <w:rPr>
          <w:u w:val="single"/>
        </w:rPr>
      </w:pPr>
      <w:r>
        <w:rPr>
          <w:u w:val="single"/>
        </w:rPr>
        <w:t>Comprehensive Spending Review</w:t>
      </w:r>
    </w:p>
    <w:p w14:paraId="39662B98" w14:textId="1FA32BFB" w:rsidR="001A0D2B" w:rsidRDefault="001A0D2B" w:rsidP="001A0D2B">
      <w:pPr>
        <w:pStyle w:val="Numberedpara"/>
        <w:numPr>
          <w:ilvl w:val="0"/>
          <w:numId w:val="0"/>
        </w:numPr>
        <w:ind w:left="357" w:hanging="357"/>
      </w:pPr>
    </w:p>
    <w:p w14:paraId="61873E96" w14:textId="5E9BAF96" w:rsidR="00BD2E4C" w:rsidRDefault="001A0D2B" w:rsidP="00285399">
      <w:pPr>
        <w:pStyle w:val="Numberedpara"/>
      </w:pPr>
      <w:r>
        <w:t>SMT</w:t>
      </w:r>
      <w:r w:rsidR="000959A0">
        <w:t xml:space="preserve"> noted that Jane Newton had advised that the CSR will now be for one year rather than three</w:t>
      </w:r>
      <w:r w:rsidR="00194B1C">
        <w:t xml:space="preserve">. </w:t>
      </w:r>
      <w:r w:rsidR="00C17AE7">
        <w:t xml:space="preserve"> The outcome was expected mid-November.</w:t>
      </w:r>
    </w:p>
    <w:p w14:paraId="4EEAB928" w14:textId="1DCE2593" w:rsidR="000959A0" w:rsidRDefault="000959A0" w:rsidP="000959A0">
      <w:pPr>
        <w:pStyle w:val="Numberedpara"/>
        <w:numPr>
          <w:ilvl w:val="0"/>
          <w:numId w:val="0"/>
        </w:numPr>
      </w:pPr>
    </w:p>
    <w:p w14:paraId="08843D6A" w14:textId="2C9457A2" w:rsidR="000959A0" w:rsidRPr="000959A0" w:rsidRDefault="000959A0" w:rsidP="000959A0">
      <w:pPr>
        <w:pStyle w:val="Numberedpara"/>
        <w:numPr>
          <w:ilvl w:val="0"/>
          <w:numId w:val="0"/>
        </w:numPr>
        <w:rPr>
          <w:u w:val="single"/>
        </w:rPr>
      </w:pPr>
      <w:r>
        <w:rPr>
          <w:u w:val="single"/>
        </w:rPr>
        <w:t>Catherine Wilkinson</w:t>
      </w:r>
      <w:r w:rsidR="00D00A33">
        <w:rPr>
          <w:u w:val="single"/>
        </w:rPr>
        <w:t>, Deputy Director, Finance, Strategy and Transformation</w:t>
      </w:r>
    </w:p>
    <w:p w14:paraId="1E8B6396" w14:textId="77777777" w:rsidR="00BD2E4C" w:rsidRDefault="00BD2E4C" w:rsidP="000959A0">
      <w:pPr>
        <w:pStyle w:val="Numberedpara"/>
        <w:numPr>
          <w:ilvl w:val="0"/>
          <w:numId w:val="0"/>
        </w:numPr>
      </w:pPr>
    </w:p>
    <w:p w14:paraId="51DAF3C8" w14:textId="6FB1CCEB" w:rsidR="001A0D2B" w:rsidRDefault="00D00A33" w:rsidP="00285399">
      <w:pPr>
        <w:pStyle w:val="Numberedpara"/>
      </w:pPr>
      <w:r>
        <w:t>Jennifer Howells advised that due to annual leave owing, this is Catherine’s last week in the office</w:t>
      </w:r>
      <w:r w:rsidR="00285399">
        <w:t>.</w:t>
      </w:r>
      <w:r>
        <w:t xml:space="preserve">  Her formal leaving date is 8 November.  Hilary Baker has been appointed as the interim </w:t>
      </w:r>
      <w:r w:rsidRPr="00D00A33">
        <w:t>Deputy Director, Finance, Strategy and Transformation</w:t>
      </w:r>
      <w:r>
        <w:t xml:space="preserve"> until a permanent, financially qualified, replacement is appointed.</w:t>
      </w:r>
    </w:p>
    <w:p w14:paraId="5AF9D22E" w14:textId="3D011DE8" w:rsidR="00285399" w:rsidRDefault="00285399" w:rsidP="00285399">
      <w:pPr>
        <w:pStyle w:val="Numberedpara"/>
        <w:numPr>
          <w:ilvl w:val="0"/>
          <w:numId w:val="0"/>
        </w:numPr>
        <w:ind w:left="357" w:hanging="357"/>
      </w:pPr>
    </w:p>
    <w:p w14:paraId="7B3DAEF0" w14:textId="071A340D" w:rsidR="00285399" w:rsidRPr="00285399" w:rsidRDefault="00943005" w:rsidP="00943005">
      <w:pPr>
        <w:pStyle w:val="Numberedpara"/>
        <w:numPr>
          <w:ilvl w:val="0"/>
          <w:numId w:val="0"/>
        </w:numPr>
        <w:rPr>
          <w:u w:val="single"/>
        </w:rPr>
      </w:pPr>
      <w:r>
        <w:rPr>
          <w:u w:val="single"/>
        </w:rPr>
        <w:t xml:space="preserve">Consultancy appointment to support the organisational design work </w:t>
      </w:r>
    </w:p>
    <w:p w14:paraId="3346FAF1" w14:textId="77777777" w:rsidR="00285399" w:rsidRDefault="00285399" w:rsidP="00285399">
      <w:pPr>
        <w:pStyle w:val="Numberedpara"/>
        <w:numPr>
          <w:ilvl w:val="0"/>
          <w:numId w:val="0"/>
        </w:numPr>
        <w:ind w:left="357" w:hanging="357"/>
      </w:pPr>
    </w:p>
    <w:p w14:paraId="028B332E" w14:textId="3098CFD6" w:rsidR="00214B53" w:rsidRDefault="00943005" w:rsidP="0072291E">
      <w:pPr>
        <w:pStyle w:val="Numberedpara"/>
      </w:pPr>
      <w:r>
        <w:t xml:space="preserve">Gill Leng advised SMT that </w:t>
      </w:r>
      <w:r w:rsidR="00B07034">
        <w:t xml:space="preserve">a piece of work was underway being led by Jennifer to </w:t>
      </w:r>
      <w:r w:rsidR="004957A5">
        <w:t>engage a</w:t>
      </w:r>
      <w:r w:rsidR="00B07034">
        <w:t xml:space="preserve"> consultancy to help with the organisational design work which the Board has discussed previously as part of the future strategic direction.  The scope will be further informed by the Board strategy meeting on 21 October 2020, after which Jennifer Howells was asked to share a draft scope with SMT.</w:t>
      </w:r>
    </w:p>
    <w:p w14:paraId="09E97C7E" w14:textId="5D59A166" w:rsidR="00B07034" w:rsidRDefault="00B07034" w:rsidP="00B07034">
      <w:pPr>
        <w:pStyle w:val="Numberedpara"/>
        <w:numPr>
          <w:ilvl w:val="0"/>
          <w:numId w:val="0"/>
        </w:numPr>
        <w:ind w:left="357"/>
      </w:pPr>
    </w:p>
    <w:p w14:paraId="5291A5AA" w14:textId="5AEC1BCF" w:rsidR="00B07034" w:rsidRPr="00B07034" w:rsidRDefault="00B07034" w:rsidP="00B07034">
      <w:pPr>
        <w:pStyle w:val="Numberedpara"/>
        <w:numPr>
          <w:ilvl w:val="0"/>
          <w:numId w:val="0"/>
        </w:numPr>
        <w:ind w:left="357"/>
        <w:jc w:val="right"/>
        <w:rPr>
          <w:b/>
          <w:bCs/>
        </w:rPr>
      </w:pPr>
      <w:r w:rsidRPr="00B07034">
        <w:rPr>
          <w:b/>
          <w:bCs/>
        </w:rPr>
        <w:t>ACTION: JH</w:t>
      </w:r>
    </w:p>
    <w:p w14:paraId="088F2190" w14:textId="6A844CCA" w:rsidR="00573F96" w:rsidRDefault="00573F96" w:rsidP="00573F96">
      <w:pPr>
        <w:pStyle w:val="Numberedpara"/>
        <w:numPr>
          <w:ilvl w:val="0"/>
          <w:numId w:val="0"/>
        </w:numPr>
      </w:pPr>
    </w:p>
    <w:sectPr w:rsidR="00573F96"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1731" w14:textId="77777777" w:rsidR="008C0DFB" w:rsidRDefault="008C0DFB" w:rsidP="00446BEE">
      <w:r>
        <w:separator/>
      </w:r>
    </w:p>
  </w:endnote>
  <w:endnote w:type="continuationSeparator" w:id="0">
    <w:p w14:paraId="2D39AD8B" w14:textId="77777777" w:rsidR="008C0DFB" w:rsidRDefault="008C0DF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8C0DFB" w:rsidRDefault="008C0DFB">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8F77" w14:textId="77777777" w:rsidR="008C0DFB" w:rsidRDefault="008C0DFB" w:rsidP="00446BEE">
      <w:r>
        <w:separator/>
      </w:r>
    </w:p>
  </w:footnote>
  <w:footnote w:type="continuationSeparator" w:id="0">
    <w:p w14:paraId="02EAB339" w14:textId="77777777" w:rsidR="008C0DFB" w:rsidRDefault="008C0DF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F759490" w:rsidR="008C0DFB" w:rsidRPr="007D0457" w:rsidRDefault="008C0DFB"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AE01FA8"/>
    <w:multiLevelType w:val="hybridMultilevel"/>
    <w:tmpl w:val="639A730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5"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29404E"/>
    <w:multiLevelType w:val="hybridMultilevel"/>
    <w:tmpl w:val="481CE1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6"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34"/>
    <w:lvlOverride w:ilvl="0">
      <w:startOverride w:val="1"/>
    </w:lvlOverride>
  </w:num>
  <w:num w:numId="4">
    <w:abstractNumId w:val="34"/>
    <w:lvlOverride w:ilvl="0">
      <w:startOverride w:val="1"/>
    </w:lvlOverride>
  </w:num>
  <w:num w:numId="5">
    <w:abstractNumId w:val="34"/>
    <w:lvlOverride w:ilvl="0">
      <w:startOverride w:val="1"/>
    </w:lvlOverride>
  </w:num>
  <w:num w:numId="6">
    <w:abstractNumId w:val="34"/>
    <w:lvlOverride w:ilvl="0">
      <w:startOverride w:val="1"/>
    </w:lvlOverride>
  </w:num>
  <w:num w:numId="7">
    <w:abstractNumId w:val="34"/>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7"/>
  </w:num>
  <w:num w:numId="22">
    <w:abstractNumId w:val="16"/>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5"/>
  </w:num>
  <w:num w:numId="26">
    <w:abstractNumId w:val="27"/>
    <w:lvlOverride w:ilvl="0">
      <w:startOverride w:val="1"/>
    </w:lvlOverride>
  </w:num>
  <w:num w:numId="27">
    <w:abstractNumId w:val="22"/>
  </w:num>
  <w:num w:numId="28">
    <w:abstractNumId w:val="17"/>
  </w:num>
  <w:num w:numId="29">
    <w:abstractNumId w:val="0"/>
  </w:num>
  <w:num w:numId="30">
    <w:abstractNumId w:val="26"/>
  </w:num>
  <w:num w:numId="31">
    <w:abstractNumId w:val="24"/>
  </w:num>
  <w:num w:numId="32">
    <w:abstractNumId w:val="23"/>
  </w:num>
  <w:num w:numId="33">
    <w:abstractNumId w:val="21"/>
  </w:num>
  <w:num w:numId="34">
    <w:abstractNumId w:val="25"/>
  </w:num>
  <w:num w:numId="35">
    <w:abstractNumId w:val="29"/>
  </w:num>
  <w:num w:numId="36">
    <w:abstractNumId w:val="39"/>
  </w:num>
  <w:num w:numId="37">
    <w:abstractNumId w:val="14"/>
  </w:num>
  <w:num w:numId="38">
    <w:abstractNumId w:val="31"/>
  </w:num>
  <w:num w:numId="39">
    <w:abstractNumId w:val="37"/>
  </w:num>
  <w:num w:numId="40">
    <w:abstractNumId w:val="13"/>
  </w:num>
  <w:num w:numId="41">
    <w:abstractNumId w:val="1"/>
  </w:num>
  <w:num w:numId="42">
    <w:abstractNumId w:val="28"/>
  </w:num>
  <w:num w:numId="43">
    <w:abstractNumId w:val="32"/>
  </w:num>
  <w:num w:numId="44">
    <w:abstractNumId w:val="19"/>
  </w:num>
  <w:num w:numId="45">
    <w:abstractNumId w:val="36"/>
  </w:num>
  <w:num w:numId="46">
    <w:abstractNumId w:val="12"/>
  </w:num>
  <w:num w:numId="47">
    <w:abstractNumId w:val="2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53F8"/>
    <w:rsid w:val="0000687D"/>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283"/>
    <w:rsid w:val="000253C0"/>
    <w:rsid w:val="00032073"/>
    <w:rsid w:val="000320AA"/>
    <w:rsid w:val="0003314A"/>
    <w:rsid w:val="00035962"/>
    <w:rsid w:val="0003682B"/>
    <w:rsid w:val="000368A8"/>
    <w:rsid w:val="000376CB"/>
    <w:rsid w:val="000405AE"/>
    <w:rsid w:val="00040E50"/>
    <w:rsid w:val="00042909"/>
    <w:rsid w:val="00042D75"/>
    <w:rsid w:val="000439B6"/>
    <w:rsid w:val="0004602F"/>
    <w:rsid w:val="00046388"/>
    <w:rsid w:val="000470AC"/>
    <w:rsid w:val="000472DC"/>
    <w:rsid w:val="0004790B"/>
    <w:rsid w:val="00050204"/>
    <w:rsid w:val="00052377"/>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ABD"/>
    <w:rsid w:val="00090B63"/>
    <w:rsid w:val="00091C40"/>
    <w:rsid w:val="00092846"/>
    <w:rsid w:val="00092B46"/>
    <w:rsid w:val="000930F3"/>
    <w:rsid w:val="0009594E"/>
    <w:rsid w:val="000959A0"/>
    <w:rsid w:val="00095BEC"/>
    <w:rsid w:val="000966AB"/>
    <w:rsid w:val="000979CE"/>
    <w:rsid w:val="00097E67"/>
    <w:rsid w:val="000A0395"/>
    <w:rsid w:val="000A1E6D"/>
    <w:rsid w:val="000A2EDB"/>
    <w:rsid w:val="000A4279"/>
    <w:rsid w:val="000A4CEB"/>
    <w:rsid w:val="000A4D3E"/>
    <w:rsid w:val="000A4FEE"/>
    <w:rsid w:val="000A5E67"/>
    <w:rsid w:val="000A6E1A"/>
    <w:rsid w:val="000B0FF9"/>
    <w:rsid w:val="000B1394"/>
    <w:rsid w:val="000B2792"/>
    <w:rsid w:val="000B3EA3"/>
    <w:rsid w:val="000B45C6"/>
    <w:rsid w:val="000B5939"/>
    <w:rsid w:val="000B6A66"/>
    <w:rsid w:val="000B70DE"/>
    <w:rsid w:val="000C0211"/>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AC1"/>
    <w:rsid w:val="000D3DCC"/>
    <w:rsid w:val="000D4DED"/>
    <w:rsid w:val="000D53A2"/>
    <w:rsid w:val="000D57F2"/>
    <w:rsid w:val="000D63AB"/>
    <w:rsid w:val="000D6D85"/>
    <w:rsid w:val="000E0109"/>
    <w:rsid w:val="000E121F"/>
    <w:rsid w:val="000E1D01"/>
    <w:rsid w:val="000E21D2"/>
    <w:rsid w:val="000E32B5"/>
    <w:rsid w:val="000E40D6"/>
    <w:rsid w:val="000E5656"/>
    <w:rsid w:val="000E6121"/>
    <w:rsid w:val="000E654C"/>
    <w:rsid w:val="000E725E"/>
    <w:rsid w:val="000E7DE1"/>
    <w:rsid w:val="000E7E12"/>
    <w:rsid w:val="000E7EC1"/>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35B7"/>
    <w:rsid w:val="00103740"/>
    <w:rsid w:val="00104204"/>
    <w:rsid w:val="00104BD6"/>
    <w:rsid w:val="00106046"/>
    <w:rsid w:val="0011018F"/>
    <w:rsid w:val="00110EEF"/>
    <w:rsid w:val="0011108E"/>
    <w:rsid w:val="00111CCE"/>
    <w:rsid w:val="0011301F"/>
    <w:rsid w:val="001131C4"/>
    <w:rsid w:val="001134E7"/>
    <w:rsid w:val="0011352A"/>
    <w:rsid w:val="001136BD"/>
    <w:rsid w:val="00114FFA"/>
    <w:rsid w:val="00116108"/>
    <w:rsid w:val="00116344"/>
    <w:rsid w:val="00116872"/>
    <w:rsid w:val="001169A0"/>
    <w:rsid w:val="00116CD8"/>
    <w:rsid w:val="00121374"/>
    <w:rsid w:val="001253FF"/>
    <w:rsid w:val="0012667C"/>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46B59"/>
    <w:rsid w:val="001505E0"/>
    <w:rsid w:val="0015117B"/>
    <w:rsid w:val="001520BF"/>
    <w:rsid w:val="00153771"/>
    <w:rsid w:val="0015444A"/>
    <w:rsid w:val="00154A00"/>
    <w:rsid w:val="00154E94"/>
    <w:rsid w:val="00156295"/>
    <w:rsid w:val="00157246"/>
    <w:rsid w:val="001574F5"/>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65B3"/>
    <w:rsid w:val="001B7577"/>
    <w:rsid w:val="001B7C63"/>
    <w:rsid w:val="001B7E73"/>
    <w:rsid w:val="001C0F41"/>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5AF4"/>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273E"/>
    <w:rsid w:val="001F355B"/>
    <w:rsid w:val="001F4419"/>
    <w:rsid w:val="001F5B3E"/>
    <w:rsid w:val="001F5C38"/>
    <w:rsid w:val="001F6247"/>
    <w:rsid w:val="001F7004"/>
    <w:rsid w:val="001F73BE"/>
    <w:rsid w:val="002015BD"/>
    <w:rsid w:val="002029A6"/>
    <w:rsid w:val="00205B1E"/>
    <w:rsid w:val="00206CD6"/>
    <w:rsid w:val="00207142"/>
    <w:rsid w:val="00207F4A"/>
    <w:rsid w:val="002102BB"/>
    <w:rsid w:val="00210577"/>
    <w:rsid w:val="002118F8"/>
    <w:rsid w:val="00211BEC"/>
    <w:rsid w:val="00211C16"/>
    <w:rsid w:val="00213099"/>
    <w:rsid w:val="0021356B"/>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59EA"/>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15E9"/>
    <w:rsid w:val="00254C33"/>
    <w:rsid w:val="00255A5A"/>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7D7"/>
    <w:rsid w:val="00272AC2"/>
    <w:rsid w:val="00274313"/>
    <w:rsid w:val="00274962"/>
    <w:rsid w:val="00274980"/>
    <w:rsid w:val="0027611F"/>
    <w:rsid w:val="00277177"/>
    <w:rsid w:val="00280973"/>
    <w:rsid w:val="00280CF4"/>
    <w:rsid w:val="00280F6D"/>
    <w:rsid w:val="002816F2"/>
    <w:rsid w:val="002819D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0E2"/>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813"/>
    <w:rsid w:val="00323D33"/>
    <w:rsid w:val="00324CAB"/>
    <w:rsid w:val="0032523A"/>
    <w:rsid w:val="0032535C"/>
    <w:rsid w:val="0032567D"/>
    <w:rsid w:val="00325875"/>
    <w:rsid w:val="00325F0E"/>
    <w:rsid w:val="00327625"/>
    <w:rsid w:val="00327AC3"/>
    <w:rsid w:val="003303EC"/>
    <w:rsid w:val="003315DC"/>
    <w:rsid w:val="00331D51"/>
    <w:rsid w:val="00331E1E"/>
    <w:rsid w:val="003328B7"/>
    <w:rsid w:val="00333503"/>
    <w:rsid w:val="00334A54"/>
    <w:rsid w:val="00334ED8"/>
    <w:rsid w:val="00337126"/>
    <w:rsid w:val="00337789"/>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4E99"/>
    <w:rsid w:val="0039655C"/>
    <w:rsid w:val="00396757"/>
    <w:rsid w:val="00396B70"/>
    <w:rsid w:val="00397BD5"/>
    <w:rsid w:val="00397CD4"/>
    <w:rsid w:val="003A047B"/>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3294"/>
    <w:rsid w:val="003B3606"/>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1C0A"/>
    <w:rsid w:val="003D20F7"/>
    <w:rsid w:val="003D2C1A"/>
    <w:rsid w:val="003D3F0E"/>
    <w:rsid w:val="003D4FE4"/>
    <w:rsid w:val="003E06BB"/>
    <w:rsid w:val="003E12C9"/>
    <w:rsid w:val="003E1BFF"/>
    <w:rsid w:val="003E3BF1"/>
    <w:rsid w:val="003E4F5A"/>
    <w:rsid w:val="003E5E2E"/>
    <w:rsid w:val="003E6116"/>
    <w:rsid w:val="003E6372"/>
    <w:rsid w:val="003E68FB"/>
    <w:rsid w:val="003E6C12"/>
    <w:rsid w:val="003F0601"/>
    <w:rsid w:val="003F0AF7"/>
    <w:rsid w:val="003F0E44"/>
    <w:rsid w:val="003F2268"/>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7BBC"/>
    <w:rsid w:val="00437E07"/>
    <w:rsid w:val="004422AC"/>
    <w:rsid w:val="00442B12"/>
    <w:rsid w:val="00442B17"/>
    <w:rsid w:val="00443081"/>
    <w:rsid w:val="00443584"/>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4D7B"/>
    <w:rsid w:val="00465139"/>
    <w:rsid w:val="00465D00"/>
    <w:rsid w:val="004660BE"/>
    <w:rsid w:val="00467BF6"/>
    <w:rsid w:val="004700AC"/>
    <w:rsid w:val="00470798"/>
    <w:rsid w:val="004707FD"/>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57A5"/>
    <w:rsid w:val="00496397"/>
    <w:rsid w:val="004967DD"/>
    <w:rsid w:val="00497F9E"/>
    <w:rsid w:val="004A03EA"/>
    <w:rsid w:val="004A302A"/>
    <w:rsid w:val="004A323C"/>
    <w:rsid w:val="004A3748"/>
    <w:rsid w:val="004A38F9"/>
    <w:rsid w:val="004A3FD7"/>
    <w:rsid w:val="004A3FD9"/>
    <w:rsid w:val="004A52CA"/>
    <w:rsid w:val="004A6FBC"/>
    <w:rsid w:val="004B0805"/>
    <w:rsid w:val="004B08D9"/>
    <w:rsid w:val="004B130A"/>
    <w:rsid w:val="004B171F"/>
    <w:rsid w:val="004B291B"/>
    <w:rsid w:val="004B3FDC"/>
    <w:rsid w:val="004B482D"/>
    <w:rsid w:val="004B549D"/>
    <w:rsid w:val="004B632B"/>
    <w:rsid w:val="004B6CF8"/>
    <w:rsid w:val="004B702C"/>
    <w:rsid w:val="004B7F86"/>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4CA"/>
    <w:rsid w:val="00504B23"/>
    <w:rsid w:val="0050634E"/>
    <w:rsid w:val="00506C88"/>
    <w:rsid w:val="005070FB"/>
    <w:rsid w:val="005077B0"/>
    <w:rsid w:val="00507F86"/>
    <w:rsid w:val="00510AEE"/>
    <w:rsid w:val="00512254"/>
    <w:rsid w:val="0051256D"/>
    <w:rsid w:val="0051305A"/>
    <w:rsid w:val="005137BF"/>
    <w:rsid w:val="00513F96"/>
    <w:rsid w:val="00515086"/>
    <w:rsid w:val="005152E6"/>
    <w:rsid w:val="0051792A"/>
    <w:rsid w:val="00521143"/>
    <w:rsid w:val="00522D8D"/>
    <w:rsid w:val="00523996"/>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3D7F"/>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1794"/>
    <w:rsid w:val="00581EED"/>
    <w:rsid w:val="00582ED5"/>
    <w:rsid w:val="00583E16"/>
    <w:rsid w:val="00584273"/>
    <w:rsid w:val="00584A36"/>
    <w:rsid w:val="00584B67"/>
    <w:rsid w:val="00584D0B"/>
    <w:rsid w:val="0058754B"/>
    <w:rsid w:val="00587E7F"/>
    <w:rsid w:val="00590320"/>
    <w:rsid w:val="005903D6"/>
    <w:rsid w:val="005905AB"/>
    <w:rsid w:val="00592D13"/>
    <w:rsid w:val="005944A6"/>
    <w:rsid w:val="005947AD"/>
    <w:rsid w:val="00594AE2"/>
    <w:rsid w:val="00595C08"/>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164C"/>
    <w:rsid w:val="005F5EF6"/>
    <w:rsid w:val="005F7F24"/>
    <w:rsid w:val="00600413"/>
    <w:rsid w:val="00600802"/>
    <w:rsid w:val="00601420"/>
    <w:rsid w:val="00601D97"/>
    <w:rsid w:val="0060217D"/>
    <w:rsid w:val="0060329E"/>
    <w:rsid w:val="0060492D"/>
    <w:rsid w:val="00606F91"/>
    <w:rsid w:val="00610CC9"/>
    <w:rsid w:val="0061250D"/>
    <w:rsid w:val="006135CC"/>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26C"/>
    <w:rsid w:val="00624856"/>
    <w:rsid w:val="00624AFD"/>
    <w:rsid w:val="00624C3B"/>
    <w:rsid w:val="00626886"/>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524B"/>
    <w:rsid w:val="00645A6D"/>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64E"/>
    <w:rsid w:val="00670D6B"/>
    <w:rsid w:val="00670DE1"/>
    <w:rsid w:val="00671E99"/>
    <w:rsid w:val="0067201C"/>
    <w:rsid w:val="0067213F"/>
    <w:rsid w:val="00673208"/>
    <w:rsid w:val="006733F1"/>
    <w:rsid w:val="00673DF6"/>
    <w:rsid w:val="006747FD"/>
    <w:rsid w:val="006755AF"/>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D80"/>
    <w:rsid w:val="006858DE"/>
    <w:rsid w:val="00686881"/>
    <w:rsid w:val="006875CA"/>
    <w:rsid w:val="006900FC"/>
    <w:rsid w:val="00690502"/>
    <w:rsid w:val="006921E1"/>
    <w:rsid w:val="006928CF"/>
    <w:rsid w:val="0069653C"/>
    <w:rsid w:val="0069726A"/>
    <w:rsid w:val="00697A5B"/>
    <w:rsid w:val="00697D0D"/>
    <w:rsid w:val="006A0C6B"/>
    <w:rsid w:val="006A13ED"/>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946"/>
    <w:rsid w:val="006B554D"/>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F1CD8"/>
    <w:rsid w:val="006F30BE"/>
    <w:rsid w:val="006F3BE2"/>
    <w:rsid w:val="006F3EFF"/>
    <w:rsid w:val="006F495B"/>
    <w:rsid w:val="006F4B25"/>
    <w:rsid w:val="006F531B"/>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EED"/>
    <w:rsid w:val="00716005"/>
    <w:rsid w:val="00716659"/>
    <w:rsid w:val="0071674D"/>
    <w:rsid w:val="00717851"/>
    <w:rsid w:val="007179BB"/>
    <w:rsid w:val="00717C37"/>
    <w:rsid w:val="007207FE"/>
    <w:rsid w:val="00721119"/>
    <w:rsid w:val="00721EEC"/>
    <w:rsid w:val="0072291E"/>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6A5E"/>
    <w:rsid w:val="00756D26"/>
    <w:rsid w:val="007571FD"/>
    <w:rsid w:val="00757DF9"/>
    <w:rsid w:val="00760908"/>
    <w:rsid w:val="00760CC2"/>
    <w:rsid w:val="0076114C"/>
    <w:rsid w:val="00762787"/>
    <w:rsid w:val="00763944"/>
    <w:rsid w:val="00765186"/>
    <w:rsid w:val="00765CA2"/>
    <w:rsid w:val="0076771F"/>
    <w:rsid w:val="007677FC"/>
    <w:rsid w:val="00770590"/>
    <w:rsid w:val="007725C6"/>
    <w:rsid w:val="00774D94"/>
    <w:rsid w:val="00776CBA"/>
    <w:rsid w:val="00776F0D"/>
    <w:rsid w:val="00776F5B"/>
    <w:rsid w:val="00776F93"/>
    <w:rsid w:val="00777395"/>
    <w:rsid w:val="00780E5C"/>
    <w:rsid w:val="00780F99"/>
    <w:rsid w:val="00781541"/>
    <w:rsid w:val="007818B8"/>
    <w:rsid w:val="00781B11"/>
    <w:rsid w:val="00786982"/>
    <w:rsid w:val="00787A63"/>
    <w:rsid w:val="00790035"/>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6D2E"/>
    <w:rsid w:val="007A72AA"/>
    <w:rsid w:val="007A7AC3"/>
    <w:rsid w:val="007B2A9F"/>
    <w:rsid w:val="007B34AB"/>
    <w:rsid w:val="007B43A1"/>
    <w:rsid w:val="007B4D14"/>
    <w:rsid w:val="007B6434"/>
    <w:rsid w:val="007B744C"/>
    <w:rsid w:val="007B79A0"/>
    <w:rsid w:val="007B7DC1"/>
    <w:rsid w:val="007C0E6A"/>
    <w:rsid w:val="007C12FB"/>
    <w:rsid w:val="007C305C"/>
    <w:rsid w:val="007C54F6"/>
    <w:rsid w:val="007C5FAB"/>
    <w:rsid w:val="007C63DF"/>
    <w:rsid w:val="007C65CB"/>
    <w:rsid w:val="007C67AB"/>
    <w:rsid w:val="007C6AA8"/>
    <w:rsid w:val="007C77ED"/>
    <w:rsid w:val="007C7E4D"/>
    <w:rsid w:val="007D0457"/>
    <w:rsid w:val="007D0578"/>
    <w:rsid w:val="007D0755"/>
    <w:rsid w:val="007D1BFE"/>
    <w:rsid w:val="007D297B"/>
    <w:rsid w:val="007D2CF6"/>
    <w:rsid w:val="007D2F38"/>
    <w:rsid w:val="007D3F19"/>
    <w:rsid w:val="007D4207"/>
    <w:rsid w:val="007D440D"/>
    <w:rsid w:val="007D4D20"/>
    <w:rsid w:val="007D5348"/>
    <w:rsid w:val="007D5B9C"/>
    <w:rsid w:val="007D661D"/>
    <w:rsid w:val="007D66EB"/>
    <w:rsid w:val="007D68FE"/>
    <w:rsid w:val="007D69E6"/>
    <w:rsid w:val="007D6C7C"/>
    <w:rsid w:val="007E00F9"/>
    <w:rsid w:val="007E05DE"/>
    <w:rsid w:val="007E1835"/>
    <w:rsid w:val="007E18C9"/>
    <w:rsid w:val="007E35C5"/>
    <w:rsid w:val="007E44E4"/>
    <w:rsid w:val="007E530D"/>
    <w:rsid w:val="007E72A1"/>
    <w:rsid w:val="007E7ACE"/>
    <w:rsid w:val="007E7B5E"/>
    <w:rsid w:val="007F2001"/>
    <w:rsid w:val="007F238D"/>
    <w:rsid w:val="007F341F"/>
    <w:rsid w:val="007F361A"/>
    <w:rsid w:val="007F4ED3"/>
    <w:rsid w:val="007F61BA"/>
    <w:rsid w:val="007F6555"/>
    <w:rsid w:val="007F6671"/>
    <w:rsid w:val="007F787A"/>
    <w:rsid w:val="00801E07"/>
    <w:rsid w:val="00801E48"/>
    <w:rsid w:val="0080266C"/>
    <w:rsid w:val="008026F0"/>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1296"/>
    <w:rsid w:val="00822179"/>
    <w:rsid w:val="0082425B"/>
    <w:rsid w:val="00824E03"/>
    <w:rsid w:val="00825597"/>
    <w:rsid w:val="00825A03"/>
    <w:rsid w:val="00826444"/>
    <w:rsid w:val="00826445"/>
    <w:rsid w:val="00826930"/>
    <w:rsid w:val="00826B19"/>
    <w:rsid w:val="00826D99"/>
    <w:rsid w:val="00826DF2"/>
    <w:rsid w:val="00832FB7"/>
    <w:rsid w:val="00833315"/>
    <w:rsid w:val="00833787"/>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429B"/>
    <w:rsid w:val="008A5002"/>
    <w:rsid w:val="008A5C60"/>
    <w:rsid w:val="008A5FAF"/>
    <w:rsid w:val="008A61AF"/>
    <w:rsid w:val="008B0A4D"/>
    <w:rsid w:val="008B2909"/>
    <w:rsid w:val="008B35AB"/>
    <w:rsid w:val="008B41B8"/>
    <w:rsid w:val="008B4E01"/>
    <w:rsid w:val="008B7D27"/>
    <w:rsid w:val="008C0633"/>
    <w:rsid w:val="008C0DFB"/>
    <w:rsid w:val="008C1A9C"/>
    <w:rsid w:val="008C22B5"/>
    <w:rsid w:val="008C23C6"/>
    <w:rsid w:val="008C3410"/>
    <w:rsid w:val="008C3590"/>
    <w:rsid w:val="008C3629"/>
    <w:rsid w:val="008C44B9"/>
    <w:rsid w:val="008C52C2"/>
    <w:rsid w:val="008C5747"/>
    <w:rsid w:val="008C5E96"/>
    <w:rsid w:val="008C663E"/>
    <w:rsid w:val="008C6B21"/>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4D1D"/>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2840"/>
    <w:rsid w:val="009332F5"/>
    <w:rsid w:val="0093341E"/>
    <w:rsid w:val="0093375A"/>
    <w:rsid w:val="009353DC"/>
    <w:rsid w:val="009377B5"/>
    <w:rsid w:val="0094046F"/>
    <w:rsid w:val="00940904"/>
    <w:rsid w:val="00940CF5"/>
    <w:rsid w:val="0094228F"/>
    <w:rsid w:val="0094265C"/>
    <w:rsid w:val="00942FB4"/>
    <w:rsid w:val="00943005"/>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300D"/>
    <w:rsid w:val="0096356D"/>
    <w:rsid w:val="00964C03"/>
    <w:rsid w:val="009660C9"/>
    <w:rsid w:val="009672B4"/>
    <w:rsid w:val="009715C3"/>
    <w:rsid w:val="009719CB"/>
    <w:rsid w:val="00973D4D"/>
    <w:rsid w:val="00974141"/>
    <w:rsid w:val="0097530B"/>
    <w:rsid w:val="00975323"/>
    <w:rsid w:val="00975C12"/>
    <w:rsid w:val="00976CDC"/>
    <w:rsid w:val="00977522"/>
    <w:rsid w:val="0098092C"/>
    <w:rsid w:val="009812D5"/>
    <w:rsid w:val="0098273D"/>
    <w:rsid w:val="00982837"/>
    <w:rsid w:val="00982EEA"/>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D0E71"/>
    <w:rsid w:val="009D13C2"/>
    <w:rsid w:val="009D14E0"/>
    <w:rsid w:val="009D184F"/>
    <w:rsid w:val="009D1A8C"/>
    <w:rsid w:val="009D3A79"/>
    <w:rsid w:val="009D3E0D"/>
    <w:rsid w:val="009D7BCF"/>
    <w:rsid w:val="009D7EAA"/>
    <w:rsid w:val="009E05DE"/>
    <w:rsid w:val="009E0AB7"/>
    <w:rsid w:val="009E1D20"/>
    <w:rsid w:val="009E1DB5"/>
    <w:rsid w:val="009E1E5B"/>
    <w:rsid w:val="009E23C3"/>
    <w:rsid w:val="009E43B4"/>
    <w:rsid w:val="009E450C"/>
    <w:rsid w:val="009E57F5"/>
    <w:rsid w:val="009E680B"/>
    <w:rsid w:val="009E6DD9"/>
    <w:rsid w:val="009E7BD3"/>
    <w:rsid w:val="009F1851"/>
    <w:rsid w:val="009F1979"/>
    <w:rsid w:val="009F1C75"/>
    <w:rsid w:val="009F2DDD"/>
    <w:rsid w:val="009F3C77"/>
    <w:rsid w:val="009F5193"/>
    <w:rsid w:val="009F6109"/>
    <w:rsid w:val="009F69F1"/>
    <w:rsid w:val="009F7717"/>
    <w:rsid w:val="009F79B4"/>
    <w:rsid w:val="00A0005D"/>
    <w:rsid w:val="00A00403"/>
    <w:rsid w:val="00A00BED"/>
    <w:rsid w:val="00A00D75"/>
    <w:rsid w:val="00A00F01"/>
    <w:rsid w:val="00A014FE"/>
    <w:rsid w:val="00A01AC5"/>
    <w:rsid w:val="00A01ACE"/>
    <w:rsid w:val="00A01CC9"/>
    <w:rsid w:val="00A0294D"/>
    <w:rsid w:val="00A040CC"/>
    <w:rsid w:val="00A04630"/>
    <w:rsid w:val="00A04A21"/>
    <w:rsid w:val="00A04B9B"/>
    <w:rsid w:val="00A04F99"/>
    <w:rsid w:val="00A05DC2"/>
    <w:rsid w:val="00A07C1F"/>
    <w:rsid w:val="00A1022B"/>
    <w:rsid w:val="00A10DD0"/>
    <w:rsid w:val="00A11DBB"/>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27C8A"/>
    <w:rsid w:val="00A300BC"/>
    <w:rsid w:val="00A302A2"/>
    <w:rsid w:val="00A30C6D"/>
    <w:rsid w:val="00A3120B"/>
    <w:rsid w:val="00A31D66"/>
    <w:rsid w:val="00A32BC1"/>
    <w:rsid w:val="00A33220"/>
    <w:rsid w:val="00A3325A"/>
    <w:rsid w:val="00A3365E"/>
    <w:rsid w:val="00A33BD6"/>
    <w:rsid w:val="00A34C02"/>
    <w:rsid w:val="00A37920"/>
    <w:rsid w:val="00A37964"/>
    <w:rsid w:val="00A379CF"/>
    <w:rsid w:val="00A37A6A"/>
    <w:rsid w:val="00A4045E"/>
    <w:rsid w:val="00A404E4"/>
    <w:rsid w:val="00A4054F"/>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C0"/>
    <w:rsid w:val="00AC3CD2"/>
    <w:rsid w:val="00AC3DB5"/>
    <w:rsid w:val="00AC4B15"/>
    <w:rsid w:val="00AC69D3"/>
    <w:rsid w:val="00AC6BBC"/>
    <w:rsid w:val="00AD0485"/>
    <w:rsid w:val="00AD10EF"/>
    <w:rsid w:val="00AD1117"/>
    <w:rsid w:val="00AD1A21"/>
    <w:rsid w:val="00AD45C1"/>
    <w:rsid w:val="00AD588F"/>
    <w:rsid w:val="00AD5E84"/>
    <w:rsid w:val="00AD7456"/>
    <w:rsid w:val="00AE0948"/>
    <w:rsid w:val="00AE0D2A"/>
    <w:rsid w:val="00AE1F4F"/>
    <w:rsid w:val="00AE2162"/>
    <w:rsid w:val="00AE342B"/>
    <w:rsid w:val="00AE3895"/>
    <w:rsid w:val="00AE40E9"/>
    <w:rsid w:val="00AE435C"/>
    <w:rsid w:val="00AE4AD5"/>
    <w:rsid w:val="00AE5692"/>
    <w:rsid w:val="00AE5CC7"/>
    <w:rsid w:val="00AE7C78"/>
    <w:rsid w:val="00AF083A"/>
    <w:rsid w:val="00AF08F1"/>
    <w:rsid w:val="00AF108A"/>
    <w:rsid w:val="00AF16FB"/>
    <w:rsid w:val="00AF1AA1"/>
    <w:rsid w:val="00AF2A27"/>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034"/>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E92"/>
    <w:rsid w:val="00B310FF"/>
    <w:rsid w:val="00B3136A"/>
    <w:rsid w:val="00B3156A"/>
    <w:rsid w:val="00B31A25"/>
    <w:rsid w:val="00B31D3E"/>
    <w:rsid w:val="00B34851"/>
    <w:rsid w:val="00B36329"/>
    <w:rsid w:val="00B374AF"/>
    <w:rsid w:val="00B37B02"/>
    <w:rsid w:val="00B40464"/>
    <w:rsid w:val="00B40A6D"/>
    <w:rsid w:val="00B435A5"/>
    <w:rsid w:val="00B437C3"/>
    <w:rsid w:val="00B43F28"/>
    <w:rsid w:val="00B465E1"/>
    <w:rsid w:val="00B46C0A"/>
    <w:rsid w:val="00B471CE"/>
    <w:rsid w:val="00B4722F"/>
    <w:rsid w:val="00B47631"/>
    <w:rsid w:val="00B47DC4"/>
    <w:rsid w:val="00B506FF"/>
    <w:rsid w:val="00B50760"/>
    <w:rsid w:val="00B5150D"/>
    <w:rsid w:val="00B51FD9"/>
    <w:rsid w:val="00B52F67"/>
    <w:rsid w:val="00B530E6"/>
    <w:rsid w:val="00B53AAA"/>
    <w:rsid w:val="00B5431F"/>
    <w:rsid w:val="00B54481"/>
    <w:rsid w:val="00B54967"/>
    <w:rsid w:val="00B54B85"/>
    <w:rsid w:val="00B559E2"/>
    <w:rsid w:val="00B5685E"/>
    <w:rsid w:val="00B56AAC"/>
    <w:rsid w:val="00B57013"/>
    <w:rsid w:val="00B60821"/>
    <w:rsid w:val="00B60B27"/>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0C4"/>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2C7C"/>
    <w:rsid w:val="00B83436"/>
    <w:rsid w:val="00B84AC1"/>
    <w:rsid w:val="00B85554"/>
    <w:rsid w:val="00B8622F"/>
    <w:rsid w:val="00B8653A"/>
    <w:rsid w:val="00B904D9"/>
    <w:rsid w:val="00B919DE"/>
    <w:rsid w:val="00B92BC4"/>
    <w:rsid w:val="00B9349A"/>
    <w:rsid w:val="00B94951"/>
    <w:rsid w:val="00B95724"/>
    <w:rsid w:val="00BA071A"/>
    <w:rsid w:val="00BA07FD"/>
    <w:rsid w:val="00BA16AB"/>
    <w:rsid w:val="00BA1B9B"/>
    <w:rsid w:val="00BA2D27"/>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3435"/>
    <w:rsid w:val="00BC57BA"/>
    <w:rsid w:val="00BC620C"/>
    <w:rsid w:val="00BC6548"/>
    <w:rsid w:val="00BC6E67"/>
    <w:rsid w:val="00BC778E"/>
    <w:rsid w:val="00BD10EC"/>
    <w:rsid w:val="00BD2E4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1CE6"/>
    <w:rsid w:val="00C037E8"/>
    <w:rsid w:val="00C042DB"/>
    <w:rsid w:val="00C06675"/>
    <w:rsid w:val="00C10CA3"/>
    <w:rsid w:val="00C10E69"/>
    <w:rsid w:val="00C118C4"/>
    <w:rsid w:val="00C119E1"/>
    <w:rsid w:val="00C12890"/>
    <w:rsid w:val="00C12B6F"/>
    <w:rsid w:val="00C133C0"/>
    <w:rsid w:val="00C16D6C"/>
    <w:rsid w:val="00C17AE7"/>
    <w:rsid w:val="00C2338F"/>
    <w:rsid w:val="00C237D5"/>
    <w:rsid w:val="00C2522F"/>
    <w:rsid w:val="00C25808"/>
    <w:rsid w:val="00C25F15"/>
    <w:rsid w:val="00C271B9"/>
    <w:rsid w:val="00C27383"/>
    <w:rsid w:val="00C313D9"/>
    <w:rsid w:val="00C3153A"/>
    <w:rsid w:val="00C3165C"/>
    <w:rsid w:val="00C3251C"/>
    <w:rsid w:val="00C32EB2"/>
    <w:rsid w:val="00C33B4D"/>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8D8"/>
    <w:rsid w:val="00C50986"/>
    <w:rsid w:val="00C51186"/>
    <w:rsid w:val="00C51BF4"/>
    <w:rsid w:val="00C5204B"/>
    <w:rsid w:val="00C526F0"/>
    <w:rsid w:val="00C52BA8"/>
    <w:rsid w:val="00C53D17"/>
    <w:rsid w:val="00C54171"/>
    <w:rsid w:val="00C54305"/>
    <w:rsid w:val="00C54AEF"/>
    <w:rsid w:val="00C54C9A"/>
    <w:rsid w:val="00C56F50"/>
    <w:rsid w:val="00C57520"/>
    <w:rsid w:val="00C5794A"/>
    <w:rsid w:val="00C57CB3"/>
    <w:rsid w:val="00C600A8"/>
    <w:rsid w:val="00C61617"/>
    <w:rsid w:val="00C61949"/>
    <w:rsid w:val="00C63E1A"/>
    <w:rsid w:val="00C65204"/>
    <w:rsid w:val="00C653B2"/>
    <w:rsid w:val="00C67829"/>
    <w:rsid w:val="00C70123"/>
    <w:rsid w:val="00C70886"/>
    <w:rsid w:val="00C712BA"/>
    <w:rsid w:val="00C721F3"/>
    <w:rsid w:val="00C72C8B"/>
    <w:rsid w:val="00C74874"/>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2EAB"/>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3E2D"/>
    <w:rsid w:val="00CC44E4"/>
    <w:rsid w:val="00CC4A95"/>
    <w:rsid w:val="00CC4FA0"/>
    <w:rsid w:val="00CC6AD8"/>
    <w:rsid w:val="00CC6D16"/>
    <w:rsid w:val="00CD0466"/>
    <w:rsid w:val="00CD0894"/>
    <w:rsid w:val="00CD0901"/>
    <w:rsid w:val="00CD0949"/>
    <w:rsid w:val="00CD25AA"/>
    <w:rsid w:val="00CD2A8C"/>
    <w:rsid w:val="00CD36D0"/>
    <w:rsid w:val="00CD3700"/>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8B7"/>
    <w:rsid w:val="00CF6F74"/>
    <w:rsid w:val="00CF7672"/>
    <w:rsid w:val="00D00033"/>
    <w:rsid w:val="00D000DB"/>
    <w:rsid w:val="00D00A33"/>
    <w:rsid w:val="00D01DFE"/>
    <w:rsid w:val="00D01F10"/>
    <w:rsid w:val="00D0438B"/>
    <w:rsid w:val="00D07F6F"/>
    <w:rsid w:val="00D1056A"/>
    <w:rsid w:val="00D106BB"/>
    <w:rsid w:val="00D10A5B"/>
    <w:rsid w:val="00D117B5"/>
    <w:rsid w:val="00D120F0"/>
    <w:rsid w:val="00D12E79"/>
    <w:rsid w:val="00D15574"/>
    <w:rsid w:val="00D160EA"/>
    <w:rsid w:val="00D20500"/>
    <w:rsid w:val="00D207B8"/>
    <w:rsid w:val="00D20E6F"/>
    <w:rsid w:val="00D21721"/>
    <w:rsid w:val="00D2257C"/>
    <w:rsid w:val="00D234A6"/>
    <w:rsid w:val="00D23C9D"/>
    <w:rsid w:val="00D24375"/>
    <w:rsid w:val="00D24A67"/>
    <w:rsid w:val="00D25739"/>
    <w:rsid w:val="00D27718"/>
    <w:rsid w:val="00D3031B"/>
    <w:rsid w:val="00D30652"/>
    <w:rsid w:val="00D312A1"/>
    <w:rsid w:val="00D31696"/>
    <w:rsid w:val="00D31D57"/>
    <w:rsid w:val="00D322B9"/>
    <w:rsid w:val="00D327C5"/>
    <w:rsid w:val="00D32E12"/>
    <w:rsid w:val="00D34250"/>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5EB"/>
    <w:rsid w:val="00D57721"/>
    <w:rsid w:val="00D61193"/>
    <w:rsid w:val="00D617EB"/>
    <w:rsid w:val="00D61BFC"/>
    <w:rsid w:val="00D62D25"/>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0278"/>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97F88"/>
    <w:rsid w:val="00DA01CB"/>
    <w:rsid w:val="00DA0D2A"/>
    <w:rsid w:val="00DA21F3"/>
    <w:rsid w:val="00DA4699"/>
    <w:rsid w:val="00DA476B"/>
    <w:rsid w:val="00DA47B5"/>
    <w:rsid w:val="00DA5810"/>
    <w:rsid w:val="00DB0B35"/>
    <w:rsid w:val="00DB13F3"/>
    <w:rsid w:val="00DB1EDE"/>
    <w:rsid w:val="00DB3B7B"/>
    <w:rsid w:val="00DB4378"/>
    <w:rsid w:val="00DB45D5"/>
    <w:rsid w:val="00DB47FE"/>
    <w:rsid w:val="00DB5B20"/>
    <w:rsid w:val="00DB6BE1"/>
    <w:rsid w:val="00DB6D1A"/>
    <w:rsid w:val="00DB782A"/>
    <w:rsid w:val="00DC0570"/>
    <w:rsid w:val="00DC159F"/>
    <w:rsid w:val="00DC4595"/>
    <w:rsid w:val="00DC5842"/>
    <w:rsid w:val="00DC72B8"/>
    <w:rsid w:val="00DC7E24"/>
    <w:rsid w:val="00DD0591"/>
    <w:rsid w:val="00DD09D8"/>
    <w:rsid w:val="00DD0F2D"/>
    <w:rsid w:val="00DD1611"/>
    <w:rsid w:val="00DD1F43"/>
    <w:rsid w:val="00DD22B5"/>
    <w:rsid w:val="00DD36B8"/>
    <w:rsid w:val="00DD5398"/>
    <w:rsid w:val="00DD551B"/>
    <w:rsid w:val="00DD698F"/>
    <w:rsid w:val="00DE1116"/>
    <w:rsid w:val="00DE27EA"/>
    <w:rsid w:val="00DE2DA1"/>
    <w:rsid w:val="00DE33D0"/>
    <w:rsid w:val="00DE34BF"/>
    <w:rsid w:val="00DE39C4"/>
    <w:rsid w:val="00DE5026"/>
    <w:rsid w:val="00DE6C4B"/>
    <w:rsid w:val="00DE728A"/>
    <w:rsid w:val="00DE74A2"/>
    <w:rsid w:val="00DF055F"/>
    <w:rsid w:val="00DF1576"/>
    <w:rsid w:val="00DF1A15"/>
    <w:rsid w:val="00DF2989"/>
    <w:rsid w:val="00DF2CFF"/>
    <w:rsid w:val="00DF60B9"/>
    <w:rsid w:val="00E000C5"/>
    <w:rsid w:val="00E03F00"/>
    <w:rsid w:val="00E045E1"/>
    <w:rsid w:val="00E04F08"/>
    <w:rsid w:val="00E0535D"/>
    <w:rsid w:val="00E0638A"/>
    <w:rsid w:val="00E065B2"/>
    <w:rsid w:val="00E0727F"/>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1806"/>
    <w:rsid w:val="00E41D3D"/>
    <w:rsid w:val="00E42CA1"/>
    <w:rsid w:val="00E44923"/>
    <w:rsid w:val="00E44C2E"/>
    <w:rsid w:val="00E46DB1"/>
    <w:rsid w:val="00E4729E"/>
    <w:rsid w:val="00E473DE"/>
    <w:rsid w:val="00E5060D"/>
    <w:rsid w:val="00E51712"/>
    <w:rsid w:val="00E51920"/>
    <w:rsid w:val="00E53A4A"/>
    <w:rsid w:val="00E5465D"/>
    <w:rsid w:val="00E54C09"/>
    <w:rsid w:val="00E5615E"/>
    <w:rsid w:val="00E57111"/>
    <w:rsid w:val="00E5758A"/>
    <w:rsid w:val="00E61039"/>
    <w:rsid w:val="00E6116C"/>
    <w:rsid w:val="00E634B5"/>
    <w:rsid w:val="00E634BB"/>
    <w:rsid w:val="00E63A42"/>
    <w:rsid w:val="00E64120"/>
    <w:rsid w:val="00E64E7B"/>
    <w:rsid w:val="00E65CA4"/>
    <w:rsid w:val="00E660A1"/>
    <w:rsid w:val="00E660CB"/>
    <w:rsid w:val="00E6613F"/>
    <w:rsid w:val="00E67E07"/>
    <w:rsid w:val="00E75F24"/>
    <w:rsid w:val="00E76843"/>
    <w:rsid w:val="00E7691A"/>
    <w:rsid w:val="00E8008B"/>
    <w:rsid w:val="00E827D1"/>
    <w:rsid w:val="00E834F2"/>
    <w:rsid w:val="00E83A40"/>
    <w:rsid w:val="00E84887"/>
    <w:rsid w:val="00E84AED"/>
    <w:rsid w:val="00E863E1"/>
    <w:rsid w:val="00E91FFB"/>
    <w:rsid w:val="00E93D40"/>
    <w:rsid w:val="00E941C8"/>
    <w:rsid w:val="00E94B3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86A"/>
    <w:rsid w:val="00EC0C0E"/>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405"/>
    <w:rsid w:val="00EE4A79"/>
    <w:rsid w:val="00EE5899"/>
    <w:rsid w:val="00EE5D18"/>
    <w:rsid w:val="00EE60E5"/>
    <w:rsid w:val="00EE6387"/>
    <w:rsid w:val="00EE7119"/>
    <w:rsid w:val="00EF0E36"/>
    <w:rsid w:val="00EF49A6"/>
    <w:rsid w:val="00EF5B9C"/>
    <w:rsid w:val="00EF60E3"/>
    <w:rsid w:val="00EF61B8"/>
    <w:rsid w:val="00EF6397"/>
    <w:rsid w:val="00EF7182"/>
    <w:rsid w:val="00F0072D"/>
    <w:rsid w:val="00F00A3C"/>
    <w:rsid w:val="00F02EDC"/>
    <w:rsid w:val="00F031DB"/>
    <w:rsid w:val="00F03E0C"/>
    <w:rsid w:val="00F055F1"/>
    <w:rsid w:val="00F05B6E"/>
    <w:rsid w:val="00F065B9"/>
    <w:rsid w:val="00F0696D"/>
    <w:rsid w:val="00F104D3"/>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A92"/>
    <w:rsid w:val="00F26462"/>
    <w:rsid w:val="00F265A8"/>
    <w:rsid w:val="00F3260E"/>
    <w:rsid w:val="00F33965"/>
    <w:rsid w:val="00F34A1A"/>
    <w:rsid w:val="00F34E43"/>
    <w:rsid w:val="00F40DA6"/>
    <w:rsid w:val="00F40F7C"/>
    <w:rsid w:val="00F4150C"/>
    <w:rsid w:val="00F44607"/>
    <w:rsid w:val="00F44E7C"/>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809"/>
    <w:rsid w:val="00F63DC1"/>
    <w:rsid w:val="00F64696"/>
    <w:rsid w:val="00F65375"/>
    <w:rsid w:val="00F65944"/>
    <w:rsid w:val="00F662F4"/>
    <w:rsid w:val="00F6640E"/>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87C89"/>
    <w:rsid w:val="00F90C02"/>
    <w:rsid w:val="00F91823"/>
    <w:rsid w:val="00F91ABB"/>
    <w:rsid w:val="00F91B61"/>
    <w:rsid w:val="00F91EC9"/>
    <w:rsid w:val="00F93988"/>
    <w:rsid w:val="00F94828"/>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2021-04-07T17:20:00Z</dcterms:created>
  <dcterms:modified xsi:type="dcterms:W3CDTF">2021-04-07T17:20:00Z</dcterms:modified>
</cp:coreProperties>
</file>