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175F3" w14:textId="3DD08A34" w:rsidR="00A240DA" w:rsidRDefault="003A3ACC" w:rsidP="00A240DA">
      <w:pPr>
        <w:pStyle w:val="Title"/>
      </w:pPr>
      <w:bookmarkStart w:id="0" w:name="_Toc181090546"/>
      <w:bookmarkStart w:id="1" w:name="_Toc184129506"/>
      <w:bookmarkStart w:id="2" w:name="_Toc249881618"/>
      <w:bookmarkStart w:id="3" w:name="_Toc194494036"/>
      <w:r>
        <w:t>Including</w:t>
      </w:r>
      <w:r w:rsidR="00A240DA">
        <w:t xml:space="preserve"> new infrastructure and service redesign costs when evaluating first-in-class treatments: </w:t>
      </w:r>
      <w:r>
        <w:t>d</w:t>
      </w:r>
      <w:r w:rsidR="00A240DA">
        <w:t>isease</w:t>
      </w:r>
      <w:r w:rsidR="00A11DDC">
        <w:t>-</w:t>
      </w:r>
      <w:r w:rsidR="00A240DA">
        <w:t xml:space="preserve">modifying dementia treatments </w:t>
      </w:r>
      <w:r w:rsidR="13A0F869">
        <w:t xml:space="preserve">as a </w:t>
      </w:r>
      <w:r w:rsidR="00A240DA">
        <w:t>case study</w:t>
      </w:r>
      <w:bookmarkEnd w:id="0"/>
      <w:bookmarkEnd w:id="1"/>
      <w:bookmarkEnd w:id="2"/>
      <w:bookmarkEnd w:id="3"/>
    </w:p>
    <w:p w14:paraId="043B811B" w14:textId="31245199" w:rsidR="006A14A8" w:rsidRPr="007400D7" w:rsidRDefault="007400D7" w:rsidP="007400D7">
      <w:pPr>
        <w:pStyle w:val="Title2"/>
      </w:pPr>
      <w:bookmarkStart w:id="4" w:name="_Toc177990551"/>
      <w:bookmarkStart w:id="5" w:name="_Toc177994674"/>
      <w:bookmarkStart w:id="6" w:name="_Toc177995079"/>
      <w:bookmarkStart w:id="7" w:name="_Toc181090547"/>
      <w:bookmarkStart w:id="8" w:name="_Toc184129507"/>
      <w:bookmarkStart w:id="9" w:name="_Toc1793881881"/>
      <w:bookmarkStart w:id="10" w:name="_Toc194494037"/>
      <w:r w:rsidRPr="28AEE2A6">
        <w:t xml:space="preserve">HTA Innovation Laboratory </w:t>
      </w:r>
      <w:r w:rsidR="003A3ACC">
        <w:t>r</w:t>
      </w:r>
      <w:r w:rsidRPr="28AEE2A6">
        <w:t>eport</w:t>
      </w:r>
      <w:bookmarkEnd w:id="4"/>
      <w:bookmarkEnd w:id="5"/>
      <w:bookmarkEnd w:id="6"/>
      <w:bookmarkEnd w:id="7"/>
      <w:bookmarkEnd w:id="8"/>
      <w:bookmarkEnd w:id="9"/>
      <w:bookmarkEnd w:id="10"/>
    </w:p>
    <w:p w14:paraId="3D63C4DE" w14:textId="77777777" w:rsidR="007400D7" w:rsidRDefault="007400D7" w:rsidP="006A14A8">
      <w:pPr>
        <w:pStyle w:val="Paragraph"/>
        <w:rPr>
          <w:lang w:eastAsia="en-GB"/>
        </w:rPr>
      </w:pPr>
    </w:p>
    <w:p w14:paraId="6A7A15C9" w14:textId="77777777" w:rsidR="007400D7" w:rsidRDefault="007400D7" w:rsidP="006A14A8">
      <w:pPr>
        <w:pStyle w:val="Paragraph"/>
        <w:rPr>
          <w:lang w:eastAsia="en-GB"/>
        </w:rPr>
      </w:pPr>
    </w:p>
    <w:p w14:paraId="4636A212" w14:textId="0079A852" w:rsidR="007400D7" w:rsidRDefault="00C62933" w:rsidP="006A14A8">
      <w:pPr>
        <w:pStyle w:val="Paragraph"/>
        <w:rPr>
          <w:lang w:eastAsia="en-GB"/>
        </w:rPr>
      </w:pPr>
      <w:r>
        <w:rPr>
          <w:lang w:eastAsia="en-GB"/>
        </w:rPr>
        <w:t>April</w:t>
      </w:r>
      <w:r w:rsidR="6786DCAF" w:rsidRPr="101F67CB">
        <w:rPr>
          <w:lang w:eastAsia="en-GB"/>
        </w:rPr>
        <w:t xml:space="preserve"> </w:t>
      </w:r>
      <w:r w:rsidR="00A240DA" w:rsidRPr="101F67CB">
        <w:rPr>
          <w:lang w:eastAsia="en-GB"/>
        </w:rPr>
        <w:t>202</w:t>
      </w:r>
      <w:r w:rsidR="0094615D" w:rsidRPr="101F67CB">
        <w:rPr>
          <w:lang w:eastAsia="en-GB"/>
        </w:rPr>
        <w:t>5</w:t>
      </w:r>
    </w:p>
    <w:p w14:paraId="33E33590" w14:textId="77777777" w:rsidR="007400D7" w:rsidRDefault="007400D7" w:rsidP="006A14A8">
      <w:pPr>
        <w:pStyle w:val="Paragraph"/>
        <w:rPr>
          <w:lang w:eastAsia="en-GB"/>
        </w:rPr>
      </w:pPr>
    </w:p>
    <w:p w14:paraId="155ACBCA" w14:textId="77777777" w:rsidR="007400D7" w:rsidRDefault="007400D7" w:rsidP="006A14A8">
      <w:pPr>
        <w:pStyle w:val="Paragraph"/>
        <w:rPr>
          <w:lang w:eastAsia="en-GB"/>
        </w:rPr>
      </w:pPr>
    </w:p>
    <w:p w14:paraId="1BA865C3" w14:textId="77777777" w:rsidR="007400D7" w:rsidRDefault="007400D7" w:rsidP="006A14A8">
      <w:pPr>
        <w:pStyle w:val="Paragraph"/>
        <w:rPr>
          <w:lang w:eastAsia="en-GB"/>
        </w:rPr>
      </w:pPr>
    </w:p>
    <w:p w14:paraId="7A19F203" w14:textId="77777777" w:rsidR="007400D7" w:rsidRDefault="007400D7" w:rsidP="006A14A8">
      <w:pPr>
        <w:pStyle w:val="Paragraph"/>
        <w:rPr>
          <w:lang w:eastAsia="en-GB"/>
        </w:rPr>
      </w:pPr>
    </w:p>
    <w:p w14:paraId="44721E41" w14:textId="77777777" w:rsidR="007400D7" w:rsidRPr="007400D7" w:rsidRDefault="007400D7" w:rsidP="007400D7">
      <w:pPr>
        <w:pStyle w:val="Heading1"/>
      </w:pPr>
      <w:bookmarkStart w:id="11" w:name="_Toc146884454"/>
      <w:bookmarkStart w:id="12" w:name="_Toc146976372"/>
      <w:bookmarkStart w:id="13" w:name="_Toc177990552"/>
      <w:bookmarkStart w:id="14" w:name="_Toc177994675"/>
      <w:bookmarkStart w:id="15" w:name="_Toc177995080"/>
      <w:bookmarkStart w:id="16" w:name="_Toc181090548"/>
      <w:bookmarkStart w:id="17" w:name="_Toc184129508"/>
      <w:bookmarkStart w:id="18" w:name="_Toc371025216"/>
      <w:bookmarkStart w:id="19" w:name="_Toc194494038"/>
      <w:r>
        <w:t>Disclaimer</w:t>
      </w:r>
      <w:bookmarkEnd w:id="11"/>
      <w:bookmarkEnd w:id="12"/>
      <w:bookmarkEnd w:id="13"/>
      <w:bookmarkEnd w:id="14"/>
      <w:bookmarkEnd w:id="15"/>
      <w:bookmarkEnd w:id="16"/>
      <w:bookmarkEnd w:id="17"/>
      <w:bookmarkEnd w:id="18"/>
      <w:bookmarkEnd w:id="19"/>
      <w:r>
        <w:t xml:space="preserve"> </w:t>
      </w:r>
    </w:p>
    <w:p w14:paraId="68FF8B17" w14:textId="77777777" w:rsidR="007400D7" w:rsidRPr="00042580" w:rsidRDefault="007400D7" w:rsidP="007400D7">
      <w:pPr>
        <w:pStyle w:val="NICEnormalsinglespacing"/>
        <w:rPr>
          <w:rFonts w:eastAsia="Calibri"/>
        </w:rPr>
      </w:pPr>
      <w:bookmarkStart w:id="20" w:name="_Hlk146880619"/>
      <w:r>
        <w:t xml:space="preserve">Readers </w:t>
      </w:r>
      <w:r w:rsidRPr="00042580">
        <w:t xml:space="preserve">should be aware that issues and considerations outlined in HTA </w:t>
      </w:r>
      <w:r>
        <w:t>L</w:t>
      </w:r>
      <w:r w:rsidRPr="00042580">
        <w:t>ab reports cannot be taken as indicative or suggestive of any future position and will not be regarded as relevant to any future decision that may be taken by NICE.</w:t>
      </w:r>
    </w:p>
    <w:p w14:paraId="01D0DB1A" w14:textId="2E87DC48" w:rsidR="007400D7" w:rsidRDefault="007400D7" w:rsidP="007400D7">
      <w:pPr>
        <w:pStyle w:val="Paragraph"/>
        <w:spacing w:line="240" w:lineRule="auto"/>
      </w:pPr>
      <w:r w:rsidRPr="00042580">
        <w:t xml:space="preserve">The contents of HTA </w:t>
      </w:r>
      <w:r>
        <w:t>L</w:t>
      </w:r>
      <w:r w:rsidRPr="00042580">
        <w:t>ab reports are based on scientific knowledge that is publicly available and engagement with stakeholders at the time of writing the report</w:t>
      </w:r>
      <w:r>
        <w:t>s</w:t>
      </w:r>
      <w:r w:rsidRPr="00042580">
        <w:t xml:space="preserve"> and cannot account for future changes and developments in scientific knowledge or any referenced material from external sources.</w:t>
      </w:r>
      <w:bookmarkEnd w:id="20"/>
    </w:p>
    <w:p w14:paraId="0C82D6BB" w14:textId="77777777" w:rsidR="006D4C33" w:rsidRDefault="006D4C33" w:rsidP="007400D7">
      <w:pPr>
        <w:pStyle w:val="Paragraph"/>
        <w:spacing w:line="240" w:lineRule="auto"/>
        <w:rPr>
          <w:lang w:eastAsia="en-GB"/>
        </w:rPr>
        <w:sectPr w:rsidR="006D4C33" w:rsidSect="008F6FB7">
          <w:headerReference w:type="default" r:id="rId8"/>
          <w:footerReference w:type="default" r:id="rId9"/>
          <w:headerReference w:type="first" r:id="rId10"/>
          <w:footerReference w:type="first" r:id="rId11"/>
          <w:pgSz w:w="11906" w:h="16838"/>
          <w:pgMar w:top="1440" w:right="1800" w:bottom="1440" w:left="1800" w:header="708" w:footer="708" w:gutter="0"/>
          <w:cols w:space="708"/>
          <w:titlePg/>
          <w:docGrid w:linePitch="360"/>
        </w:sectPr>
      </w:pPr>
    </w:p>
    <w:p w14:paraId="7004E4D5" w14:textId="24B06451" w:rsidR="007400D7" w:rsidRDefault="007400D7" w:rsidP="00373E7F">
      <w:pPr>
        <w:pStyle w:val="Heading1"/>
      </w:pPr>
      <w:bookmarkStart w:id="21" w:name="_Toc177990553"/>
      <w:bookmarkStart w:id="22" w:name="_Toc177994676"/>
      <w:bookmarkStart w:id="23" w:name="_Toc177995081"/>
      <w:bookmarkStart w:id="24" w:name="_Toc184129509"/>
      <w:bookmarkStart w:id="25" w:name="_Toc235934738"/>
      <w:bookmarkStart w:id="26" w:name="_Toc194494039"/>
      <w:r>
        <w:lastRenderedPageBreak/>
        <w:t>Contents</w:t>
      </w:r>
      <w:bookmarkEnd w:id="21"/>
      <w:bookmarkEnd w:id="22"/>
      <w:bookmarkEnd w:id="23"/>
      <w:bookmarkEnd w:id="24"/>
      <w:bookmarkEnd w:id="25"/>
      <w:bookmarkEnd w:id="26"/>
    </w:p>
    <w:sdt>
      <w:sdtPr>
        <w:id w:val="451158311"/>
        <w:docPartObj>
          <w:docPartGallery w:val="Table of Contents"/>
          <w:docPartUnique/>
        </w:docPartObj>
      </w:sdtPr>
      <w:sdtEndPr/>
      <w:sdtContent>
        <w:p w14:paraId="66773C70" w14:textId="44AE1B5B" w:rsidR="00E9664A" w:rsidRDefault="28AEE2A6" w:rsidP="00E9664A">
          <w:pPr>
            <w:pStyle w:val="TOC1"/>
            <w:tabs>
              <w:tab w:val="right" w:leader="dot" w:pos="8296"/>
            </w:tabs>
            <w:rPr>
              <w:rFonts w:asciiTheme="minorHAnsi" w:eastAsiaTheme="minorEastAsia" w:hAnsiTheme="minorHAnsi" w:cstheme="minorBidi"/>
              <w:noProof/>
              <w:kern w:val="2"/>
              <w:lang w:eastAsia="en-GB"/>
              <w14:ligatures w14:val="standardContextual"/>
            </w:rPr>
          </w:pPr>
          <w:r w:rsidRPr="00585619">
            <w:fldChar w:fldCharType="begin"/>
          </w:r>
          <w:r w:rsidR="00E43302" w:rsidRPr="00585619">
            <w:instrText>TOC \o "1-3" \z \u \h</w:instrText>
          </w:r>
          <w:r w:rsidRPr="00585619">
            <w:fldChar w:fldCharType="separate"/>
          </w:r>
        </w:p>
        <w:p w14:paraId="07567978" w14:textId="4465DF88"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0" w:history="1">
            <w:r w:rsidRPr="00A50C13">
              <w:rPr>
                <w:rStyle w:val="Hyperlink"/>
                <w:noProof/>
              </w:rPr>
              <w:t>1</w:t>
            </w:r>
            <w:r>
              <w:rPr>
                <w:rFonts w:asciiTheme="minorHAnsi" w:eastAsiaTheme="minorEastAsia" w:hAnsiTheme="minorHAnsi" w:cstheme="minorBidi"/>
                <w:noProof/>
                <w:kern w:val="2"/>
                <w:lang w:eastAsia="en-GB"/>
                <w14:ligatures w14:val="standardContextual"/>
              </w:rPr>
              <w:tab/>
            </w:r>
            <w:r w:rsidRPr="00A50C13">
              <w:rPr>
                <w:rStyle w:val="Hyperlink"/>
                <w:noProof/>
              </w:rPr>
              <w:t>Background</w:t>
            </w:r>
            <w:r>
              <w:rPr>
                <w:noProof/>
                <w:webHidden/>
              </w:rPr>
              <w:tab/>
            </w:r>
            <w:r>
              <w:rPr>
                <w:noProof/>
                <w:webHidden/>
              </w:rPr>
              <w:fldChar w:fldCharType="begin"/>
            </w:r>
            <w:r>
              <w:rPr>
                <w:noProof/>
                <w:webHidden/>
              </w:rPr>
              <w:instrText xml:space="preserve"> PAGEREF _Toc194494040 \h </w:instrText>
            </w:r>
            <w:r>
              <w:rPr>
                <w:noProof/>
                <w:webHidden/>
              </w:rPr>
            </w:r>
            <w:r>
              <w:rPr>
                <w:noProof/>
                <w:webHidden/>
              </w:rPr>
              <w:fldChar w:fldCharType="separate"/>
            </w:r>
            <w:r>
              <w:rPr>
                <w:noProof/>
                <w:webHidden/>
              </w:rPr>
              <w:t>3</w:t>
            </w:r>
            <w:r>
              <w:rPr>
                <w:noProof/>
                <w:webHidden/>
              </w:rPr>
              <w:fldChar w:fldCharType="end"/>
            </w:r>
          </w:hyperlink>
        </w:p>
        <w:p w14:paraId="1B7EAFD6" w14:textId="63F0DB99"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1" w:history="1">
            <w:r w:rsidRPr="00A50C13">
              <w:rPr>
                <w:rStyle w:val="Hyperlink"/>
                <w:noProof/>
              </w:rPr>
              <w:t>2</w:t>
            </w:r>
            <w:r>
              <w:rPr>
                <w:rFonts w:asciiTheme="minorHAnsi" w:eastAsiaTheme="minorEastAsia" w:hAnsiTheme="minorHAnsi" w:cstheme="minorBidi"/>
                <w:noProof/>
                <w:kern w:val="2"/>
                <w:lang w:eastAsia="en-GB"/>
                <w14:ligatures w14:val="standardContextual"/>
              </w:rPr>
              <w:tab/>
            </w:r>
            <w:r w:rsidRPr="00A50C13">
              <w:rPr>
                <w:rStyle w:val="Hyperlink"/>
                <w:noProof/>
              </w:rPr>
              <w:t>Cost apportionment</w:t>
            </w:r>
            <w:r>
              <w:rPr>
                <w:noProof/>
                <w:webHidden/>
              </w:rPr>
              <w:tab/>
            </w:r>
            <w:r>
              <w:rPr>
                <w:noProof/>
                <w:webHidden/>
              </w:rPr>
              <w:fldChar w:fldCharType="begin"/>
            </w:r>
            <w:r>
              <w:rPr>
                <w:noProof/>
                <w:webHidden/>
              </w:rPr>
              <w:instrText xml:space="preserve"> PAGEREF _Toc194494041 \h </w:instrText>
            </w:r>
            <w:r>
              <w:rPr>
                <w:noProof/>
                <w:webHidden/>
              </w:rPr>
            </w:r>
            <w:r>
              <w:rPr>
                <w:noProof/>
                <w:webHidden/>
              </w:rPr>
              <w:fldChar w:fldCharType="separate"/>
            </w:r>
            <w:r>
              <w:rPr>
                <w:noProof/>
                <w:webHidden/>
              </w:rPr>
              <w:t>4</w:t>
            </w:r>
            <w:r>
              <w:rPr>
                <w:noProof/>
                <w:webHidden/>
              </w:rPr>
              <w:fldChar w:fldCharType="end"/>
            </w:r>
          </w:hyperlink>
        </w:p>
        <w:p w14:paraId="662C63E8" w14:textId="39E133F4"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2" w:history="1">
            <w:r w:rsidRPr="00A50C13">
              <w:rPr>
                <w:rStyle w:val="Hyperlink"/>
                <w:noProof/>
              </w:rPr>
              <w:t>3</w:t>
            </w:r>
            <w:r>
              <w:rPr>
                <w:rFonts w:asciiTheme="minorHAnsi" w:eastAsiaTheme="minorEastAsia" w:hAnsiTheme="minorHAnsi" w:cstheme="minorBidi"/>
                <w:noProof/>
                <w:kern w:val="2"/>
                <w:lang w:eastAsia="en-GB"/>
                <w14:ligatures w14:val="standardContextual"/>
              </w:rPr>
              <w:tab/>
            </w:r>
            <w:r w:rsidRPr="00A50C13">
              <w:rPr>
                <w:rStyle w:val="Hyperlink"/>
                <w:noProof/>
              </w:rPr>
              <w:t>Use of cost apportionment in HTA</w:t>
            </w:r>
            <w:r>
              <w:rPr>
                <w:noProof/>
                <w:webHidden/>
              </w:rPr>
              <w:tab/>
            </w:r>
            <w:r>
              <w:rPr>
                <w:noProof/>
                <w:webHidden/>
              </w:rPr>
              <w:fldChar w:fldCharType="begin"/>
            </w:r>
            <w:r>
              <w:rPr>
                <w:noProof/>
                <w:webHidden/>
              </w:rPr>
              <w:instrText xml:space="preserve"> PAGEREF _Toc194494042 \h </w:instrText>
            </w:r>
            <w:r>
              <w:rPr>
                <w:noProof/>
                <w:webHidden/>
              </w:rPr>
            </w:r>
            <w:r>
              <w:rPr>
                <w:noProof/>
                <w:webHidden/>
              </w:rPr>
              <w:fldChar w:fldCharType="separate"/>
            </w:r>
            <w:r>
              <w:rPr>
                <w:noProof/>
                <w:webHidden/>
              </w:rPr>
              <w:t>6</w:t>
            </w:r>
            <w:r>
              <w:rPr>
                <w:noProof/>
                <w:webHidden/>
              </w:rPr>
              <w:fldChar w:fldCharType="end"/>
            </w:r>
          </w:hyperlink>
        </w:p>
        <w:p w14:paraId="529F9453" w14:textId="0849F5CC"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5" w:history="1">
            <w:r w:rsidRPr="00A50C13">
              <w:rPr>
                <w:rStyle w:val="Hyperlink"/>
                <w:noProof/>
              </w:rPr>
              <w:t>4</w:t>
            </w:r>
            <w:r>
              <w:rPr>
                <w:rFonts w:asciiTheme="minorHAnsi" w:eastAsiaTheme="minorEastAsia" w:hAnsiTheme="minorHAnsi" w:cstheme="minorBidi"/>
                <w:noProof/>
                <w:kern w:val="2"/>
                <w:lang w:eastAsia="en-GB"/>
                <w14:ligatures w14:val="standardContextual"/>
              </w:rPr>
              <w:tab/>
            </w:r>
            <w:r w:rsidRPr="00A50C13">
              <w:rPr>
                <w:rStyle w:val="Hyperlink"/>
                <w:noProof/>
              </w:rPr>
              <w:t>The appropriateness of cost apportionment</w:t>
            </w:r>
            <w:r>
              <w:rPr>
                <w:noProof/>
                <w:webHidden/>
              </w:rPr>
              <w:tab/>
            </w:r>
            <w:r>
              <w:rPr>
                <w:noProof/>
                <w:webHidden/>
              </w:rPr>
              <w:fldChar w:fldCharType="begin"/>
            </w:r>
            <w:r>
              <w:rPr>
                <w:noProof/>
                <w:webHidden/>
              </w:rPr>
              <w:instrText xml:space="preserve"> PAGEREF _Toc194494045 \h </w:instrText>
            </w:r>
            <w:r>
              <w:rPr>
                <w:noProof/>
                <w:webHidden/>
              </w:rPr>
            </w:r>
            <w:r>
              <w:rPr>
                <w:noProof/>
                <w:webHidden/>
              </w:rPr>
              <w:fldChar w:fldCharType="separate"/>
            </w:r>
            <w:r>
              <w:rPr>
                <w:noProof/>
                <w:webHidden/>
              </w:rPr>
              <w:t>9</w:t>
            </w:r>
            <w:r>
              <w:rPr>
                <w:noProof/>
                <w:webHidden/>
              </w:rPr>
              <w:fldChar w:fldCharType="end"/>
            </w:r>
          </w:hyperlink>
        </w:p>
        <w:p w14:paraId="4F0A19FB" w14:textId="49CDAF9F"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6" w:history="1">
            <w:r w:rsidRPr="00A50C13">
              <w:rPr>
                <w:rStyle w:val="Hyperlink"/>
                <w:noProof/>
              </w:rPr>
              <w:t>5</w:t>
            </w:r>
            <w:r>
              <w:rPr>
                <w:rFonts w:asciiTheme="minorHAnsi" w:eastAsiaTheme="minorEastAsia" w:hAnsiTheme="minorHAnsi" w:cstheme="minorBidi"/>
                <w:noProof/>
                <w:kern w:val="2"/>
                <w:lang w:eastAsia="en-GB"/>
                <w14:ligatures w14:val="standardContextual"/>
              </w:rPr>
              <w:tab/>
            </w:r>
            <w:r w:rsidRPr="00A50C13">
              <w:rPr>
                <w:rStyle w:val="Hyperlink"/>
                <w:noProof/>
              </w:rPr>
              <w:t>Conclusion</w:t>
            </w:r>
            <w:r>
              <w:rPr>
                <w:noProof/>
                <w:webHidden/>
              </w:rPr>
              <w:tab/>
            </w:r>
            <w:r>
              <w:rPr>
                <w:noProof/>
                <w:webHidden/>
              </w:rPr>
              <w:fldChar w:fldCharType="begin"/>
            </w:r>
            <w:r>
              <w:rPr>
                <w:noProof/>
                <w:webHidden/>
              </w:rPr>
              <w:instrText xml:space="preserve"> PAGEREF _Toc194494046 \h </w:instrText>
            </w:r>
            <w:r>
              <w:rPr>
                <w:noProof/>
                <w:webHidden/>
              </w:rPr>
            </w:r>
            <w:r>
              <w:rPr>
                <w:noProof/>
                <w:webHidden/>
              </w:rPr>
              <w:fldChar w:fldCharType="separate"/>
            </w:r>
            <w:r>
              <w:rPr>
                <w:noProof/>
                <w:webHidden/>
              </w:rPr>
              <w:t>11</w:t>
            </w:r>
            <w:r>
              <w:rPr>
                <w:noProof/>
                <w:webHidden/>
              </w:rPr>
              <w:fldChar w:fldCharType="end"/>
            </w:r>
          </w:hyperlink>
        </w:p>
        <w:p w14:paraId="51938641" w14:textId="1243EFAC"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7" w:history="1">
            <w:r w:rsidRPr="00A50C13">
              <w:rPr>
                <w:rStyle w:val="Hyperlink"/>
                <w:noProof/>
              </w:rPr>
              <w:t>6</w:t>
            </w:r>
            <w:r>
              <w:rPr>
                <w:rFonts w:asciiTheme="minorHAnsi" w:eastAsiaTheme="minorEastAsia" w:hAnsiTheme="minorHAnsi" w:cstheme="minorBidi"/>
                <w:noProof/>
                <w:kern w:val="2"/>
                <w:lang w:eastAsia="en-GB"/>
                <w14:ligatures w14:val="standardContextual"/>
              </w:rPr>
              <w:tab/>
            </w:r>
            <w:r w:rsidRPr="00A50C13">
              <w:rPr>
                <w:rStyle w:val="Hyperlink"/>
                <w:noProof/>
              </w:rPr>
              <w:t>Project team</w:t>
            </w:r>
            <w:r>
              <w:rPr>
                <w:noProof/>
                <w:webHidden/>
              </w:rPr>
              <w:tab/>
            </w:r>
            <w:r>
              <w:rPr>
                <w:noProof/>
                <w:webHidden/>
              </w:rPr>
              <w:fldChar w:fldCharType="begin"/>
            </w:r>
            <w:r>
              <w:rPr>
                <w:noProof/>
                <w:webHidden/>
              </w:rPr>
              <w:instrText xml:space="preserve"> PAGEREF _Toc194494047 \h </w:instrText>
            </w:r>
            <w:r>
              <w:rPr>
                <w:noProof/>
                <w:webHidden/>
              </w:rPr>
            </w:r>
            <w:r>
              <w:rPr>
                <w:noProof/>
                <w:webHidden/>
              </w:rPr>
              <w:fldChar w:fldCharType="separate"/>
            </w:r>
            <w:r>
              <w:rPr>
                <w:noProof/>
                <w:webHidden/>
              </w:rPr>
              <w:t>12</w:t>
            </w:r>
            <w:r>
              <w:rPr>
                <w:noProof/>
                <w:webHidden/>
              </w:rPr>
              <w:fldChar w:fldCharType="end"/>
            </w:r>
          </w:hyperlink>
        </w:p>
        <w:p w14:paraId="23923DD0" w14:textId="312339C9"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8" w:history="1">
            <w:r w:rsidRPr="00A50C13">
              <w:rPr>
                <w:rStyle w:val="Hyperlink"/>
                <w:noProof/>
              </w:rPr>
              <w:t>7</w:t>
            </w:r>
            <w:r>
              <w:rPr>
                <w:rFonts w:asciiTheme="minorHAnsi" w:eastAsiaTheme="minorEastAsia" w:hAnsiTheme="minorHAnsi" w:cstheme="minorBidi"/>
                <w:noProof/>
                <w:kern w:val="2"/>
                <w:lang w:eastAsia="en-GB"/>
                <w14:ligatures w14:val="standardContextual"/>
              </w:rPr>
              <w:tab/>
            </w:r>
            <w:r w:rsidRPr="00A50C13">
              <w:rPr>
                <w:rStyle w:val="Hyperlink"/>
                <w:noProof/>
              </w:rPr>
              <w:t>Acknowledgements</w:t>
            </w:r>
            <w:r>
              <w:rPr>
                <w:noProof/>
                <w:webHidden/>
              </w:rPr>
              <w:tab/>
            </w:r>
            <w:r>
              <w:rPr>
                <w:noProof/>
                <w:webHidden/>
              </w:rPr>
              <w:fldChar w:fldCharType="begin"/>
            </w:r>
            <w:r>
              <w:rPr>
                <w:noProof/>
                <w:webHidden/>
              </w:rPr>
              <w:instrText xml:space="preserve"> PAGEREF _Toc194494048 \h </w:instrText>
            </w:r>
            <w:r>
              <w:rPr>
                <w:noProof/>
                <w:webHidden/>
              </w:rPr>
            </w:r>
            <w:r>
              <w:rPr>
                <w:noProof/>
                <w:webHidden/>
              </w:rPr>
              <w:fldChar w:fldCharType="separate"/>
            </w:r>
            <w:r>
              <w:rPr>
                <w:noProof/>
                <w:webHidden/>
              </w:rPr>
              <w:t>12</w:t>
            </w:r>
            <w:r>
              <w:rPr>
                <w:noProof/>
                <w:webHidden/>
              </w:rPr>
              <w:fldChar w:fldCharType="end"/>
            </w:r>
          </w:hyperlink>
        </w:p>
        <w:p w14:paraId="3C5A1201" w14:textId="0AC2222D" w:rsidR="00E9664A" w:rsidRDefault="00E9664A">
          <w:pPr>
            <w:pStyle w:val="TOC1"/>
            <w:tabs>
              <w:tab w:val="left" w:pos="480"/>
              <w:tab w:val="right" w:leader="dot" w:pos="8296"/>
            </w:tabs>
            <w:rPr>
              <w:rFonts w:asciiTheme="minorHAnsi" w:eastAsiaTheme="minorEastAsia" w:hAnsiTheme="minorHAnsi" w:cstheme="minorBidi"/>
              <w:noProof/>
              <w:kern w:val="2"/>
              <w:lang w:eastAsia="en-GB"/>
              <w14:ligatures w14:val="standardContextual"/>
            </w:rPr>
          </w:pPr>
          <w:hyperlink w:anchor="_Toc194494049" w:history="1">
            <w:r w:rsidRPr="00A50C13">
              <w:rPr>
                <w:rStyle w:val="Hyperlink"/>
                <w:noProof/>
              </w:rPr>
              <w:t>8</w:t>
            </w:r>
            <w:r>
              <w:rPr>
                <w:rFonts w:asciiTheme="minorHAnsi" w:eastAsiaTheme="minorEastAsia" w:hAnsiTheme="minorHAnsi" w:cstheme="minorBidi"/>
                <w:noProof/>
                <w:kern w:val="2"/>
                <w:lang w:eastAsia="en-GB"/>
                <w14:ligatures w14:val="standardContextual"/>
              </w:rPr>
              <w:tab/>
            </w:r>
            <w:r w:rsidRPr="00A50C13">
              <w:rPr>
                <w:rStyle w:val="Hyperlink"/>
                <w:noProof/>
              </w:rPr>
              <w:t>References</w:t>
            </w:r>
            <w:r>
              <w:rPr>
                <w:noProof/>
                <w:webHidden/>
              </w:rPr>
              <w:tab/>
            </w:r>
            <w:r>
              <w:rPr>
                <w:noProof/>
                <w:webHidden/>
              </w:rPr>
              <w:fldChar w:fldCharType="begin"/>
            </w:r>
            <w:r>
              <w:rPr>
                <w:noProof/>
                <w:webHidden/>
              </w:rPr>
              <w:instrText xml:space="preserve"> PAGEREF _Toc194494049 \h </w:instrText>
            </w:r>
            <w:r>
              <w:rPr>
                <w:noProof/>
                <w:webHidden/>
              </w:rPr>
            </w:r>
            <w:r>
              <w:rPr>
                <w:noProof/>
                <w:webHidden/>
              </w:rPr>
              <w:fldChar w:fldCharType="separate"/>
            </w:r>
            <w:r>
              <w:rPr>
                <w:noProof/>
                <w:webHidden/>
              </w:rPr>
              <w:t>13</w:t>
            </w:r>
            <w:r>
              <w:rPr>
                <w:noProof/>
                <w:webHidden/>
              </w:rPr>
              <w:fldChar w:fldCharType="end"/>
            </w:r>
          </w:hyperlink>
        </w:p>
        <w:p w14:paraId="0C2307A5" w14:textId="6671881A" w:rsidR="28AEE2A6" w:rsidRPr="00E9664A" w:rsidRDefault="28AEE2A6" w:rsidP="28AEE2A6">
          <w:pPr>
            <w:pStyle w:val="TOC1"/>
            <w:tabs>
              <w:tab w:val="left" w:pos="480"/>
              <w:tab w:val="right" w:leader="dot" w:pos="8295"/>
            </w:tabs>
            <w:rPr>
              <w:rStyle w:val="Hyperlink"/>
              <w:color w:val="auto"/>
            </w:rPr>
          </w:pPr>
          <w:r w:rsidRPr="00585619">
            <w:fldChar w:fldCharType="end"/>
          </w:r>
        </w:p>
      </w:sdtContent>
    </w:sdt>
    <w:p w14:paraId="4FD5D06F" w14:textId="6050A513" w:rsidR="00F93F21" w:rsidRPr="00585619" w:rsidRDefault="00F93F21"/>
    <w:p w14:paraId="027CA6BB" w14:textId="77777777" w:rsidR="007400D7" w:rsidRDefault="007400D7" w:rsidP="00F93F21">
      <w:pPr>
        <w:pStyle w:val="NICEnormal"/>
      </w:pPr>
    </w:p>
    <w:p w14:paraId="3F490E6B" w14:textId="77777777" w:rsidR="00F93F21" w:rsidRDefault="00F93F21" w:rsidP="00F93F21">
      <w:pPr>
        <w:pStyle w:val="NICEnormal"/>
      </w:pPr>
    </w:p>
    <w:p w14:paraId="3EF041FA" w14:textId="77777777" w:rsidR="00F93F21" w:rsidRDefault="00F93F21" w:rsidP="006E462F">
      <w:pPr>
        <w:pStyle w:val="Paragraph"/>
        <w:sectPr w:rsidR="00F93F21" w:rsidSect="008F6FB7">
          <w:headerReference w:type="default" r:id="rId12"/>
          <w:pgSz w:w="11906" w:h="16838"/>
          <w:pgMar w:top="1440" w:right="1800" w:bottom="1440" w:left="1800" w:header="708" w:footer="708" w:gutter="0"/>
          <w:cols w:space="708"/>
          <w:titlePg/>
          <w:docGrid w:linePitch="360"/>
        </w:sectPr>
      </w:pPr>
    </w:p>
    <w:p w14:paraId="21767837" w14:textId="779ED0D2" w:rsidR="006A14A8" w:rsidRDefault="00E57AE6" w:rsidP="00F93F21">
      <w:pPr>
        <w:pStyle w:val="Numberedheading1"/>
      </w:pPr>
      <w:bookmarkStart w:id="27" w:name="_Toc194494040"/>
      <w:r>
        <w:lastRenderedPageBreak/>
        <w:t>Background</w:t>
      </w:r>
      <w:bookmarkEnd w:id="27"/>
    </w:p>
    <w:p w14:paraId="03D2B94D" w14:textId="269640E9" w:rsidR="004F16E1" w:rsidRDefault="004F16E1" w:rsidP="004F16E1">
      <w:pPr>
        <w:pStyle w:val="Paragraph"/>
      </w:pPr>
      <w:r>
        <w:t>Several disease-modifying dementia treatments (DMDTs) targeting the early stages of the disease are currently at varying stages of development</w:t>
      </w:r>
      <w:r w:rsidR="00433AC6">
        <w:t xml:space="preserve">, </w:t>
      </w:r>
      <w:r>
        <w:t xml:space="preserve">regulatory assessment </w:t>
      </w:r>
      <w:r w:rsidR="00433AC6">
        <w:t xml:space="preserve">and health technology assessment (HTA) </w:t>
      </w:r>
      <w:r>
        <w:t>in the UK. There were 119 next-in-class DMDTs in clinical development, and 36 were in phase 3 trials</w:t>
      </w:r>
      <w:r w:rsidR="00433AC6">
        <w:t>,</w:t>
      </w:r>
      <w:r>
        <w:t xml:space="preserve"> in 2022 (Cummings et al. 2022).</w:t>
      </w:r>
    </w:p>
    <w:p w14:paraId="416F87D2" w14:textId="782AB473" w:rsidR="00720A57" w:rsidRDefault="004F16E1" w:rsidP="004F16E1">
      <w:pPr>
        <w:pStyle w:val="Paragraph"/>
      </w:pPr>
      <w:r>
        <w:t xml:space="preserve">The </w:t>
      </w:r>
      <w:hyperlink r:id="rId13" w:anchor="dmdts" w:history="1">
        <w:r w:rsidRPr="00C439F8">
          <w:rPr>
            <w:rStyle w:val="Hyperlink"/>
          </w:rPr>
          <w:t>HTA</w:t>
        </w:r>
        <w:r w:rsidR="003F0DD6" w:rsidRPr="00C439F8">
          <w:rPr>
            <w:rStyle w:val="Hyperlink"/>
          </w:rPr>
          <w:t xml:space="preserve"> Innovation</w:t>
        </w:r>
        <w:r w:rsidRPr="00C439F8">
          <w:rPr>
            <w:rStyle w:val="Hyperlink"/>
          </w:rPr>
          <w:t xml:space="preserve"> </w:t>
        </w:r>
        <w:r w:rsidR="003F0DD6" w:rsidRPr="00C439F8">
          <w:rPr>
            <w:rStyle w:val="Hyperlink"/>
          </w:rPr>
          <w:t>L</w:t>
        </w:r>
        <w:r w:rsidRPr="00C439F8">
          <w:rPr>
            <w:rStyle w:val="Hyperlink"/>
          </w:rPr>
          <w:t>ab</w:t>
        </w:r>
        <w:r w:rsidR="003F0DD6" w:rsidRPr="00C439F8">
          <w:rPr>
            <w:rStyle w:val="Hyperlink"/>
          </w:rPr>
          <w:t>oratory (HTA Lab)</w:t>
        </w:r>
        <w:r w:rsidRPr="00C439F8">
          <w:rPr>
            <w:rStyle w:val="Hyperlink"/>
          </w:rPr>
          <w:t xml:space="preserve"> report</w:t>
        </w:r>
        <w:r w:rsidR="00C439F8">
          <w:rPr>
            <w:rStyle w:val="Hyperlink"/>
          </w:rPr>
          <w:t xml:space="preserve"> on the p</w:t>
        </w:r>
        <w:r w:rsidRPr="00C439F8">
          <w:rPr>
            <w:rStyle w:val="Hyperlink"/>
          </w:rPr>
          <w:t xml:space="preserve">otential issues and challenges in </w:t>
        </w:r>
        <w:r w:rsidR="003A3ACC">
          <w:rPr>
            <w:rStyle w:val="Hyperlink"/>
          </w:rPr>
          <w:t xml:space="preserve">the </w:t>
        </w:r>
        <w:r w:rsidRPr="00C439F8">
          <w:rPr>
            <w:rStyle w:val="Hyperlink"/>
          </w:rPr>
          <w:t>evaluation of disease-modifying dementia treatments</w:t>
        </w:r>
      </w:hyperlink>
      <w:r w:rsidR="003F0DD6">
        <w:t xml:space="preserve"> </w:t>
      </w:r>
      <w:r>
        <w:t xml:space="preserve">highlights </w:t>
      </w:r>
      <w:r w:rsidR="005B491C">
        <w:t xml:space="preserve">that </w:t>
      </w:r>
      <w:r w:rsidR="00004044" w:rsidRPr="00004044">
        <w:t>to use the new DMDTs that showed positive results in phase 3 clinical trials, the NHS is likely to need major service redesign</w:t>
      </w:r>
      <w:r w:rsidR="00FB0553">
        <w:t>. This</w:t>
      </w:r>
      <w:r w:rsidR="005B491C">
        <w:t xml:space="preserve"> includ</w:t>
      </w:r>
      <w:r w:rsidR="00FB0553">
        <w:t>es</w:t>
      </w:r>
      <w:r w:rsidR="005B491C">
        <w:t xml:space="preserve"> </w:t>
      </w:r>
      <w:r>
        <w:t>changes to current disease diagnosis and management pathway</w:t>
      </w:r>
      <w:r w:rsidR="005B491C">
        <w:t>s</w:t>
      </w:r>
      <w:r>
        <w:t xml:space="preserve">. </w:t>
      </w:r>
      <w:r w:rsidR="008666D0">
        <w:t>In practice, t</w:t>
      </w:r>
      <w:r>
        <w:t xml:space="preserve">hese changes </w:t>
      </w:r>
      <w:r w:rsidR="005B491C">
        <w:t xml:space="preserve">would </w:t>
      </w:r>
      <w:r>
        <w:t>be associated with considerable additional infrastructure and costs</w:t>
      </w:r>
      <w:r w:rsidR="00466495">
        <w:t xml:space="preserve">. </w:t>
      </w:r>
      <w:proofErr w:type="gramStart"/>
      <w:r w:rsidR="00466495">
        <w:t>In particular, they</w:t>
      </w:r>
      <w:proofErr w:type="gramEnd"/>
      <w:r w:rsidR="00466495">
        <w:t xml:space="preserve"> would </w:t>
      </w:r>
      <w:r w:rsidR="00CF106D">
        <w:t>need</w:t>
      </w:r>
      <w:r>
        <w:t xml:space="preserve"> </w:t>
      </w:r>
      <w:r w:rsidR="00675130">
        <w:t>new</w:t>
      </w:r>
      <w:r>
        <w:t xml:space="preserve"> diagnostic </w:t>
      </w:r>
      <w:r w:rsidR="00466495">
        <w:t>testing</w:t>
      </w:r>
      <w:r>
        <w:t xml:space="preserve"> to determine treatment eligibility (using either positron-emission tomography </w:t>
      </w:r>
      <w:r w:rsidR="000E526A">
        <w:t>[</w:t>
      </w:r>
      <w:r>
        <w:t>PET</w:t>
      </w:r>
      <w:r w:rsidR="000E526A">
        <w:t>]</w:t>
      </w:r>
      <w:r>
        <w:t xml:space="preserve"> scanning or cerebrospinal fluid </w:t>
      </w:r>
      <w:r w:rsidR="00825B5B">
        <w:t>tests</w:t>
      </w:r>
      <w:r w:rsidR="0054610E">
        <w:t xml:space="preserve"> </w:t>
      </w:r>
      <w:r w:rsidR="000E526A">
        <w:t>[</w:t>
      </w:r>
      <w:r w:rsidR="0054610E">
        <w:t>CSF</w:t>
      </w:r>
      <w:r w:rsidR="000E526A">
        <w:t>]</w:t>
      </w:r>
      <w:r>
        <w:t xml:space="preserve">), </w:t>
      </w:r>
      <w:r w:rsidR="00675130">
        <w:t xml:space="preserve">facilities for </w:t>
      </w:r>
      <w:r>
        <w:t xml:space="preserve">intravenous (IV) administration, and ongoing </w:t>
      </w:r>
      <w:r w:rsidR="00466495">
        <w:t xml:space="preserve">MRI </w:t>
      </w:r>
      <w:r>
        <w:t xml:space="preserve">monitoring to detect treatment-specific adverse events. </w:t>
      </w:r>
      <w:r w:rsidR="003A2A7E">
        <w:t>G</w:t>
      </w:r>
      <w:r>
        <w:t xml:space="preserve">iven the </w:t>
      </w:r>
      <w:proofErr w:type="gramStart"/>
      <w:r w:rsidR="430A408B">
        <w:t>large</w:t>
      </w:r>
      <w:r>
        <w:t xml:space="preserve"> </w:t>
      </w:r>
      <w:r w:rsidR="008666D0">
        <w:t>expected</w:t>
      </w:r>
      <w:proofErr w:type="gramEnd"/>
      <w:r w:rsidR="008666D0">
        <w:t xml:space="preserve"> </w:t>
      </w:r>
      <w:r>
        <w:t xml:space="preserve">target population, there will be an immediate need to expand NHS capacity </w:t>
      </w:r>
      <w:r w:rsidR="003A3ACC">
        <w:t>for</w:t>
      </w:r>
      <w:r>
        <w:t xml:space="preserve"> these activities, through equipment purchase or hire, setting up new IV administration units, increasing staffing levels</w:t>
      </w:r>
      <w:r w:rsidR="00675D66">
        <w:t>,</w:t>
      </w:r>
      <w:r>
        <w:t xml:space="preserve"> and </w:t>
      </w:r>
      <w:r w:rsidR="00675D66">
        <w:t>providing</w:t>
      </w:r>
      <w:r>
        <w:t xml:space="preserve"> training. </w:t>
      </w:r>
    </w:p>
    <w:p w14:paraId="704A3930" w14:textId="1B12089F" w:rsidR="00720A57" w:rsidRDefault="004F16E1" w:rsidP="004F16E1">
      <w:pPr>
        <w:pStyle w:val="Paragraph"/>
      </w:pPr>
      <w:r>
        <w:t>The</w:t>
      </w:r>
      <w:r w:rsidR="00594999">
        <w:t xml:space="preserve"> cost of these service redesign and infrastructure efforts could be </w:t>
      </w:r>
      <w:r w:rsidR="00825B5B">
        <w:t>considerable</w:t>
      </w:r>
      <w:r w:rsidR="00594999">
        <w:t xml:space="preserve">. For example, Wittenberg et al. (2019) calculated that </w:t>
      </w:r>
      <w:r w:rsidR="00195B11">
        <w:t xml:space="preserve">an additional 10,000 CSF tests per year would </w:t>
      </w:r>
      <w:r w:rsidR="00CF106D">
        <w:t>need</w:t>
      </w:r>
      <w:r w:rsidR="00195B11">
        <w:t xml:space="preserve"> 22 new full-time equivalent nurses, while an additional</w:t>
      </w:r>
      <w:r w:rsidR="00594999">
        <w:t xml:space="preserve"> 100,000 </w:t>
      </w:r>
      <w:r w:rsidR="00195B11">
        <w:t xml:space="preserve">PET </w:t>
      </w:r>
      <w:r w:rsidR="00594999">
        <w:t xml:space="preserve">scans per year would </w:t>
      </w:r>
      <w:r w:rsidR="00CF106D">
        <w:t>need</w:t>
      </w:r>
      <w:r w:rsidR="00594999">
        <w:t xml:space="preserve"> 35 new scanners</w:t>
      </w:r>
      <w:r w:rsidR="00195B11">
        <w:t>. P</w:t>
      </w:r>
      <w:r w:rsidR="005870C1">
        <w:t xml:space="preserve">ublished economic evaluations (Ross et al. 2022, Monfared </w:t>
      </w:r>
      <w:r w:rsidR="00915ED4">
        <w:t xml:space="preserve">et al. </w:t>
      </w:r>
      <w:r w:rsidR="005870C1">
        <w:t xml:space="preserve">2023) </w:t>
      </w:r>
      <w:r w:rsidR="009900A1">
        <w:t xml:space="preserve">have </w:t>
      </w:r>
      <w:r w:rsidR="00915ED4">
        <w:t>estimated that</w:t>
      </w:r>
      <w:r w:rsidR="00646DFE">
        <w:t xml:space="preserve"> up to 5 monitoring scans </w:t>
      </w:r>
      <w:r w:rsidR="00915ED4">
        <w:t xml:space="preserve">(MRI or MRI and PET) would be needed per person </w:t>
      </w:r>
      <w:r w:rsidR="00646DFE">
        <w:t>per year</w:t>
      </w:r>
      <w:r w:rsidR="00E62335">
        <w:t>.</w:t>
      </w:r>
      <w:r>
        <w:t xml:space="preserve"> </w:t>
      </w:r>
    </w:p>
    <w:p w14:paraId="15CEC3AB" w14:textId="795BB552" w:rsidR="00C05A58" w:rsidRDefault="004F16E1" w:rsidP="004F16E1">
      <w:pPr>
        <w:pStyle w:val="Paragraph"/>
      </w:pPr>
      <w:r>
        <w:t xml:space="preserve">According to the NICE health technology evaluation methods manual (2022), </w:t>
      </w:r>
      <w:r w:rsidR="005654C0">
        <w:t xml:space="preserve">any </w:t>
      </w:r>
      <w:r>
        <w:t xml:space="preserve">costs </w:t>
      </w:r>
      <w:r w:rsidR="005654C0">
        <w:t xml:space="preserve">associated with new infrastructure </w:t>
      </w:r>
      <w:r w:rsidR="008B1892">
        <w:t>needed</w:t>
      </w:r>
      <w:r w:rsidR="005654C0">
        <w:t xml:space="preserve"> </w:t>
      </w:r>
      <w:r w:rsidR="003A3ACC">
        <w:t xml:space="preserve">for </w:t>
      </w:r>
      <w:r w:rsidR="005654C0">
        <w:t xml:space="preserve">a technology </w:t>
      </w:r>
      <w:r>
        <w:t xml:space="preserve">should be included in the economic models submitted by </w:t>
      </w:r>
      <w:r w:rsidR="005654C0">
        <w:t xml:space="preserve">its </w:t>
      </w:r>
      <w:r>
        <w:t>manufacturer</w:t>
      </w:r>
      <w:r w:rsidR="005654C0">
        <w:t xml:space="preserve"> </w:t>
      </w:r>
      <w:r>
        <w:t xml:space="preserve">and considered in the cost-effectiveness assessment. If there is a single treatment </w:t>
      </w:r>
      <w:r>
        <w:lastRenderedPageBreak/>
        <w:t xml:space="preserve">in the pipeline that will be entirely responsible for the </w:t>
      </w:r>
      <w:r w:rsidR="003A3ACC">
        <w:t xml:space="preserve">needed </w:t>
      </w:r>
      <w:r>
        <w:t xml:space="preserve">infrastructure, those costs should be fully reflected in the cost-effectiveness assessment for that treatment. </w:t>
      </w:r>
      <w:r w:rsidR="003A3ACC">
        <w:t xml:space="preserve">But </w:t>
      </w:r>
      <w:r>
        <w:t xml:space="preserve">in the case of DMDTs, there is a pipeline of next-in-class drugs that will </w:t>
      </w:r>
      <w:r w:rsidR="008B20CF">
        <w:t xml:space="preserve">use </w:t>
      </w:r>
      <w:r>
        <w:t>the same infrastructure and redesign</w:t>
      </w:r>
      <w:r w:rsidR="008B20CF">
        <w:t xml:space="preserve"> services</w:t>
      </w:r>
      <w:r>
        <w:t xml:space="preserve">. Including all </w:t>
      </w:r>
      <w:r w:rsidR="00A13F94">
        <w:t xml:space="preserve">new </w:t>
      </w:r>
      <w:r>
        <w:t xml:space="preserve">infrastructure costs only when evaluating the first-in-class drug would make its incremental cost considerably higher than the next-in-class treatments during their subsequent </w:t>
      </w:r>
      <w:r w:rsidR="007C1029">
        <w:t>evaluation</w:t>
      </w:r>
      <w:r>
        <w:t xml:space="preserve">s. </w:t>
      </w:r>
    </w:p>
    <w:p w14:paraId="375E2143" w14:textId="19598B4D" w:rsidR="00720A57" w:rsidRDefault="004F16E1" w:rsidP="004F16E1">
      <w:pPr>
        <w:pStyle w:val="Paragraph"/>
      </w:pPr>
      <w:r>
        <w:t xml:space="preserve">Clearly, this </w:t>
      </w:r>
      <w:r w:rsidR="008B20CF">
        <w:t xml:space="preserve">would </w:t>
      </w:r>
      <w:r w:rsidR="003A3ACC">
        <w:t xml:space="preserve">disadvantage </w:t>
      </w:r>
      <w:r>
        <w:t>the first-</w:t>
      </w:r>
      <w:r w:rsidR="0068704E">
        <w:t>in</w:t>
      </w:r>
      <w:r>
        <w:t xml:space="preserve">-class treatment </w:t>
      </w:r>
      <w:r w:rsidR="003A3ACC">
        <w:t xml:space="preserve">when </w:t>
      </w:r>
      <w:r>
        <w:t>demonstrat</w:t>
      </w:r>
      <w:r w:rsidR="003A3ACC">
        <w:t>ing</w:t>
      </w:r>
      <w:r>
        <w:t xml:space="preserve"> cost</w:t>
      </w:r>
      <w:r w:rsidR="003A3ACC">
        <w:t xml:space="preserve"> </w:t>
      </w:r>
      <w:r>
        <w:t xml:space="preserve">effectiveness. </w:t>
      </w:r>
      <w:r w:rsidR="00C05A58">
        <w:t>It would</w:t>
      </w:r>
      <w:r>
        <w:t xml:space="preserve"> also </w:t>
      </w:r>
      <w:r w:rsidR="00C05A58">
        <w:t xml:space="preserve">have </w:t>
      </w:r>
      <w:r>
        <w:t xml:space="preserve">implications for the budget impact analysis, which estimates the overall </w:t>
      </w:r>
      <w:r w:rsidR="189C8879">
        <w:t xml:space="preserve">cost </w:t>
      </w:r>
      <w:r w:rsidR="74CC9AC5">
        <w:t xml:space="preserve">impact </w:t>
      </w:r>
      <w:r>
        <w:t xml:space="preserve">of </w:t>
      </w:r>
      <w:r w:rsidR="0CCA65E0">
        <w:t xml:space="preserve">using the </w:t>
      </w:r>
      <w:r>
        <w:t>new treatment</w:t>
      </w:r>
      <w:r w:rsidR="6C6F2D01">
        <w:t xml:space="preserve"> compared </w:t>
      </w:r>
      <w:r w:rsidR="003A3ACC">
        <w:t xml:space="preserve">with </w:t>
      </w:r>
      <w:r w:rsidR="6C6F2D01">
        <w:t>the current standard care</w:t>
      </w:r>
      <w:r>
        <w:t xml:space="preserve"> over 5 years. A first-in-class treatment manufacturer bearing all infrastructure costs would have a substantially higher first-year budget impact than next-in-class treatments.</w:t>
      </w:r>
      <w:r w:rsidR="00510793">
        <w:t xml:space="preserve"> </w:t>
      </w:r>
      <w:r w:rsidR="00E828B2">
        <w:t>Because of</w:t>
      </w:r>
      <w:r w:rsidR="00510793">
        <w:t xml:space="preserve"> challenges </w:t>
      </w:r>
      <w:r w:rsidR="000219DB">
        <w:t xml:space="preserve">associated </w:t>
      </w:r>
      <w:r w:rsidR="00510793">
        <w:t xml:space="preserve">with accurately and </w:t>
      </w:r>
      <w:proofErr w:type="gramStart"/>
      <w:r w:rsidR="00510793">
        <w:t>fairly capturing</w:t>
      </w:r>
      <w:proofErr w:type="gramEnd"/>
      <w:r w:rsidR="00510793">
        <w:t xml:space="preserve"> </w:t>
      </w:r>
      <w:r w:rsidR="001B7493">
        <w:t xml:space="preserve">infrastructure costs, </w:t>
      </w:r>
      <w:r w:rsidR="009C767B">
        <w:t xml:space="preserve">they </w:t>
      </w:r>
      <w:r w:rsidR="003A3ACC">
        <w:t>were</w:t>
      </w:r>
      <w:r w:rsidR="3B1A248F">
        <w:t xml:space="preserve"> </w:t>
      </w:r>
      <w:r w:rsidR="009C767B">
        <w:t>not</w:t>
      </w:r>
      <w:r w:rsidR="0537614C">
        <w:t xml:space="preserve"> </w:t>
      </w:r>
      <w:r w:rsidR="009C767B">
        <w:t>fully captured</w:t>
      </w:r>
      <w:r w:rsidR="00AB5EF8">
        <w:t xml:space="preserve"> </w:t>
      </w:r>
      <w:r w:rsidR="34791F02">
        <w:t>i</w:t>
      </w:r>
      <w:r w:rsidR="001B7493">
        <w:t>n the first</w:t>
      </w:r>
      <w:r w:rsidR="009E3829">
        <w:t xml:space="preserve"> NICE</w:t>
      </w:r>
      <w:r w:rsidR="001B7493">
        <w:t xml:space="preserve"> technology appraisals </w:t>
      </w:r>
      <w:r w:rsidR="362AC7C0">
        <w:t>of DM</w:t>
      </w:r>
      <w:r w:rsidR="007244E9">
        <w:t>D</w:t>
      </w:r>
      <w:r w:rsidR="362AC7C0">
        <w:t>Ts</w:t>
      </w:r>
      <w:r w:rsidR="001B7493">
        <w:t xml:space="preserve"> </w:t>
      </w:r>
      <w:r w:rsidR="0094615D">
        <w:t>in dementia caused by Alzheimer’s disease</w:t>
      </w:r>
      <w:r w:rsidR="7687154C">
        <w:t xml:space="preserve"> (which were ongoing at the time of publication of this report)</w:t>
      </w:r>
      <w:r w:rsidR="009C767B">
        <w:t xml:space="preserve">. </w:t>
      </w:r>
      <w:r w:rsidR="003A3ACC">
        <w:t>But</w:t>
      </w:r>
      <w:r w:rsidR="009C767B">
        <w:t xml:space="preserve"> the committee did not consider this</w:t>
      </w:r>
      <w:r w:rsidR="00174CEC">
        <w:t xml:space="preserve"> to be </w:t>
      </w:r>
      <w:r w:rsidR="00D8450D">
        <w:t>a critical issue</w:t>
      </w:r>
      <w:r w:rsidR="009C767B">
        <w:t xml:space="preserve"> that would prevent decision making</w:t>
      </w:r>
      <w:r w:rsidR="001B7493">
        <w:t xml:space="preserve"> (see</w:t>
      </w:r>
      <w:r w:rsidR="005D2606">
        <w:t xml:space="preserve"> </w:t>
      </w:r>
      <w:hyperlink w:anchor="_Previous_use_of" w:history="1">
        <w:r w:rsidR="00616FFC" w:rsidRPr="009A21A2">
          <w:rPr>
            <w:rStyle w:val="Hyperlink"/>
          </w:rPr>
          <w:t>section </w:t>
        </w:r>
        <w:r w:rsidR="009A21A2" w:rsidRPr="009A21A2">
          <w:rPr>
            <w:rStyle w:val="Hyperlink"/>
          </w:rPr>
          <w:t>3</w:t>
        </w:r>
      </w:hyperlink>
      <w:r w:rsidR="001B7493">
        <w:t>).</w:t>
      </w:r>
    </w:p>
    <w:p w14:paraId="6D1258A1" w14:textId="4D66332A" w:rsidR="00AC06EA" w:rsidRDefault="00E120EC" w:rsidP="004F16E1">
      <w:pPr>
        <w:pStyle w:val="Paragraph"/>
      </w:pPr>
      <w:r>
        <w:t xml:space="preserve">After developing the </w:t>
      </w:r>
      <w:r w:rsidR="00CC38BA">
        <w:t xml:space="preserve">previously </w:t>
      </w:r>
      <w:r>
        <w:t xml:space="preserve">mentioned report, the NICE </w:t>
      </w:r>
      <w:r w:rsidR="003F0DD6">
        <w:t>HTA Lab</w:t>
      </w:r>
      <w:r>
        <w:t xml:space="preserve"> </w:t>
      </w:r>
      <w:r w:rsidR="00494D60">
        <w:t xml:space="preserve">team </w:t>
      </w:r>
      <w:r w:rsidR="00793128">
        <w:t xml:space="preserve">aimed </w:t>
      </w:r>
      <w:r>
        <w:t xml:space="preserve">to understand how new infrastructure costs are </w:t>
      </w:r>
      <w:r w:rsidR="00FD1E2B">
        <w:t>captured</w:t>
      </w:r>
      <w:r>
        <w:t xml:space="preserve"> in </w:t>
      </w:r>
      <w:r w:rsidR="00494D60">
        <w:t xml:space="preserve">NICE’s </w:t>
      </w:r>
      <w:r>
        <w:t>technology appraisals</w:t>
      </w:r>
      <w:r w:rsidR="00510793">
        <w:t xml:space="preserve"> more generally</w:t>
      </w:r>
      <w:r w:rsidR="006A594C">
        <w:t>. They</w:t>
      </w:r>
      <w:r w:rsidR="00494D60">
        <w:t xml:space="preserve"> examine</w:t>
      </w:r>
      <w:r w:rsidR="007B5384">
        <w:t>d</w:t>
      </w:r>
      <w:r w:rsidR="00494D60">
        <w:t xml:space="preserve"> the options for doing so in the context of fast-following </w:t>
      </w:r>
      <w:proofErr w:type="gramStart"/>
      <w:r w:rsidR="00494D60">
        <w:t>medicines, and</w:t>
      </w:r>
      <w:proofErr w:type="gramEnd"/>
      <w:r w:rsidR="00494D60">
        <w:t xml:space="preserve"> </w:t>
      </w:r>
      <w:r w:rsidR="00FD1E2B">
        <w:t>consider</w:t>
      </w:r>
      <w:r w:rsidR="007B5384">
        <w:t>ed</w:t>
      </w:r>
      <w:r w:rsidR="00FD1E2B">
        <w:t xml:space="preserve"> the potential need for new evaluation methods in this regard. Th</w:t>
      </w:r>
      <w:r w:rsidR="003A3ACC">
        <w:t>is</w:t>
      </w:r>
      <w:r w:rsidR="00F03C22">
        <w:t xml:space="preserve"> report outlines this work and supplement</w:t>
      </w:r>
      <w:r w:rsidR="4DC3D323">
        <w:t>s</w:t>
      </w:r>
      <w:r w:rsidR="00F03C22">
        <w:t xml:space="preserve"> </w:t>
      </w:r>
      <w:r w:rsidR="6313F0AF">
        <w:t xml:space="preserve">our </w:t>
      </w:r>
      <w:r w:rsidR="00F03C22">
        <w:t>earlier report</w:t>
      </w:r>
      <w:r w:rsidR="00695381">
        <w:t xml:space="preserve"> (</w:t>
      </w:r>
      <w:hyperlink r:id="rId14" w:anchor="methods" w:history="1">
        <w:r w:rsidR="001F12FD" w:rsidRPr="001F12FD">
          <w:rPr>
            <w:rStyle w:val="Hyperlink"/>
          </w:rPr>
          <w:t xml:space="preserve">NICE’s HTA Lab </w:t>
        </w:r>
        <w:r w:rsidR="003A3ACC">
          <w:rPr>
            <w:rStyle w:val="Hyperlink"/>
          </w:rPr>
          <w:t>r</w:t>
        </w:r>
        <w:r w:rsidR="001F12FD" w:rsidRPr="001F12FD">
          <w:rPr>
            <w:rStyle w:val="Hyperlink"/>
          </w:rPr>
          <w:t>eport on the e</w:t>
        </w:r>
        <w:r w:rsidR="00695381" w:rsidRPr="001F12FD">
          <w:rPr>
            <w:rStyle w:val="Hyperlink"/>
          </w:rPr>
          <w:t>conomic evaluation of multi-indication technologies: proposed approaches</w:t>
        </w:r>
      </w:hyperlink>
      <w:r w:rsidR="00F02221">
        <w:t>)</w:t>
      </w:r>
      <w:r w:rsidR="00F03C22">
        <w:t xml:space="preserve">. </w:t>
      </w:r>
    </w:p>
    <w:p w14:paraId="0E154EA3" w14:textId="5547E61D" w:rsidR="00F03C22" w:rsidRDefault="00F03C22" w:rsidP="00F03C22">
      <w:pPr>
        <w:pStyle w:val="Numberedheading1"/>
      </w:pPr>
      <w:bookmarkStart w:id="28" w:name="_Toc194494041"/>
      <w:r>
        <w:t>Cost apportionment</w:t>
      </w:r>
      <w:bookmarkEnd w:id="28"/>
    </w:p>
    <w:p w14:paraId="3E5890F0" w14:textId="0DD39C48" w:rsidR="00F03C22" w:rsidRDefault="003A3ACC" w:rsidP="004F16E1">
      <w:pPr>
        <w:pStyle w:val="Paragraph"/>
      </w:pPr>
      <w:r>
        <w:t>S</w:t>
      </w:r>
      <w:r w:rsidR="00D32380">
        <w:t>ection 4.4.2 of t</w:t>
      </w:r>
      <w:r w:rsidR="00F03C22">
        <w:t xml:space="preserve">he </w:t>
      </w:r>
      <w:r w:rsidR="00F03C22" w:rsidRPr="00AC707D">
        <w:t xml:space="preserve">NICE methods manual for health technology evaluations (2022) states </w:t>
      </w:r>
      <w:r w:rsidR="00F03C22">
        <w:t xml:space="preserve">that </w:t>
      </w:r>
      <w:r w:rsidR="00F03C22" w:rsidRPr="00AC707D">
        <w:t xml:space="preserve">‘estimates of resource use should include the comparative costs or saving of the technologies and changes in infrastructure, use and </w:t>
      </w:r>
      <w:r w:rsidR="00F03C22" w:rsidRPr="00AC707D">
        <w:lastRenderedPageBreak/>
        <w:t>maintenance. If appropriate, staff training costs should be included’.</w:t>
      </w:r>
      <w:r w:rsidR="00BF326E">
        <w:t xml:space="preserve"> In section 4.8.1, it states</w:t>
      </w:r>
      <w:r w:rsidR="00F03C22" w:rsidRPr="00AC707D">
        <w:t xml:space="preserve"> </w:t>
      </w:r>
      <w:r w:rsidR="00BF326E">
        <w:t>‘</w:t>
      </w:r>
      <w:r w:rsidR="00F03C22">
        <w:t>If</w:t>
      </w:r>
      <w:r w:rsidR="00F03C22" w:rsidRPr="00AC707D">
        <w:t xml:space="preserve"> a diagnostic test to identify patients or establish the presence or absence of a particular biomarker is not routinely used in the NHS but is introduced to support the treatment decision for the specific technology, </w:t>
      </w:r>
      <w:r w:rsidR="006A6892" w:rsidRPr="006A6892">
        <w:t>include the associated costs of the diagnostic in the assessments of clinical and cost effectiveness</w:t>
      </w:r>
      <w:r w:rsidR="00BF326E">
        <w:t>.’.</w:t>
      </w:r>
    </w:p>
    <w:p w14:paraId="2E84A996" w14:textId="3671C8DA" w:rsidR="00C34E15" w:rsidRDefault="00C34E15" w:rsidP="00C34E15">
      <w:pPr>
        <w:pStyle w:val="Paragraph"/>
      </w:pPr>
      <w:r w:rsidRPr="00AC707D">
        <w:t>The manual also states that under certain circumstances, a non-reference-case analysis incorporating the apportionment method should be considered and states the following</w:t>
      </w:r>
      <w:r w:rsidR="002206E8">
        <w:t xml:space="preserve"> in section 4.4.15</w:t>
      </w:r>
      <w:r w:rsidRPr="00AC707D">
        <w:t xml:space="preserve">: ‘A non-reference-case analysis in which a particular cost is apportioned or adjusted when: </w:t>
      </w:r>
    </w:p>
    <w:p w14:paraId="326A9E0F" w14:textId="77777777" w:rsidR="00C34E15" w:rsidRDefault="00C34E15" w:rsidP="00E9664A">
      <w:pPr>
        <w:pStyle w:val="Bulletleft1"/>
      </w:pPr>
      <w:r w:rsidRPr="00AC707D">
        <w:t xml:space="preserve">there is an established plan to change practice or service delivery in the NHS </w:t>
      </w:r>
    </w:p>
    <w:p w14:paraId="3F3E72A0" w14:textId="77777777" w:rsidR="00C34E15" w:rsidRDefault="00C34E15" w:rsidP="00E9664A">
      <w:pPr>
        <w:pStyle w:val="Bulletleft1"/>
      </w:pPr>
      <w:r w:rsidRPr="00AC707D">
        <w:t>there is a formal arrangement with relevant stakeholders that the full costs should not be attributed to the new technology</w:t>
      </w:r>
    </w:p>
    <w:p w14:paraId="59C04169" w14:textId="77777777" w:rsidR="00C34E15" w:rsidRDefault="00C34E15" w:rsidP="00E9664A">
      <w:pPr>
        <w:pStyle w:val="Bulletleft1"/>
      </w:pPr>
      <w:r w:rsidRPr="00AC707D">
        <w:t>the technology has multiple uses beyond the indication under evaluation</w:t>
      </w:r>
    </w:p>
    <w:p w14:paraId="3F9A3874" w14:textId="1B41D5A0" w:rsidR="00C34E15" w:rsidRDefault="00C34E15" w:rsidP="00E9664A">
      <w:pPr>
        <w:pStyle w:val="Bulletleft1last"/>
      </w:pPr>
      <w:r w:rsidRPr="00AC707D">
        <w:t>introducing the new technology will lead to identifiable benefits that are not captured in health technology evaluations.’.</w:t>
      </w:r>
    </w:p>
    <w:p w14:paraId="4CFE47FF" w14:textId="47AD2DFF" w:rsidR="006E6625" w:rsidRDefault="009E5C35" w:rsidP="009C1AE3">
      <w:pPr>
        <w:pStyle w:val="Paragraph"/>
      </w:pPr>
      <w:r>
        <w:t xml:space="preserve">Cost apportionment means dividing some aggregate cost (for example, of new infrastructure) across multiple NICE evaluations (for example, of </w:t>
      </w:r>
      <w:r w:rsidR="00343516">
        <w:t>different technologies that would use the same infrastructure, or of the same technology for multiple indications).</w:t>
      </w:r>
      <w:r w:rsidR="00C34E15">
        <w:t xml:space="preserve"> </w:t>
      </w:r>
      <w:r w:rsidR="009C767B">
        <w:t>In theory</w:t>
      </w:r>
      <w:r w:rsidR="00C34E15">
        <w:t>, the cost</w:t>
      </w:r>
      <w:r w:rsidR="00093E0C">
        <w:t>-</w:t>
      </w:r>
      <w:r w:rsidR="00C34E15">
        <w:t xml:space="preserve">apportionment method </w:t>
      </w:r>
      <w:r w:rsidR="003761FA">
        <w:t>has</w:t>
      </w:r>
      <w:r w:rsidR="00C34E15">
        <w:t xml:space="preserve"> the potential to fairly distribute necessary infrastructure and service redesign costs </w:t>
      </w:r>
      <w:r w:rsidR="004D0756">
        <w:t xml:space="preserve">among </w:t>
      </w:r>
      <w:r w:rsidR="00C34E15">
        <w:t xml:space="preserve">treatments along the pipeline that will </w:t>
      </w:r>
      <w:r w:rsidR="00CF106D">
        <w:t>need</w:t>
      </w:r>
      <w:r w:rsidR="00C34E15">
        <w:t xml:space="preserve"> those resources. </w:t>
      </w:r>
      <w:r w:rsidR="009C767B">
        <w:t>In practice, however, it</w:t>
      </w:r>
      <w:r w:rsidR="00CF47F2">
        <w:t>s implementation has important challenges and has been used</w:t>
      </w:r>
      <w:r w:rsidR="007F2D71">
        <w:t xml:space="preserve"> little</w:t>
      </w:r>
      <w:r w:rsidR="00CF47F2">
        <w:t xml:space="preserve"> to date.</w:t>
      </w:r>
    </w:p>
    <w:p w14:paraId="76EBA9F2" w14:textId="06B5B8E9" w:rsidR="00373E7F" w:rsidRPr="00F93F21" w:rsidRDefault="003E53D9" w:rsidP="00F93F21">
      <w:pPr>
        <w:pStyle w:val="Numberedheading1"/>
      </w:pPr>
      <w:bookmarkStart w:id="29" w:name="_Ref188863356"/>
      <w:bookmarkStart w:id="30" w:name="_Toc194494042"/>
      <w:r>
        <w:lastRenderedPageBreak/>
        <w:t>Use of cost apportionment in HTA</w:t>
      </w:r>
      <w:bookmarkEnd w:id="29"/>
      <w:bookmarkEnd w:id="30"/>
    </w:p>
    <w:p w14:paraId="4DE51206" w14:textId="77777777" w:rsidR="00AF4A4A" w:rsidRPr="00510793" w:rsidRDefault="00AF4A4A" w:rsidP="005033E1">
      <w:pPr>
        <w:pStyle w:val="Heading2"/>
      </w:pPr>
      <w:bookmarkStart w:id="31" w:name="_Previous_use_of"/>
      <w:bookmarkStart w:id="32" w:name="_Toc194494043"/>
      <w:bookmarkEnd w:id="31"/>
      <w:r w:rsidRPr="00AF4A4A">
        <w:t xml:space="preserve">Previous use of the cost-apportionment method in NICE technology </w:t>
      </w:r>
      <w:r w:rsidRPr="005033E1">
        <w:t>appraisals</w:t>
      </w:r>
      <w:bookmarkEnd w:id="32"/>
      <w:r w:rsidRPr="00AF4A4A">
        <w:t xml:space="preserve"> </w:t>
      </w:r>
    </w:p>
    <w:p w14:paraId="1AF64BE3" w14:textId="59CA656E" w:rsidR="005A31A0" w:rsidRDefault="00AF4A4A" w:rsidP="00E2563C">
      <w:pPr>
        <w:pStyle w:val="NICEnormal"/>
      </w:pPr>
      <w:r w:rsidRPr="00AF4A4A">
        <w:t xml:space="preserve">Based on the discussions with the HTA Lab working group and senior NICE staff, </w:t>
      </w:r>
      <w:r w:rsidR="00CB423D">
        <w:t xml:space="preserve">we identified </w:t>
      </w:r>
      <w:r w:rsidRPr="00AF4A4A">
        <w:t xml:space="preserve">14 NICE technology appraisals </w:t>
      </w:r>
      <w:r w:rsidR="003761FA">
        <w:t>in which</w:t>
      </w:r>
      <w:r w:rsidR="003761FA" w:rsidRPr="00AF4A4A">
        <w:t xml:space="preserve"> </w:t>
      </w:r>
      <w:r w:rsidRPr="00AF4A4A">
        <w:t>substantial infrastructure and service redesign costs were relevant</w:t>
      </w:r>
      <w:r w:rsidR="00325F69">
        <w:t xml:space="preserve"> </w:t>
      </w:r>
      <w:r w:rsidR="00325F69" w:rsidRPr="00AF4A4A">
        <w:t>(</w:t>
      </w:r>
      <w:r w:rsidR="003761FA">
        <w:t>t</w:t>
      </w:r>
      <w:r w:rsidR="00325F69" w:rsidRPr="00AF4A4A">
        <w:t>able 1)</w:t>
      </w:r>
      <w:r w:rsidR="00CB423D">
        <w:t>. We reviewed the</w:t>
      </w:r>
      <w:r w:rsidR="00325F69">
        <w:t xml:space="preserve"> appraisal documents</w:t>
      </w:r>
      <w:r w:rsidRPr="00AF4A4A">
        <w:t xml:space="preserve"> to identify </w:t>
      </w:r>
      <w:r w:rsidR="00325F69">
        <w:t>examples of past use of</w:t>
      </w:r>
      <w:r w:rsidRPr="00AF4A4A">
        <w:t xml:space="preserve"> the </w:t>
      </w:r>
      <w:r w:rsidR="00325F69">
        <w:t>cost</w:t>
      </w:r>
      <w:r w:rsidR="00090D68">
        <w:t>-</w:t>
      </w:r>
      <w:r w:rsidRPr="00AF4A4A">
        <w:t>apportion</w:t>
      </w:r>
      <w:r w:rsidR="00325F69">
        <w:t>ment approach for those</w:t>
      </w:r>
      <w:r w:rsidRPr="00AF4A4A">
        <w:t xml:space="preserve"> costs</w:t>
      </w:r>
      <w:r w:rsidR="003761FA">
        <w:t>.</w:t>
      </w:r>
      <w:r w:rsidRPr="00AF4A4A">
        <w:t xml:space="preserve"> </w:t>
      </w:r>
    </w:p>
    <w:p w14:paraId="3FAC4612" w14:textId="2F216473" w:rsidR="00B20D60" w:rsidRPr="004E0E6A" w:rsidRDefault="00B20D60" w:rsidP="00E9664A">
      <w:pPr>
        <w:pStyle w:val="Caption"/>
        <w:rPr>
          <w:bCs/>
        </w:rPr>
      </w:pPr>
      <w:r w:rsidRPr="004E0E6A">
        <w:lastRenderedPageBreak/>
        <w:t xml:space="preserve">Table 1 List of </w:t>
      </w:r>
      <w:r w:rsidR="00F10474">
        <w:t xml:space="preserve">reviewed NICE </w:t>
      </w:r>
      <w:r w:rsidRPr="004E0E6A">
        <w:t>technology appraisals</w:t>
      </w:r>
    </w:p>
    <w:tbl>
      <w:tblPr>
        <w:tblW w:w="7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Caption w:val="Table 1 List of reviewed NICE technology appraisals"/>
        <w:tblDescription w:val="The table gives a list of 14 NICE technology appraisals based on the discussions with the HTA Lab working group and senior NICE staff, where substantial infrastructure and service redesign costs were relevant. They reviewed the appraisal documents to identify examples of past use of the cost-apportionment approach for those costs."/>
      </w:tblPr>
      <w:tblGrid>
        <w:gridCol w:w="1425"/>
        <w:gridCol w:w="6390"/>
      </w:tblGrid>
      <w:tr w:rsidR="00431C3B" w:rsidRPr="004E0E6A" w14:paraId="65C7749F" w14:textId="77777777" w:rsidTr="00E9664A">
        <w:trPr>
          <w:trHeight w:val="300"/>
          <w:tblHeader/>
        </w:trPr>
        <w:tc>
          <w:tcPr>
            <w:tcW w:w="1425" w:type="dxa"/>
            <w:shd w:val="clear" w:color="auto" w:fill="auto"/>
            <w:hideMark/>
          </w:tcPr>
          <w:p w14:paraId="77CB21AD" w14:textId="44A205FA" w:rsidR="00431C3B" w:rsidRPr="004E0E6A" w:rsidRDefault="00F10474" w:rsidP="00E9664A">
            <w:pPr>
              <w:pStyle w:val="Tableheading"/>
            </w:pPr>
            <w:r>
              <w:t>NICE technology appraisal number</w:t>
            </w:r>
          </w:p>
        </w:tc>
        <w:tc>
          <w:tcPr>
            <w:tcW w:w="6390" w:type="dxa"/>
            <w:shd w:val="clear" w:color="auto" w:fill="auto"/>
            <w:hideMark/>
          </w:tcPr>
          <w:p w14:paraId="46D7F464" w14:textId="16CC1992" w:rsidR="00431C3B" w:rsidRPr="004E0E6A" w:rsidRDefault="00431C3B" w:rsidP="00E9664A">
            <w:pPr>
              <w:pStyle w:val="Tableheading"/>
            </w:pPr>
            <w:r w:rsidRPr="004E0E6A">
              <w:t>Title</w:t>
            </w:r>
          </w:p>
        </w:tc>
      </w:tr>
      <w:tr w:rsidR="00431C3B" w:rsidRPr="004E0E6A" w14:paraId="6BE6076F" w14:textId="77777777" w:rsidTr="00E9664A">
        <w:trPr>
          <w:trHeight w:val="300"/>
        </w:trPr>
        <w:tc>
          <w:tcPr>
            <w:tcW w:w="1425" w:type="dxa"/>
            <w:shd w:val="clear" w:color="auto" w:fill="auto"/>
            <w:hideMark/>
          </w:tcPr>
          <w:p w14:paraId="2FD1DEDD" w14:textId="77777777" w:rsidR="00431C3B" w:rsidRPr="004E0E6A" w:rsidRDefault="00431C3B" w:rsidP="00E2563C">
            <w:pPr>
              <w:pStyle w:val="Tabletext"/>
            </w:pPr>
            <w:hyperlink r:id="rId15" w:tgtFrame="_blank" w:history="1">
              <w:r w:rsidRPr="004E0E6A">
                <w:rPr>
                  <w:rStyle w:val="Hyperlink"/>
                </w:rPr>
                <w:t>TA934</w:t>
              </w:r>
            </w:hyperlink>
            <w:r w:rsidRPr="004E0E6A">
              <w:t> </w:t>
            </w:r>
          </w:p>
        </w:tc>
        <w:tc>
          <w:tcPr>
            <w:tcW w:w="6390" w:type="dxa"/>
            <w:shd w:val="clear" w:color="auto" w:fill="auto"/>
            <w:hideMark/>
          </w:tcPr>
          <w:p w14:paraId="215F9BBB" w14:textId="3C759542" w:rsidR="00431C3B" w:rsidRPr="004E0E6A" w:rsidRDefault="00431C3B" w:rsidP="00E2563C">
            <w:pPr>
              <w:pStyle w:val="Tabletext"/>
            </w:pPr>
            <w:proofErr w:type="spellStart"/>
            <w:r w:rsidRPr="004E0E6A">
              <w:t>Foslevodopa-foscarbidopa</w:t>
            </w:r>
            <w:proofErr w:type="spellEnd"/>
            <w:r w:rsidRPr="004E0E6A">
              <w:t xml:space="preserve"> for treating</w:t>
            </w:r>
            <w:r w:rsidR="0015485F">
              <w:t xml:space="preserve"> advanced</w:t>
            </w:r>
            <w:r w:rsidRPr="004E0E6A">
              <w:t xml:space="preserve"> Parkinson’s disease with motor symptoms </w:t>
            </w:r>
          </w:p>
        </w:tc>
      </w:tr>
      <w:tr w:rsidR="00431C3B" w:rsidRPr="004E0E6A" w14:paraId="57EB3AF6" w14:textId="77777777" w:rsidTr="00E9664A">
        <w:trPr>
          <w:trHeight w:val="300"/>
        </w:trPr>
        <w:tc>
          <w:tcPr>
            <w:tcW w:w="1425" w:type="dxa"/>
            <w:shd w:val="clear" w:color="auto" w:fill="auto"/>
            <w:hideMark/>
          </w:tcPr>
          <w:p w14:paraId="72B8177F" w14:textId="77777777" w:rsidR="00431C3B" w:rsidRPr="004E0E6A" w:rsidRDefault="00431C3B" w:rsidP="00E9664A">
            <w:pPr>
              <w:pStyle w:val="Tabletext"/>
            </w:pPr>
            <w:hyperlink r:id="rId16" w:tgtFrame="_blank" w:history="1">
              <w:r w:rsidRPr="004E0E6A">
                <w:rPr>
                  <w:rStyle w:val="Hyperlink"/>
                </w:rPr>
                <w:t>TA677</w:t>
              </w:r>
            </w:hyperlink>
            <w:r w:rsidRPr="004E0E6A">
              <w:t> </w:t>
            </w:r>
          </w:p>
        </w:tc>
        <w:tc>
          <w:tcPr>
            <w:tcW w:w="6390" w:type="dxa"/>
            <w:shd w:val="clear" w:color="auto" w:fill="auto"/>
            <w:hideMark/>
          </w:tcPr>
          <w:p w14:paraId="1B6A4BD0" w14:textId="77777777" w:rsidR="00431C3B" w:rsidRPr="004E0E6A" w:rsidRDefault="00431C3B" w:rsidP="00E9664A">
            <w:pPr>
              <w:pStyle w:val="Tabletext"/>
            </w:pPr>
            <w:proofErr w:type="spellStart"/>
            <w:r w:rsidRPr="004E0E6A">
              <w:t>Brexucabtagene</w:t>
            </w:r>
            <w:proofErr w:type="spellEnd"/>
            <w:r w:rsidRPr="004E0E6A">
              <w:t xml:space="preserve"> </w:t>
            </w:r>
            <w:proofErr w:type="spellStart"/>
            <w:r w:rsidRPr="004E0E6A">
              <w:t>autoleucel</w:t>
            </w:r>
            <w:proofErr w:type="spellEnd"/>
            <w:r w:rsidRPr="004E0E6A">
              <w:t xml:space="preserve"> for treating relapsed or refractory mantle cell lymphoma </w:t>
            </w:r>
          </w:p>
        </w:tc>
      </w:tr>
      <w:tr w:rsidR="00431C3B" w:rsidRPr="004E0E6A" w14:paraId="708B9023" w14:textId="77777777" w:rsidTr="00E9664A">
        <w:trPr>
          <w:trHeight w:val="300"/>
        </w:trPr>
        <w:tc>
          <w:tcPr>
            <w:tcW w:w="1425" w:type="dxa"/>
            <w:shd w:val="clear" w:color="auto" w:fill="auto"/>
            <w:hideMark/>
          </w:tcPr>
          <w:p w14:paraId="7641C562" w14:textId="77777777" w:rsidR="00431C3B" w:rsidRPr="004E0E6A" w:rsidRDefault="00431C3B" w:rsidP="00E9664A">
            <w:pPr>
              <w:pStyle w:val="Tabletext"/>
            </w:pPr>
            <w:hyperlink r:id="rId17" w:tgtFrame="_blank" w:history="1">
              <w:r w:rsidRPr="004E0E6A">
                <w:rPr>
                  <w:rStyle w:val="Hyperlink"/>
                </w:rPr>
                <w:t>TA644</w:t>
              </w:r>
            </w:hyperlink>
            <w:r w:rsidRPr="004E0E6A">
              <w:t> </w:t>
            </w:r>
          </w:p>
        </w:tc>
        <w:tc>
          <w:tcPr>
            <w:tcW w:w="6390" w:type="dxa"/>
            <w:shd w:val="clear" w:color="auto" w:fill="auto"/>
            <w:hideMark/>
          </w:tcPr>
          <w:p w14:paraId="543E2E85" w14:textId="6BBFBCCC" w:rsidR="00431C3B" w:rsidRPr="004E0E6A" w:rsidRDefault="00431C3B" w:rsidP="00E9664A">
            <w:pPr>
              <w:pStyle w:val="Tabletext"/>
            </w:pPr>
            <w:proofErr w:type="spellStart"/>
            <w:r w:rsidRPr="004E0E6A">
              <w:t>Entrectinib</w:t>
            </w:r>
            <w:proofErr w:type="spellEnd"/>
            <w:r w:rsidRPr="004E0E6A">
              <w:t xml:space="preserve"> for treating </w:t>
            </w:r>
            <w:r w:rsidR="00314BD6" w:rsidRPr="00314BD6">
              <w:t>neurotrophic tyrosine receptor kinase</w:t>
            </w:r>
            <w:r w:rsidRPr="004E0E6A">
              <w:t xml:space="preserve"> fusion-positive solid tumours </w:t>
            </w:r>
          </w:p>
        </w:tc>
      </w:tr>
      <w:tr w:rsidR="00431C3B" w:rsidRPr="004E0E6A" w14:paraId="75FEE2C9" w14:textId="77777777" w:rsidTr="00E9664A">
        <w:trPr>
          <w:trHeight w:val="300"/>
        </w:trPr>
        <w:tc>
          <w:tcPr>
            <w:tcW w:w="1425" w:type="dxa"/>
            <w:shd w:val="clear" w:color="auto" w:fill="auto"/>
            <w:hideMark/>
          </w:tcPr>
          <w:p w14:paraId="3525772A" w14:textId="77777777" w:rsidR="00431C3B" w:rsidRPr="004E0E6A" w:rsidRDefault="00431C3B" w:rsidP="00E9664A">
            <w:pPr>
              <w:pStyle w:val="Tabletext"/>
            </w:pPr>
            <w:hyperlink r:id="rId18" w:tgtFrame="_blank" w:history="1">
              <w:r w:rsidRPr="004E0E6A">
                <w:rPr>
                  <w:rStyle w:val="Hyperlink"/>
                </w:rPr>
                <w:t>TA630</w:t>
              </w:r>
            </w:hyperlink>
            <w:r w:rsidRPr="004E0E6A">
              <w:t> </w:t>
            </w:r>
          </w:p>
        </w:tc>
        <w:tc>
          <w:tcPr>
            <w:tcW w:w="6390" w:type="dxa"/>
            <w:shd w:val="clear" w:color="auto" w:fill="auto"/>
            <w:hideMark/>
          </w:tcPr>
          <w:p w14:paraId="79596830" w14:textId="0C28E2BA" w:rsidR="00431C3B" w:rsidRPr="004E0E6A" w:rsidRDefault="00431C3B" w:rsidP="00E9664A">
            <w:pPr>
              <w:pStyle w:val="Tabletext"/>
            </w:pPr>
            <w:r w:rsidRPr="004E0E6A">
              <w:t xml:space="preserve">Larotrectinib for treating </w:t>
            </w:r>
            <w:r w:rsidR="00314BD6" w:rsidRPr="00314BD6">
              <w:t>neurotrophic tyrosine receptor kinase</w:t>
            </w:r>
            <w:r w:rsidRPr="004E0E6A">
              <w:t xml:space="preserve"> fusion-positive solid tumours </w:t>
            </w:r>
          </w:p>
        </w:tc>
      </w:tr>
      <w:tr w:rsidR="00431C3B" w:rsidRPr="004E0E6A" w14:paraId="3800619D" w14:textId="77777777" w:rsidTr="00E9664A">
        <w:trPr>
          <w:trHeight w:val="300"/>
        </w:trPr>
        <w:tc>
          <w:tcPr>
            <w:tcW w:w="1425" w:type="dxa"/>
            <w:shd w:val="clear" w:color="auto" w:fill="auto"/>
            <w:hideMark/>
          </w:tcPr>
          <w:p w14:paraId="4E4F21D8" w14:textId="1061D3AE" w:rsidR="00431C3B" w:rsidRPr="004E0E6A" w:rsidRDefault="00431C3B" w:rsidP="00E9664A">
            <w:pPr>
              <w:pStyle w:val="Tabletext"/>
            </w:pPr>
            <w:hyperlink r:id="rId19" w:tgtFrame="_blank" w:history="1">
              <w:r w:rsidRPr="004E0E6A">
                <w:rPr>
                  <w:rStyle w:val="Hyperlink"/>
                </w:rPr>
                <w:t>TA567</w:t>
              </w:r>
            </w:hyperlink>
            <w:r w:rsidRPr="004E0E6A">
              <w:t> </w:t>
            </w:r>
          </w:p>
        </w:tc>
        <w:tc>
          <w:tcPr>
            <w:tcW w:w="6390" w:type="dxa"/>
            <w:shd w:val="clear" w:color="auto" w:fill="auto"/>
            <w:hideMark/>
          </w:tcPr>
          <w:p w14:paraId="4CD239CE" w14:textId="77777777" w:rsidR="00431C3B" w:rsidRPr="004E0E6A" w:rsidRDefault="00431C3B" w:rsidP="00E9664A">
            <w:pPr>
              <w:pStyle w:val="Tabletext"/>
            </w:pPr>
            <w:proofErr w:type="spellStart"/>
            <w:r w:rsidRPr="004E0E6A">
              <w:t>Tisagenlecleucel</w:t>
            </w:r>
            <w:proofErr w:type="spellEnd"/>
            <w:r w:rsidRPr="004E0E6A">
              <w:t xml:space="preserve"> for treating relapsed or refractory diffuse large B-cell lymphoma after 2 or more systemic therapies </w:t>
            </w:r>
          </w:p>
        </w:tc>
      </w:tr>
      <w:tr w:rsidR="00431C3B" w:rsidRPr="004E0E6A" w14:paraId="32771756" w14:textId="77777777" w:rsidTr="00E9664A">
        <w:trPr>
          <w:trHeight w:val="300"/>
        </w:trPr>
        <w:tc>
          <w:tcPr>
            <w:tcW w:w="1425" w:type="dxa"/>
            <w:shd w:val="clear" w:color="auto" w:fill="auto"/>
            <w:hideMark/>
          </w:tcPr>
          <w:p w14:paraId="01AD8C58" w14:textId="77777777" w:rsidR="00431C3B" w:rsidRPr="004E0E6A" w:rsidRDefault="00431C3B" w:rsidP="00E9664A">
            <w:pPr>
              <w:pStyle w:val="Tabletext"/>
            </w:pPr>
            <w:hyperlink r:id="rId20" w:tgtFrame="_blank" w:history="1">
              <w:r w:rsidRPr="004E0E6A">
                <w:rPr>
                  <w:rStyle w:val="Hyperlink"/>
                </w:rPr>
                <w:t>TA556</w:t>
              </w:r>
            </w:hyperlink>
            <w:r w:rsidRPr="004E0E6A">
              <w:t> </w:t>
            </w:r>
          </w:p>
        </w:tc>
        <w:tc>
          <w:tcPr>
            <w:tcW w:w="6390" w:type="dxa"/>
            <w:shd w:val="clear" w:color="auto" w:fill="auto"/>
            <w:hideMark/>
          </w:tcPr>
          <w:p w14:paraId="79EDCA4E" w14:textId="77777777" w:rsidR="00431C3B" w:rsidRPr="004E0E6A" w:rsidRDefault="00431C3B" w:rsidP="00E9664A">
            <w:pPr>
              <w:pStyle w:val="Tabletext"/>
            </w:pPr>
            <w:proofErr w:type="spellStart"/>
            <w:r w:rsidRPr="004E0E6A">
              <w:t>Darvadstrocel</w:t>
            </w:r>
            <w:proofErr w:type="spellEnd"/>
            <w:r w:rsidRPr="004E0E6A">
              <w:t xml:space="preserve"> for treating complex perianal fistulas in Crohn's disease </w:t>
            </w:r>
          </w:p>
        </w:tc>
      </w:tr>
      <w:tr w:rsidR="00431C3B" w:rsidRPr="004E0E6A" w14:paraId="2A3F71B5" w14:textId="77777777" w:rsidTr="00E2563C">
        <w:trPr>
          <w:trHeight w:val="300"/>
        </w:trPr>
        <w:tc>
          <w:tcPr>
            <w:tcW w:w="1425" w:type="dxa"/>
            <w:shd w:val="clear" w:color="auto" w:fill="auto"/>
            <w:hideMark/>
          </w:tcPr>
          <w:p w14:paraId="1DC71888" w14:textId="00257EAB" w:rsidR="00431C3B" w:rsidRPr="004E0E6A" w:rsidRDefault="00431C3B" w:rsidP="00E9664A">
            <w:pPr>
              <w:pStyle w:val="Tabletext"/>
            </w:pPr>
            <w:hyperlink r:id="rId21" w:tgtFrame="_blank" w:history="1">
              <w:r w:rsidRPr="004E0E6A">
                <w:rPr>
                  <w:rStyle w:val="Hyperlink"/>
                </w:rPr>
                <w:t>TA</w:t>
              </w:r>
              <w:r w:rsidR="003D260F">
                <w:rPr>
                  <w:rStyle w:val="Hyperlink"/>
                </w:rPr>
                <w:t>975</w:t>
              </w:r>
            </w:hyperlink>
            <w:r w:rsidRPr="004E0E6A">
              <w:t> </w:t>
            </w:r>
          </w:p>
        </w:tc>
        <w:tc>
          <w:tcPr>
            <w:tcW w:w="6390" w:type="dxa"/>
            <w:shd w:val="clear" w:color="auto" w:fill="auto"/>
            <w:hideMark/>
          </w:tcPr>
          <w:p w14:paraId="7A04EE86" w14:textId="7676A2E9" w:rsidR="00431C3B" w:rsidRPr="004E0E6A" w:rsidRDefault="00FB08A9" w:rsidP="00E2563C">
            <w:pPr>
              <w:pStyle w:val="Tabletext"/>
            </w:pPr>
            <w:proofErr w:type="spellStart"/>
            <w:r w:rsidRPr="00FB08A9">
              <w:t>Tisagenlecleucel</w:t>
            </w:r>
            <w:proofErr w:type="spellEnd"/>
            <w:r w:rsidRPr="00FB08A9">
              <w:t xml:space="preserve"> for treating relapsed or refractory B-cell acute lymphoblastic leukaemia in people 25 years and under</w:t>
            </w:r>
          </w:p>
        </w:tc>
      </w:tr>
      <w:tr w:rsidR="00431C3B" w:rsidRPr="004E0E6A" w14:paraId="784EA7C6" w14:textId="77777777" w:rsidTr="00E9664A">
        <w:trPr>
          <w:trHeight w:val="300"/>
        </w:trPr>
        <w:tc>
          <w:tcPr>
            <w:tcW w:w="1425" w:type="dxa"/>
            <w:shd w:val="clear" w:color="auto" w:fill="auto"/>
            <w:hideMark/>
          </w:tcPr>
          <w:p w14:paraId="5EF9FD4D" w14:textId="77777777" w:rsidR="00431C3B" w:rsidRPr="004E0E6A" w:rsidRDefault="00431C3B" w:rsidP="00E9664A">
            <w:pPr>
              <w:pStyle w:val="Tabletext"/>
            </w:pPr>
            <w:hyperlink r:id="rId22" w:tgtFrame="_blank" w:history="1">
              <w:r w:rsidRPr="004E0E6A">
                <w:rPr>
                  <w:rStyle w:val="Hyperlink"/>
                </w:rPr>
                <w:t>TA477</w:t>
              </w:r>
            </w:hyperlink>
            <w:r w:rsidRPr="004E0E6A">
              <w:t> </w:t>
            </w:r>
          </w:p>
        </w:tc>
        <w:tc>
          <w:tcPr>
            <w:tcW w:w="6390" w:type="dxa"/>
            <w:shd w:val="clear" w:color="auto" w:fill="auto"/>
            <w:hideMark/>
          </w:tcPr>
          <w:p w14:paraId="377756EE" w14:textId="77777777" w:rsidR="00431C3B" w:rsidRPr="004E0E6A" w:rsidRDefault="00431C3B" w:rsidP="00E9664A">
            <w:pPr>
              <w:pStyle w:val="Tabletext"/>
            </w:pPr>
            <w:r w:rsidRPr="004E0E6A">
              <w:t>Autologous chondrocyte implantation for treating symptomatic articular cartilage defects of the knee. Cartilage defects (knee) - autologous chondrocyte implantation </w:t>
            </w:r>
          </w:p>
        </w:tc>
      </w:tr>
      <w:tr w:rsidR="00431C3B" w:rsidRPr="004E0E6A" w14:paraId="69734766" w14:textId="77777777" w:rsidTr="00E9664A">
        <w:trPr>
          <w:trHeight w:val="300"/>
        </w:trPr>
        <w:tc>
          <w:tcPr>
            <w:tcW w:w="1425" w:type="dxa"/>
            <w:shd w:val="clear" w:color="auto" w:fill="auto"/>
            <w:hideMark/>
          </w:tcPr>
          <w:p w14:paraId="7C87436C" w14:textId="77777777" w:rsidR="00431C3B" w:rsidRPr="004E0E6A" w:rsidRDefault="00431C3B" w:rsidP="00E9664A">
            <w:pPr>
              <w:pStyle w:val="Tabletext"/>
            </w:pPr>
            <w:hyperlink r:id="rId23" w:tgtFrame="_blank" w:history="1">
              <w:r w:rsidRPr="004E0E6A">
                <w:rPr>
                  <w:rStyle w:val="Hyperlink"/>
                </w:rPr>
                <w:t>TA467</w:t>
              </w:r>
            </w:hyperlink>
            <w:r w:rsidRPr="004E0E6A">
              <w:t> </w:t>
            </w:r>
          </w:p>
        </w:tc>
        <w:tc>
          <w:tcPr>
            <w:tcW w:w="6390" w:type="dxa"/>
            <w:shd w:val="clear" w:color="auto" w:fill="auto"/>
            <w:hideMark/>
          </w:tcPr>
          <w:p w14:paraId="6C328709" w14:textId="77777777" w:rsidR="00431C3B" w:rsidRPr="004E0E6A" w:rsidRDefault="00431C3B" w:rsidP="00E9664A">
            <w:pPr>
              <w:pStyle w:val="Tabletext"/>
            </w:pPr>
            <w:r w:rsidRPr="004E0E6A">
              <w:t>Holoclar for treating limbal stem cell deficiency after eye burns </w:t>
            </w:r>
          </w:p>
        </w:tc>
      </w:tr>
      <w:tr w:rsidR="00431C3B" w:rsidRPr="004E0E6A" w14:paraId="7644952D" w14:textId="77777777" w:rsidTr="00E9664A">
        <w:trPr>
          <w:trHeight w:val="300"/>
        </w:trPr>
        <w:tc>
          <w:tcPr>
            <w:tcW w:w="1425" w:type="dxa"/>
            <w:shd w:val="clear" w:color="auto" w:fill="auto"/>
            <w:hideMark/>
          </w:tcPr>
          <w:p w14:paraId="0686F9E3" w14:textId="1174CBE7" w:rsidR="00431C3B" w:rsidRPr="004E0E6A" w:rsidRDefault="00431C3B" w:rsidP="00E9664A">
            <w:pPr>
              <w:pStyle w:val="Tabletext"/>
            </w:pPr>
            <w:hyperlink r:id="rId24" w:tgtFrame="_blank" w:history="1">
              <w:r w:rsidRPr="004E0E6A">
                <w:rPr>
                  <w:rStyle w:val="Hyperlink"/>
                </w:rPr>
                <w:t>TA410</w:t>
              </w:r>
            </w:hyperlink>
            <w:r w:rsidRPr="004E0E6A">
              <w:t> </w:t>
            </w:r>
          </w:p>
        </w:tc>
        <w:tc>
          <w:tcPr>
            <w:tcW w:w="6390" w:type="dxa"/>
            <w:shd w:val="clear" w:color="auto" w:fill="auto"/>
            <w:hideMark/>
          </w:tcPr>
          <w:p w14:paraId="032D272D" w14:textId="3F804B8F" w:rsidR="00431C3B" w:rsidRPr="004E0E6A" w:rsidRDefault="00431C3B" w:rsidP="00E9664A">
            <w:pPr>
              <w:pStyle w:val="Tabletext"/>
            </w:pPr>
            <w:proofErr w:type="spellStart"/>
            <w:r w:rsidRPr="004E0E6A">
              <w:t>Talimogene</w:t>
            </w:r>
            <w:proofErr w:type="spellEnd"/>
            <w:r w:rsidRPr="004E0E6A">
              <w:t xml:space="preserve"> </w:t>
            </w:r>
            <w:proofErr w:type="spellStart"/>
            <w:r w:rsidRPr="004E0E6A">
              <w:t>laherparepvec</w:t>
            </w:r>
            <w:proofErr w:type="spellEnd"/>
            <w:r w:rsidRPr="004E0E6A">
              <w:t xml:space="preserve"> for treating unresectable metastatic melanoma </w:t>
            </w:r>
          </w:p>
        </w:tc>
      </w:tr>
      <w:tr w:rsidR="00431C3B" w:rsidRPr="004E0E6A" w14:paraId="18FF8736" w14:textId="77777777" w:rsidTr="00E9664A">
        <w:trPr>
          <w:trHeight w:val="300"/>
        </w:trPr>
        <w:tc>
          <w:tcPr>
            <w:tcW w:w="1425" w:type="dxa"/>
            <w:shd w:val="clear" w:color="auto" w:fill="auto"/>
            <w:hideMark/>
          </w:tcPr>
          <w:p w14:paraId="401BE985" w14:textId="77777777" w:rsidR="00431C3B" w:rsidRPr="004E0E6A" w:rsidRDefault="00431C3B" w:rsidP="00E9664A">
            <w:pPr>
              <w:pStyle w:val="Tabletext"/>
            </w:pPr>
            <w:hyperlink r:id="rId25" w:tgtFrame="_blank" w:history="1">
              <w:r w:rsidRPr="004E0E6A">
                <w:rPr>
                  <w:rStyle w:val="Hyperlink"/>
                </w:rPr>
                <w:t>HST18</w:t>
              </w:r>
            </w:hyperlink>
            <w:r w:rsidRPr="004E0E6A">
              <w:t> </w:t>
            </w:r>
          </w:p>
        </w:tc>
        <w:tc>
          <w:tcPr>
            <w:tcW w:w="6390" w:type="dxa"/>
            <w:shd w:val="clear" w:color="auto" w:fill="auto"/>
            <w:hideMark/>
          </w:tcPr>
          <w:p w14:paraId="09DA5BC7" w14:textId="77777777" w:rsidR="00431C3B" w:rsidRPr="004E0E6A" w:rsidRDefault="00431C3B" w:rsidP="00E9664A">
            <w:pPr>
              <w:pStyle w:val="Tabletext"/>
            </w:pPr>
            <w:proofErr w:type="spellStart"/>
            <w:r w:rsidRPr="004E0E6A">
              <w:t>Atidarsagene</w:t>
            </w:r>
            <w:proofErr w:type="spellEnd"/>
            <w:r w:rsidRPr="004E0E6A">
              <w:t xml:space="preserve"> </w:t>
            </w:r>
            <w:proofErr w:type="spellStart"/>
            <w:r w:rsidRPr="004E0E6A">
              <w:t>autotemcel</w:t>
            </w:r>
            <w:proofErr w:type="spellEnd"/>
            <w:r w:rsidRPr="004E0E6A">
              <w:t xml:space="preserve"> for treating metachromatic leukodystrophy </w:t>
            </w:r>
          </w:p>
        </w:tc>
      </w:tr>
      <w:tr w:rsidR="00431C3B" w:rsidRPr="004E0E6A" w14:paraId="04CF56C0" w14:textId="77777777" w:rsidTr="00E9664A">
        <w:trPr>
          <w:trHeight w:val="300"/>
        </w:trPr>
        <w:tc>
          <w:tcPr>
            <w:tcW w:w="1425" w:type="dxa"/>
            <w:shd w:val="clear" w:color="auto" w:fill="auto"/>
            <w:hideMark/>
          </w:tcPr>
          <w:p w14:paraId="1DF2D2A6" w14:textId="77777777" w:rsidR="00431C3B" w:rsidRPr="004E0E6A" w:rsidRDefault="00431C3B" w:rsidP="00E9664A">
            <w:pPr>
              <w:pStyle w:val="Tabletext"/>
            </w:pPr>
            <w:hyperlink r:id="rId26" w:tgtFrame="_blank" w:history="1">
              <w:r w:rsidRPr="004E0E6A">
                <w:rPr>
                  <w:rStyle w:val="Hyperlink"/>
                </w:rPr>
                <w:t>HST15</w:t>
              </w:r>
            </w:hyperlink>
            <w:r w:rsidRPr="004E0E6A">
              <w:t> </w:t>
            </w:r>
          </w:p>
        </w:tc>
        <w:tc>
          <w:tcPr>
            <w:tcW w:w="6390" w:type="dxa"/>
            <w:shd w:val="clear" w:color="auto" w:fill="auto"/>
            <w:hideMark/>
          </w:tcPr>
          <w:p w14:paraId="0787EE58" w14:textId="77777777" w:rsidR="00431C3B" w:rsidRPr="004E0E6A" w:rsidRDefault="00431C3B" w:rsidP="00E9664A">
            <w:pPr>
              <w:pStyle w:val="Tabletext"/>
            </w:pPr>
            <w:proofErr w:type="spellStart"/>
            <w:r w:rsidRPr="004E0E6A">
              <w:t>Onasemnogene</w:t>
            </w:r>
            <w:proofErr w:type="spellEnd"/>
            <w:r w:rsidRPr="004E0E6A">
              <w:t xml:space="preserve"> </w:t>
            </w:r>
            <w:proofErr w:type="spellStart"/>
            <w:r w:rsidRPr="004E0E6A">
              <w:t>abeparvovec</w:t>
            </w:r>
            <w:proofErr w:type="spellEnd"/>
            <w:r w:rsidRPr="004E0E6A">
              <w:t xml:space="preserve"> for treating spinal muscular atrophy </w:t>
            </w:r>
          </w:p>
        </w:tc>
      </w:tr>
      <w:tr w:rsidR="00431C3B" w:rsidRPr="004E0E6A" w14:paraId="0655C388" w14:textId="77777777" w:rsidTr="00E9664A">
        <w:trPr>
          <w:trHeight w:val="300"/>
        </w:trPr>
        <w:tc>
          <w:tcPr>
            <w:tcW w:w="1425" w:type="dxa"/>
            <w:shd w:val="clear" w:color="auto" w:fill="auto"/>
            <w:hideMark/>
          </w:tcPr>
          <w:p w14:paraId="213FC0BE" w14:textId="77777777" w:rsidR="00431C3B" w:rsidRPr="004E0E6A" w:rsidRDefault="00431C3B" w:rsidP="00E9664A">
            <w:pPr>
              <w:pStyle w:val="Tabletext"/>
            </w:pPr>
            <w:hyperlink r:id="rId27" w:tgtFrame="_blank" w:history="1">
              <w:r w:rsidRPr="004E0E6A">
                <w:rPr>
                  <w:rStyle w:val="Hyperlink"/>
                </w:rPr>
                <w:t>HST11</w:t>
              </w:r>
            </w:hyperlink>
            <w:r w:rsidRPr="004E0E6A">
              <w:t> </w:t>
            </w:r>
          </w:p>
        </w:tc>
        <w:tc>
          <w:tcPr>
            <w:tcW w:w="6390" w:type="dxa"/>
            <w:shd w:val="clear" w:color="auto" w:fill="auto"/>
            <w:hideMark/>
          </w:tcPr>
          <w:p w14:paraId="25D20D52" w14:textId="77777777" w:rsidR="00431C3B" w:rsidRPr="004E0E6A" w:rsidRDefault="00431C3B" w:rsidP="00E9664A">
            <w:pPr>
              <w:pStyle w:val="Tabletext"/>
            </w:pPr>
            <w:proofErr w:type="spellStart"/>
            <w:r w:rsidRPr="004E0E6A">
              <w:t>Voretigene</w:t>
            </w:r>
            <w:proofErr w:type="spellEnd"/>
            <w:r w:rsidRPr="004E0E6A">
              <w:t xml:space="preserve"> </w:t>
            </w:r>
            <w:proofErr w:type="spellStart"/>
            <w:r w:rsidRPr="004E0E6A">
              <w:t>neparvovec</w:t>
            </w:r>
            <w:proofErr w:type="spellEnd"/>
            <w:r w:rsidRPr="004E0E6A">
              <w:t xml:space="preserve"> for treating inherited retinal dystrophies caused by RPE65 gene mutations </w:t>
            </w:r>
          </w:p>
        </w:tc>
      </w:tr>
      <w:tr w:rsidR="00431C3B" w:rsidRPr="004E0E6A" w14:paraId="1E0E5ED2" w14:textId="77777777" w:rsidTr="00E9664A">
        <w:trPr>
          <w:trHeight w:val="300"/>
        </w:trPr>
        <w:tc>
          <w:tcPr>
            <w:tcW w:w="1425" w:type="dxa"/>
            <w:shd w:val="clear" w:color="auto" w:fill="auto"/>
            <w:hideMark/>
          </w:tcPr>
          <w:p w14:paraId="233AE97D" w14:textId="77777777" w:rsidR="00431C3B" w:rsidRPr="004E0E6A" w:rsidRDefault="00431C3B" w:rsidP="00E9664A">
            <w:pPr>
              <w:pStyle w:val="Tabletext"/>
            </w:pPr>
            <w:hyperlink r:id="rId28" w:tgtFrame="_blank" w:history="1">
              <w:r w:rsidRPr="004E0E6A">
                <w:rPr>
                  <w:rStyle w:val="Hyperlink"/>
                </w:rPr>
                <w:t>HST7</w:t>
              </w:r>
            </w:hyperlink>
            <w:r w:rsidRPr="004E0E6A">
              <w:t> </w:t>
            </w:r>
          </w:p>
        </w:tc>
        <w:tc>
          <w:tcPr>
            <w:tcW w:w="6390" w:type="dxa"/>
            <w:shd w:val="clear" w:color="auto" w:fill="auto"/>
            <w:hideMark/>
          </w:tcPr>
          <w:p w14:paraId="261C12EA" w14:textId="77777777" w:rsidR="00431C3B" w:rsidRPr="004E0E6A" w:rsidRDefault="00431C3B" w:rsidP="00E9664A">
            <w:pPr>
              <w:pStyle w:val="Tabletext"/>
            </w:pPr>
            <w:proofErr w:type="spellStart"/>
            <w:r w:rsidRPr="004E0E6A">
              <w:t>Strimvelis</w:t>
            </w:r>
            <w:proofErr w:type="spellEnd"/>
            <w:r w:rsidRPr="004E0E6A">
              <w:t xml:space="preserve"> for treating adenosine deaminase deficiency–severe combined immunodeficiency </w:t>
            </w:r>
          </w:p>
        </w:tc>
      </w:tr>
    </w:tbl>
    <w:p w14:paraId="3A234F30" w14:textId="77777777" w:rsidR="00BD2FCB" w:rsidRDefault="00BD2FCB" w:rsidP="00BD2FCB">
      <w:pPr>
        <w:pStyle w:val="Paragraph"/>
      </w:pPr>
    </w:p>
    <w:p w14:paraId="16EBDE52" w14:textId="51CC4352" w:rsidR="00BD2FCB" w:rsidRPr="004E0E6A" w:rsidRDefault="00BD2FCB" w:rsidP="00E2563C">
      <w:pPr>
        <w:pStyle w:val="NICEnormal"/>
      </w:pPr>
      <w:r w:rsidRPr="004E0E6A">
        <w:t xml:space="preserve">In the </w:t>
      </w:r>
      <w:hyperlink r:id="rId29" w:history="1">
        <w:r w:rsidR="00236F4F" w:rsidRPr="0000474B">
          <w:rPr>
            <w:rStyle w:val="Hyperlink"/>
          </w:rPr>
          <w:t xml:space="preserve">NICE technology </w:t>
        </w:r>
        <w:r w:rsidRPr="0000474B">
          <w:rPr>
            <w:rStyle w:val="Hyperlink"/>
          </w:rPr>
          <w:t xml:space="preserve">appraisals </w:t>
        </w:r>
        <w:r w:rsidR="00FA649E" w:rsidRPr="0000474B">
          <w:rPr>
            <w:rStyle w:val="Hyperlink"/>
          </w:rPr>
          <w:t>on</w:t>
        </w:r>
        <w:r w:rsidRPr="0000474B">
          <w:rPr>
            <w:rStyle w:val="Hyperlink"/>
          </w:rPr>
          <w:t xml:space="preserve"> </w:t>
        </w:r>
        <w:proofErr w:type="spellStart"/>
        <w:r w:rsidRPr="0000474B">
          <w:rPr>
            <w:rStyle w:val="Hyperlink"/>
          </w:rPr>
          <w:t>larotrectinib</w:t>
        </w:r>
        <w:proofErr w:type="spellEnd"/>
      </w:hyperlink>
      <w:r w:rsidRPr="004E0E6A">
        <w:t xml:space="preserve"> and </w:t>
      </w:r>
      <w:hyperlink r:id="rId30" w:history="1">
        <w:proofErr w:type="spellStart"/>
        <w:r w:rsidRPr="00FA649E">
          <w:rPr>
            <w:rStyle w:val="Hyperlink"/>
          </w:rPr>
          <w:t>entrectinib</w:t>
        </w:r>
        <w:proofErr w:type="spellEnd"/>
        <w:r w:rsidRPr="00FA649E">
          <w:rPr>
            <w:rStyle w:val="Hyperlink"/>
          </w:rPr>
          <w:t xml:space="preserve"> for treating NTRK fusion-positive solid tumours</w:t>
        </w:r>
      </w:hyperlink>
      <w:r w:rsidRPr="004E0E6A">
        <w:t xml:space="preserve">, scenario analyses were </w:t>
      </w:r>
      <w:r w:rsidR="00CF106D">
        <w:t>done</w:t>
      </w:r>
      <w:r w:rsidRPr="004E0E6A">
        <w:t xml:space="preserve"> </w:t>
      </w:r>
      <w:r w:rsidR="003761FA">
        <w:t>in which</w:t>
      </w:r>
      <w:r w:rsidR="003761FA" w:rsidRPr="004E0E6A">
        <w:t xml:space="preserve"> </w:t>
      </w:r>
      <w:r w:rsidRPr="004E0E6A">
        <w:t xml:space="preserve">only 50% and 25% of incremental screening costs were included, to avoid double counting if </w:t>
      </w:r>
      <w:r w:rsidR="00F15083">
        <w:t>2</w:t>
      </w:r>
      <w:r w:rsidRPr="004E0E6A">
        <w:t xml:space="preserve"> or </w:t>
      </w:r>
      <w:r w:rsidR="00F15083">
        <w:t>4</w:t>
      </w:r>
      <w:r w:rsidRPr="004E0E6A">
        <w:t xml:space="preserve"> NTRK fusion-targeting medicines </w:t>
      </w:r>
      <w:r w:rsidR="00BC30BF">
        <w:t>we</w:t>
      </w:r>
      <w:r w:rsidRPr="004E0E6A">
        <w:t>re available.</w:t>
      </w:r>
      <w:r w:rsidR="00BC30BF">
        <w:t xml:space="preserve"> </w:t>
      </w:r>
      <w:r w:rsidRPr="004E0E6A">
        <w:t xml:space="preserve">Apportioning the screening costs </w:t>
      </w:r>
      <w:r w:rsidR="00325F69">
        <w:t xml:space="preserve">across </w:t>
      </w:r>
      <w:r w:rsidR="00F15083">
        <w:t>2</w:t>
      </w:r>
      <w:r w:rsidRPr="004E0E6A">
        <w:t xml:space="preserve"> and </w:t>
      </w:r>
      <w:r w:rsidR="00F15083">
        <w:t>4</w:t>
      </w:r>
      <w:r w:rsidR="00325F69">
        <w:t xml:space="preserve"> technologies</w:t>
      </w:r>
      <w:r w:rsidRPr="004E0E6A">
        <w:t xml:space="preserve"> reduced the </w:t>
      </w:r>
      <w:r w:rsidR="001F33C3">
        <w:t>incremental cost-effectiveness ratio</w:t>
      </w:r>
      <w:r w:rsidRPr="004E0E6A">
        <w:t xml:space="preserve"> for </w:t>
      </w:r>
      <w:proofErr w:type="spellStart"/>
      <w:r w:rsidR="00746940" w:rsidRPr="00E9664A">
        <w:t>entrectinib</w:t>
      </w:r>
      <w:proofErr w:type="spellEnd"/>
      <w:r w:rsidRPr="00E9664A">
        <w:t xml:space="preserve"> </w:t>
      </w:r>
      <w:r w:rsidRPr="004E0E6A">
        <w:t>from £54,646 when all the screening cost was included</w:t>
      </w:r>
      <w:r w:rsidR="001514A8">
        <w:t xml:space="preserve"> </w:t>
      </w:r>
      <w:r w:rsidR="00257580">
        <w:t>to £</w:t>
      </w:r>
      <w:r w:rsidR="00976731">
        <w:t>45,688 and £41,210</w:t>
      </w:r>
      <w:r w:rsidRPr="004E0E6A">
        <w:t>, respectively.</w:t>
      </w:r>
    </w:p>
    <w:p w14:paraId="77F9FE20" w14:textId="417F2B28" w:rsidR="007E2A34" w:rsidRDefault="00BD2FCB" w:rsidP="00BD2FCB">
      <w:pPr>
        <w:pStyle w:val="Paragraph"/>
      </w:pPr>
      <w:r>
        <w:lastRenderedPageBreak/>
        <w:t xml:space="preserve">In the remaining </w:t>
      </w:r>
      <w:r w:rsidR="00E36468">
        <w:t xml:space="preserve">NICE technology </w:t>
      </w:r>
      <w:r>
        <w:t>appraisals reviewed, there w</w:t>
      </w:r>
      <w:r w:rsidR="00D17D14">
        <w:t xml:space="preserve">ere no examples of </w:t>
      </w:r>
      <w:r>
        <w:t>the apportionment method</w:t>
      </w:r>
      <w:r w:rsidR="003761FA">
        <w:t xml:space="preserve"> being used</w:t>
      </w:r>
      <w:r>
        <w:t xml:space="preserve">, although some technologies were expected to generate additional infrastructure costs. For example, when evaluating </w:t>
      </w:r>
      <w:hyperlink r:id="rId31">
        <w:r w:rsidR="001B1D18">
          <w:rPr>
            <w:rStyle w:val="Hyperlink"/>
          </w:rPr>
          <w:t>TA975</w:t>
        </w:r>
      </w:hyperlink>
      <w:r>
        <w:t xml:space="preserve">, the committee was aware that introducing </w:t>
      </w:r>
      <w:r w:rsidR="003761FA">
        <w:t>c</w:t>
      </w:r>
      <w:r w:rsidR="597007F8">
        <w:t xml:space="preserve">himeric </w:t>
      </w:r>
      <w:r w:rsidR="003761FA">
        <w:t>a</w:t>
      </w:r>
      <w:r w:rsidR="597007F8">
        <w:t xml:space="preserve">ntigen </w:t>
      </w:r>
      <w:r w:rsidR="003761FA">
        <w:t>r</w:t>
      </w:r>
      <w:r w:rsidR="597007F8">
        <w:t>eceptor T-cell</w:t>
      </w:r>
      <w:r w:rsidR="031FD016">
        <w:t xml:space="preserve"> (CAR-T)</w:t>
      </w:r>
      <w:r>
        <w:t xml:space="preserve"> therapies </w:t>
      </w:r>
      <w:r w:rsidR="003761FA">
        <w:t xml:space="preserve">meant </w:t>
      </w:r>
      <w:r>
        <w:t xml:space="preserve">the NHS </w:t>
      </w:r>
      <w:r w:rsidR="003761FA">
        <w:t xml:space="preserve">needed </w:t>
      </w:r>
      <w:r>
        <w:t>to</w:t>
      </w:r>
      <w:r w:rsidR="00A07199" w:rsidRPr="00A07199">
        <w:t xml:space="preserve"> </w:t>
      </w:r>
      <w:r w:rsidR="00A07199">
        <w:t>provide</w:t>
      </w:r>
      <w:r w:rsidR="007E2A34">
        <w:t>:</w:t>
      </w:r>
    </w:p>
    <w:p w14:paraId="129FFCB9" w14:textId="44E74E27" w:rsidR="007E2A34" w:rsidRDefault="00BD2FCB" w:rsidP="003761FA">
      <w:pPr>
        <w:pStyle w:val="Bulletleft1"/>
      </w:pPr>
      <w:r>
        <w:t xml:space="preserve">a new service </w:t>
      </w:r>
      <w:r w:rsidR="003761FA">
        <w:t xml:space="preserve">that </w:t>
      </w:r>
      <w:r>
        <w:t xml:space="preserve">would incur additional costs </w:t>
      </w:r>
      <w:r w:rsidR="002C0687">
        <w:t>to</w:t>
      </w:r>
      <w:r>
        <w:t xml:space="preserve"> transport and stor</w:t>
      </w:r>
      <w:r w:rsidR="002C0687">
        <w:t>e</w:t>
      </w:r>
      <w:r>
        <w:t xml:space="preserve"> the treatment</w:t>
      </w:r>
    </w:p>
    <w:p w14:paraId="3EEAAF28" w14:textId="78AE00D0" w:rsidR="00614BFB" w:rsidRDefault="00BD2FCB" w:rsidP="00E9664A">
      <w:pPr>
        <w:pStyle w:val="Bulletleft1"/>
      </w:pPr>
      <w:r>
        <w:t>accreditation to administer the treatment</w:t>
      </w:r>
    </w:p>
    <w:p w14:paraId="21647C0C" w14:textId="1CE29FEB" w:rsidR="00614BFB" w:rsidRDefault="00BD2FCB" w:rsidP="00E9664A">
      <w:pPr>
        <w:pStyle w:val="Bulletleft1"/>
      </w:pPr>
      <w:r>
        <w:t>training of staff</w:t>
      </w:r>
    </w:p>
    <w:p w14:paraId="5CD5176E" w14:textId="77777777" w:rsidR="003761FA" w:rsidRDefault="00BD2FCB" w:rsidP="003761FA">
      <w:pPr>
        <w:pStyle w:val="Bulletleft1last"/>
      </w:pPr>
      <w:r>
        <w:t>access to intensive care units to manage adverse events</w:t>
      </w:r>
      <w:r w:rsidR="002C0687">
        <w:t>.</w:t>
      </w:r>
    </w:p>
    <w:p w14:paraId="24621A2C" w14:textId="3DB95CF6" w:rsidR="00E74704" w:rsidRDefault="002C0687" w:rsidP="00E9664A">
      <w:pPr>
        <w:pStyle w:val="NICEnormal"/>
      </w:pPr>
      <w:r>
        <w:t xml:space="preserve">They </w:t>
      </w:r>
      <w:r w:rsidR="00BD2FCB">
        <w:t>were not included in the analyses.</w:t>
      </w:r>
    </w:p>
    <w:p w14:paraId="1503E3E8" w14:textId="4D145C5B" w:rsidR="005F4007" w:rsidRDefault="005F4007" w:rsidP="000C5C45">
      <w:pPr>
        <w:pStyle w:val="NICEnormal"/>
      </w:pPr>
      <w:r>
        <w:t xml:space="preserve">Since the </w:t>
      </w:r>
      <w:r w:rsidR="003761FA">
        <w:t xml:space="preserve">start </w:t>
      </w:r>
      <w:r>
        <w:t xml:space="preserve">of this work, the </w:t>
      </w:r>
      <w:hyperlink r:id="rId32" w:history="1">
        <w:r w:rsidR="00692AC8" w:rsidRPr="00710CF5">
          <w:rPr>
            <w:rStyle w:val="Hyperlink"/>
          </w:rPr>
          <w:t xml:space="preserve">NICE technology </w:t>
        </w:r>
        <w:r w:rsidRPr="00710CF5">
          <w:rPr>
            <w:rStyle w:val="Hyperlink"/>
          </w:rPr>
          <w:t>appraisals o</w:t>
        </w:r>
        <w:r w:rsidR="006D76AC">
          <w:rPr>
            <w:rStyle w:val="Hyperlink"/>
          </w:rPr>
          <w:t>n</w:t>
        </w:r>
        <w:r w:rsidRPr="00710CF5">
          <w:rPr>
            <w:rStyle w:val="Hyperlink"/>
          </w:rPr>
          <w:t xml:space="preserve"> </w:t>
        </w:r>
        <w:proofErr w:type="spellStart"/>
        <w:r w:rsidRPr="00710CF5">
          <w:rPr>
            <w:rStyle w:val="Hyperlink"/>
          </w:rPr>
          <w:t>lecanemab</w:t>
        </w:r>
        <w:proofErr w:type="spellEnd"/>
      </w:hyperlink>
      <w:r>
        <w:t xml:space="preserve"> </w:t>
      </w:r>
      <w:r w:rsidR="00553265" w:rsidRPr="00553265">
        <w:t xml:space="preserve">and </w:t>
      </w:r>
      <w:hyperlink r:id="rId33" w:history="1">
        <w:r w:rsidR="00553265" w:rsidRPr="00553265">
          <w:rPr>
            <w:rStyle w:val="Hyperlink"/>
          </w:rPr>
          <w:t>donanemab for treating mild cognitive impairment or mild dementia caused by Alzheimer’s disease</w:t>
        </w:r>
      </w:hyperlink>
      <w:r w:rsidR="00553265" w:rsidRPr="00553265">
        <w:t xml:space="preserve"> </w:t>
      </w:r>
      <w:r w:rsidR="003761FA">
        <w:t xml:space="preserve">were </w:t>
      </w:r>
      <w:r w:rsidR="00553265" w:rsidRPr="00553265">
        <w:t xml:space="preserve">published </w:t>
      </w:r>
      <w:r w:rsidR="003761FA">
        <w:t xml:space="preserve">as </w:t>
      </w:r>
      <w:r w:rsidR="008D5F69">
        <w:t>draft guidance</w:t>
      </w:r>
      <w:r w:rsidR="08E56C94">
        <w:t xml:space="preserve"> and were ongoing at the time of publication of this report</w:t>
      </w:r>
      <w:r>
        <w:t xml:space="preserve">. </w:t>
      </w:r>
      <w:r w:rsidR="00F7608C">
        <w:t xml:space="preserve">In the draft guidance for both </w:t>
      </w:r>
      <w:r w:rsidR="007C1029">
        <w:t>evaluation</w:t>
      </w:r>
      <w:r w:rsidR="00F7608C">
        <w:t>s, it was raised by patients</w:t>
      </w:r>
      <w:r w:rsidR="00131E1A">
        <w:t xml:space="preserve">, </w:t>
      </w:r>
      <w:r w:rsidR="003761FA">
        <w:t xml:space="preserve">and </w:t>
      </w:r>
      <w:r w:rsidR="00131E1A">
        <w:t xml:space="preserve">clinical and commissioning experts that the </w:t>
      </w:r>
      <w:r w:rsidR="003761FA">
        <w:t xml:space="preserve">evaluated </w:t>
      </w:r>
      <w:r w:rsidR="00131E1A">
        <w:t>technologies, and future disease</w:t>
      </w:r>
      <w:r w:rsidR="00A11DDC">
        <w:t>-</w:t>
      </w:r>
      <w:r w:rsidR="00131E1A">
        <w:t>modifying treatments</w:t>
      </w:r>
      <w:r w:rsidR="001217CF">
        <w:t xml:space="preserve">, </w:t>
      </w:r>
      <w:r w:rsidR="00006C13">
        <w:t xml:space="preserve">would </w:t>
      </w:r>
      <w:r w:rsidR="00CF106D">
        <w:t>need</w:t>
      </w:r>
      <w:r w:rsidR="00006C13">
        <w:t xml:space="preserve"> significant </w:t>
      </w:r>
      <w:r w:rsidR="00841FC8">
        <w:t xml:space="preserve">changes to the diagnostic pathway. </w:t>
      </w:r>
      <w:r w:rsidR="00131941">
        <w:t>I</w:t>
      </w:r>
      <w:r w:rsidR="00841FC8">
        <w:t xml:space="preserve">n both </w:t>
      </w:r>
      <w:r w:rsidR="007C1029">
        <w:t>evaluation</w:t>
      </w:r>
      <w:r w:rsidR="00841FC8">
        <w:t>s</w:t>
      </w:r>
      <w:r w:rsidR="00131941">
        <w:t>, the committee</w:t>
      </w:r>
      <w:r w:rsidR="00841FC8">
        <w:t xml:space="preserve"> </w:t>
      </w:r>
      <w:r w:rsidR="000C293C">
        <w:t>felt</w:t>
      </w:r>
      <w:r w:rsidR="00653FEA">
        <w:t xml:space="preserve"> that </w:t>
      </w:r>
      <w:r w:rsidR="00047D4F">
        <w:t xml:space="preserve">costs related to </w:t>
      </w:r>
      <w:r w:rsidR="00510793">
        <w:t xml:space="preserve">the </w:t>
      </w:r>
      <w:r w:rsidR="003761FA">
        <w:t xml:space="preserve">necessary </w:t>
      </w:r>
      <w:r w:rsidR="00047D4F">
        <w:t xml:space="preserve">investment in infrastructure and training </w:t>
      </w:r>
      <w:r w:rsidR="008E53D3">
        <w:t>may</w:t>
      </w:r>
      <w:r w:rsidR="00047D4F">
        <w:t xml:space="preserve"> </w:t>
      </w:r>
      <w:r w:rsidR="00510793">
        <w:t xml:space="preserve">not </w:t>
      </w:r>
      <w:r w:rsidR="00131941">
        <w:t xml:space="preserve">have been fully </w:t>
      </w:r>
      <w:r w:rsidR="00510793">
        <w:t>captured</w:t>
      </w:r>
      <w:r w:rsidR="00131941">
        <w:t xml:space="preserve"> in the economic analysis</w:t>
      </w:r>
      <w:r w:rsidR="00D75A4D">
        <w:t>,</w:t>
      </w:r>
      <w:r w:rsidR="00BB1FA0">
        <w:t xml:space="preserve"> </w:t>
      </w:r>
      <w:r w:rsidR="00131941">
        <w:t>and</w:t>
      </w:r>
      <w:r w:rsidR="000C293C">
        <w:t xml:space="preserve"> highlighted</w:t>
      </w:r>
      <w:r w:rsidR="00BB1FA0">
        <w:t xml:space="preserve"> uncertainty around additional on-treatment monitoring costs.</w:t>
      </w:r>
    </w:p>
    <w:p w14:paraId="2A97ED17" w14:textId="27D1BA7B" w:rsidR="00BF1E04" w:rsidRDefault="008F68F9" w:rsidP="00BD2FCB">
      <w:pPr>
        <w:pStyle w:val="Paragraph"/>
      </w:pPr>
      <w:r>
        <w:t xml:space="preserve">Although the full costs of necessary infrastructure and service redesign were not included in the </w:t>
      </w:r>
      <w:r w:rsidR="007C1029">
        <w:t>evaluation</w:t>
      </w:r>
      <w:r>
        <w:t>s</w:t>
      </w:r>
      <w:r w:rsidR="3370DA70">
        <w:t xml:space="preserve"> (as of the time of publication of this report)</w:t>
      </w:r>
      <w:r w:rsidR="006D65B8">
        <w:t xml:space="preserve">, </w:t>
      </w:r>
      <w:r w:rsidR="009A17D9">
        <w:t xml:space="preserve">both companies </w:t>
      </w:r>
      <w:r>
        <w:t xml:space="preserve">did </w:t>
      </w:r>
      <w:r w:rsidR="00DF29C4">
        <w:t xml:space="preserve">include </w:t>
      </w:r>
      <w:r>
        <w:t xml:space="preserve">the marginal </w:t>
      </w:r>
      <w:r w:rsidR="00DF29C4">
        <w:t xml:space="preserve">cost </w:t>
      </w:r>
      <w:r w:rsidR="001F43E8">
        <w:t xml:space="preserve">of a </w:t>
      </w:r>
      <w:r w:rsidR="00367D8A">
        <w:t xml:space="preserve">diagnostic test </w:t>
      </w:r>
      <w:r>
        <w:t xml:space="preserve">for identifying </w:t>
      </w:r>
      <w:r w:rsidR="00823D31">
        <w:t>people who need</w:t>
      </w:r>
      <w:r>
        <w:t xml:space="preserve"> treatment with </w:t>
      </w:r>
      <w:proofErr w:type="spellStart"/>
      <w:r>
        <w:t>lecanemab</w:t>
      </w:r>
      <w:proofErr w:type="spellEnd"/>
      <w:r>
        <w:t xml:space="preserve"> and donanemab</w:t>
      </w:r>
      <w:r w:rsidR="00C84EE7">
        <w:t xml:space="preserve">. </w:t>
      </w:r>
      <w:r w:rsidR="239CE0D5">
        <w:t>Unlike in</w:t>
      </w:r>
      <w:r w:rsidR="00E04931">
        <w:t xml:space="preserve"> the </w:t>
      </w:r>
      <w:r w:rsidR="007C1029">
        <w:t>evaluation</w:t>
      </w:r>
      <w:r w:rsidR="006D460B">
        <w:t xml:space="preserve"> o</w:t>
      </w:r>
      <w:r w:rsidR="004956D2">
        <w:t>n</w:t>
      </w:r>
      <w:r w:rsidR="00E04931">
        <w:t xml:space="preserve"> </w:t>
      </w:r>
      <w:proofErr w:type="spellStart"/>
      <w:r w:rsidR="00E04931">
        <w:t>entrectinib</w:t>
      </w:r>
      <w:proofErr w:type="spellEnd"/>
      <w:r w:rsidR="00E04931">
        <w:t xml:space="preserve">, apportioning the </w:t>
      </w:r>
      <w:r w:rsidR="006D460B">
        <w:t xml:space="preserve">screening </w:t>
      </w:r>
      <w:r w:rsidR="00E04931">
        <w:t xml:space="preserve">costs across both </w:t>
      </w:r>
      <w:r w:rsidR="003243C0">
        <w:t xml:space="preserve">treatments </w:t>
      </w:r>
      <w:r w:rsidR="62515FB3">
        <w:t xml:space="preserve">had </w:t>
      </w:r>
      <w:r w:rsidR="003243C0">
        <w:t>not</w:t>
      </w:r>
      <w:r w:rsidR="647946A9">
        <w:t xml:space="preserve"> been</w:t>
      </w:r>
      <w:r w:rsidR="003243C0">
        <w:t xml:space="preserve"> </w:t>
      </w:r>
      <w:r w:rsidR="003761FA">
        <w:t xml:space="preserve">done </w:t>
      </w:r>
      <w:r w:rsidR="003243C0">
        <w:t>as a scenario analysis.</w:t>
      </w:r>
      <w:r w:rsidR="00E04931">
        <w:t xml:space="preserve"> </w:t>
      </w:r>
    </w:p>
    <w:p w14:paraId="5504F5EE" w14:textId="33EBB86E" w:rsidR="00FA668E" w:rsidRPr="004E0E6A" w:rsidRDefault="00FA668E" w:rsidP="00FA668E">
      <w:pPr>
        <w:pStyle w:val="Heading2"/>
      </w:pPr>
      <w:bookmarkStart w:id="33" w:name="_Toc180417346"/>
      <w:bookmarkStart w:id="34" w:name="_Toc1559697705"/>
      <w:bookmarkStart w:id="35" w:name="_Toc194494044"/>
      <w:r>
        <w:lastRenderedPageBreak/>
        <w:t>Methods used by other HTA agencies</w:t>
      </w:r>
      <w:bookmarkEnd w:id="33"/>
      <w:bookmarkEnd w:id="34"/>
      <w:bookmarkEnd w:id="35"/>
    </w:p>
    <w:p w14:paraId="3A5B8CDE" w14:textId="2450A41C" w:rsidR="00FA668E" w:rsidRDefault="002C0687" w:rsidP="00FA668E">
      <w:pPr>
        <w:pStyle w:val="Paragraph"/>
      </w:pPr>
      <w:r>
        <w:t xml:space="preserve">We </w:t>
      </w:r>
      <w:r w:rsidR="003761FA">
        <w:t xml:space="preserve">did </w:t>
      </w:r>
      <w:r w:rsidR="007E4768">
        <w:t>a rapid review</w:t>
      </w:r>
      <w:r w:rsidR="00C32EE1">
        <w:t xml:space="preserve"> of</w:t>
      </w:r>
      <w:r>
        <w:t xml:space="preserve"> methods manuals from other HTA organisations</w:t>
      </w:r>
      <w:r w:rsidR="00E947A3">
        <w:t xml:space="preserve">. A total of 9 methods manuals from HTA organisations </w:t>
      </w:r>
      <w:r w:rsidR="00885543">
        <w:t>in</w:t>
      </w:r>
      <w:r w:rsidR="00E947A3">
        <w:t xml:space="preserve"> </w:t>
      </w:r>
      <w:r w:rsidR="00885543">
        <w:t xml:space="preserve">Australia, </w:t>
      </w:r>
      <w:r w:rsidR="00E947A3">
        <w:t xml:space="preserve">Canada, </w:t>
      </w:r>
      <w:r w:rsidR="00885543">
        <w:t xml:space="preserve">Denmark, Finland, </w:t>
      </w:r>
      <w:r w:rsidR="00E947A3">
        <w:t xml:space="preserve">France, </w:t>
      </w:r>
      <w:r w:rsidR="00885543">
        <w:t xml:space="preserve">Germany, </w:t>
      </w:r>
      <w:r w:rsidR="00E947A3">
        <w:t xml:space="preserve">Ireland, </w:t>
      </w:r>
      <w:r w:rsidR="00885543">
        <w:t xml:space="preserve">The Netherlands and </w:t>
      </w:r>
      <w:r w:rsidR="00E947A3">
        <w:t xml:space="preserve">New Zealand were reviewed. </w:t>
      </w:r>
      <w:r w:rsidR="00885543">
        <w:t>Among them, w</w:t>
      </w:r>
      <w:r w:rsidR="00CE01FD">
        <w:t>e</w:t>
      </w:r>
      <w:r>
        <w:t xml:space="preserve"> identified n</w:t>
      </w:r>
      <w:r w:rsidR="00FA668E">
        <w:t>o guidance on the use of cost</w:t>
      </w:r>
      <w:r w:rsidR="00090D68">
        <w:t>-</w:t>
      </w:r>
      <w:r w:rsidR="00FA668E">
        <w:t>apportionment methods</w:t>
      </w:r>
      <w:r w:rsidR="00CE01FD">
        <w:t xml:space="preserve"> </w:t>
      </w:r>
      <w:r w:rsidR="00336D93">
        <w:t>outlined by</w:t>
      </w:r>
      <w:r w:rsidR="00CE01FD">
        <w:t xml:space="preserve"> other HTA organisations</w:t>
      </w:r>
      <w:r w:rsidR="00FA668E">
        <w:t>. </w:t>
      </w:r>
    </w:p>
    <w:p w14:paraId="33F0319E" w14:textId="24AD6EC9" w:rsidR="009C1AE3" w:rsidRDefault="009C1AE3" w:rsidP="009C1AE3">
      <w:pPr>
        <w:pStyle w:val="Numberedheading1"/>
      </w:pPr>
      <w:bookmarkStart w:id="36" w:name="_Toc194494045"/>
      <w:r>
        <w:t>The appropriateness of cost apportionment</w:t>
      </w:r>
      <w:bookmarkEnd w:id="36"/>
      <w:r>
        <w:t xml:space="preserve"> </w:t>
      </w:r>
    </w:p>
    <w:p w14:paraId="5694CC69" w14:textId="12044A2C" w:rsidR="00310155" w:rsidRDefault="009C1AE3" w:rsidP="009C1AE3">
      <w:pPr>
        <w:pStyle w:val="Paragraph"/>
      </w:pPr>
      <w:r w:rsidRPr="004E4E13">
        <w:t>The overall lack of use of cost apportionment to date, the relatively simple approaches taken when it was used, and the absence of guidance across the HTA community, point to the substantial barriers to implementing cost apportionment in practice.</w:t>
      </w:r>
      <w:r w:rsidRPr="001F33C3">
        <w:t xml:space="preserve"> </w:t>
      </w:r>
      <w:r w:rsidR="00310155" w:rsidRPr="001F33C3">
        <w:t>The</w:t>
      </w:r>
      <w:r w:rsidR="00310155">
        <w:t xml:space="preserve"> HTA Lab team explored this in the following engagement activities:</w:t>
      </w:r>
    </w:p>
    <w:p w14:paraId="502104B7" w14:textId="421DCB20" w:rsidR="00310155" w:rsidRDefault="00310155" w:rsidP="000C5C45">
      <w:pPr>
        <w:pStyle w:val="Bulletleft1"/>
      </w:pPr>
      <w:r w:rsidRPr="000F179A">
        <w:t xml:space="preserve">Discussions with </w:t>
      </w:r>
      <w:r w:rsidR="00246C67">
        <w:t xml:space="preserve">an </w:t>
      </w:r>
      <w:r w:rsidRPr="000F179A">
        <w:t xml:space="preserve">HTA Lab dementia working group, consisting of health economists, policy advisers, HTA analysts, and </w:t>
      </w:r>
      <w:r w:rsidR="00246C67">
        <w:t>1</w:t>
      </w:r>
      <w:r w:rsidR="00246C67" w:rsidRPr="000F179A">
        <w:t xml:space="preserve"> </w:t>
      </w:r>
      <w:r w:rsidRPr="000F179A">
        <w:t>academic expert</w:t>
      </w:r>
      <w:r w:rsidR="00DC6A81">
        <w:t>.</w:t>
      </w:r>
      <w:r w:rsidRPr="000F179A">
        <w:t xml:space="preserve"> HTA Lab dementia working group convened biweekly between September and June 2024 and members</w:t>
      </w:r>
      <w:r w:rsidR="00851A29">
        <w:t xml:space="preserve"> were asked for their opinions on </w:t>
      </w:r>
      <w:r w:rsidRPr="000F179A">
        <w:t>incorporating service redesign and infrastructure costs into DMDTs</w:t>
      </w:r>
      <w:r w:rsidR="00246C67">
        <w:t xml:space="preserve"> evaluations</w:t>
      </w:r>
      <w:r w:rsidRPr="000F179A">
        <w:t xml:space="preserve">. </w:t>
      </w:r>
    </w:p>
    <w:p w14:paraId="1DBECBA1" w14:textId="6ACD8BF9" w:rsidR="00310155" w:rsidRDefault="00310155" w:rsidP="00E9664A">
      <w:pPr>
        <w:pStyle w:val="Bulletleft1"/>
      </w:pPr>
      <w:r w:rsidRPr="000F179A">
        <w:t xml:space="preserve">In addition, senior NICE staff who had relevant experience were consulted </w:t>
      </w:r>
      <w:r w:rsidR="00F15083">
        <w:t>by</w:t>
      </w:r>
      <w:r w:rsidRPr="000F179A">
        <w:t xml:space="preserve"> e-mail and online meetings. </w:t>
      </w:r>
    </w:p>
    <w:p w14:paraId="3B96AF96" w14:textId="28DD3CD6" w:rsidR="00310155" w:rsidRDefault="00310155" w:rsidP="00E9664A">
      <w:pPr>
        <w:pStyle w:val="Bulletleft1last"/>
      </w:pPr>
      <w:r>
        <w:t xml:space="preserve">Discussions with NHS England: </w:t>
      </w:r>
      <w:r w:rsidR="00246C67">
        <w:t>s</w:t>
      </w:r>
      <w:r>
        <w:t>everal online meetings were held between representatives of the HTA Lab dementia working group and NHS England staff, including health economists, analysts, and programme directors on 16</w:t>
      </w:r>
      <w:r w:rsidR="06B152A4">
        <w:t xml:space="preserve"> </w:t>
      </w:r>
      <w:r>
        <w:t>February, 15</w:t>
      </w:r>
      <w:r w:rsidR="06C259B2">
        <w:t xml:space="preserve"> </w:t>
      </w:r>
      <w:r>
        <w:t>May, 8</w:t>
      </w:r>
      <w:r w:rsidR="2E1D7C39">
        <w:t xml:space="preserve"> </w:t>
      </w:r>
      <w:r>
        <w:t xml:space="preserve">July and 18 July. </w:t>
      </w:r>
    </w:p>
    <w:p w14:paraId="0DBD27EB" w14:textId="40C19209" w:rsidR="009C1AE3" w:rsidRPr="004E4E13" w:rsidRDefault="00310155" w:rsidP="009C1AE3">
      <w:pPr>
        <w:pStyle w:val="Paragraph"/>
      </w:pPr>
      <w:r>
        <w:t xml:space="preserve">Based on these interactions, it </w:t>
      </w:r>
      <w:r w:rsidR="0393EA35">
        <w:t xml:space="preserve">was </w:t>
      </w:r>
      <w:r>
        <w:t>clear that implementing cost apportionment for high-cost</w:t>
      </w:r>
      <w:r w:rsidR="001F33C3">
        <w:t xml:space="preserve"> infrastructure and service redesign is</w:t>
      </w:r>
      <w:r w:rsidR="0B9624F9">
        <w:t xml:space="preserve"> difficult to </w:t>
      </w:r>
      <w:r w:rsidR="00246C67">
        <w:t xml:space="preserve">put into practice </w:t>
      </w:r>
      <w:r w:rsidR="0B9624F9">
        <w:t>and</w:t>
      </w:r>
      <w:r w:rsidR="001F33C3">
        <w:t xml:space="preserve"> </w:t>
      </w:r>
      <w:r w:rsidR="009C1AE3">
        <w:t>likely to be subject to considerable uncertainty</w:t>
      </w:r>
      <w:r w:rsidR="007E4768">
        <w:t>,</w:t>
      </w:r>
      <w:r w:rsidR="565D6614">
        <w:t xml:space="preserve"> which could </w:t>
      </w:r>
      <w:r w:rsidR="007E4768">
        <w:t>explain its</w:t>
      </w:r>
      <w:r w:rsidR="565D6614">
        <w:t xml:space="preserve"> l</w:t>
      </w:r>
      <w:r w:rsidR="007C5395">
        <w:t>imi</w:t>
      </w:r>
      <w:r w:rsidR="565D6614">
        <w:t xml:space="preserve">ted use in </w:t>
      </w:r>
      <w:r w:rsidR="007C1029">
        <w:t>evaluation</w:t>
      </w:r>
      <w:r w:rsidR="565D6614">
        <w:t xml:space="preserve">s </w:t>
      </w:r>
      <w:r w:rsidR="00246C67">
        <w:t xml:space="preserve">in which </w:t>
      </w:r>
      <w:r w:rsidR="565D6614">
        <w:t>these costs are known to be considerable</w:t>
      </w:r>
      <w:r w:rsidR="009C1AE3">
        <w:t xml:space="preserve">. </w:t>
      </w:r>
    </w:p>
    <w:p w14:paraId="50F13152" w14:textId="4B9E4BB1" w:rsidR="009C1AE3" w:rsidRDefault="009C1AE3" w:rsidP="009C1AE3">
      <w:pPr>
        <w:pStyle w:val="Paragraph"/>
      </w:pPr>
      <w:r w:rsidRPr="00AC707D">
        <w:lastRenderedPageBreak/>
        <w:t>To accurately estimate how infrastructure costs should be allocated between manufacturers, the apportionment method relies on accurate data and forecasts for expected treatments in development, their projected time to market, and market share estimates. These are all subject to high uncertainty</w:t>
      </w:r>
      <w:r w:rsidR="00157D6B">
        <w:t xml:space="preserve"> and, potentially</w:t>
      </w:r>
      <w:r w:rsidR="00C90C99">
        <w:t>, a risk of gaming</w:t>
      </w:r>
      <w:r w:rsidRPr="00AC707D">
        <w:t xml:space="preserve">. If these data are unavailable, unreliable or unverifiable, they may lead to inaccurate cost apportionment and, therefore, inaccurate </w:t>
      </w:r>
      <w:r w:rsidR="00DB5C8D">
        <w:t>evaluation</w:t>
      </w:r>
      <w:r w:rsidRPr="00AC707D">
        <w:t>s</w:t>
      </w:r>
      <w:r w:rsidR="0057417D">
        <w:t xml:space="preserve"> and incorrect budget impact estimates</w:t>
      </w:r>
      <w:r w:rsidRPr="00AC707D">
        <w:t xml:space="preserve">. </w:t>
      </w:r>
    </w:p>
    <w:p w14:paraId="4FFDF62C" w14:textId="4A83A231" w:rsidR="009C1AE3" w:rsidRDefault="009C1AE3">
      <w:pPr>
        <w:pStyle w:val="Paragraph"/>
      </w:pPr>
      <w:r>
        <w:t xml:space="preserve">The potential for inaccurately estimating cost </w:t>
      </w:r>
      <w:r w:rsidR="018C1CB7">
        <w:t>shares</w:t>
      </w:r>
      <w:r>
        <w:t xml:space="preserve"> poses a substantial financial risk to the NHS. If </w:t>
      </w:r>
      <w:r w:rsidR="00BB121B">
        <w:t xml:space="preserve">1 </w:t>
      </w:r>
      <w:r>
        <w:t xml:space="preserve">or more treatments in clinical development does not reach the market, the full infrastructure costs would not be captured, meaning treatments that did reach the market would have </w:t>
      </w:r>
      <w:r w:rsidR="00FC583E">
        <w:t>cost-effectiveness estimates that do</w:t>
      </w:r>
      <w:r>
        <w:t xml:space="preserve"> not accurately reflect </w:t>
      </w:r>
      <w:r w:rsidR="009F6F65">
        <w:t xml:space="preserve">their </w:t>
      </w:r>
      <w:r>
        <w:t>opportunity cost</w:t>
      </w:r>
      <w:r w:rsidR="009F6F65">
        <w:t>s</w:t>
      </w:r>
      <w:r>
        <w:t xml:space="preserve"> to the NHS. This issue is especially </w:t>
      </w:r>
      <w:r w:rsidR="00DD683D">
        <w:t>important</w:t>
      </w:r>
      <w:r>
        <w:t xml:space="preserve"> in cases where there are only a few treatments in clinical development.</w:t>
      </w:r>
      <w:r w:rsidR="00DD683D">
        <w:t xml:space="preserve"> </w:t>
      </w:r>
      <w:r>
        <w:t>For example, if only 2</w:t>
      </w:r>
      <w:r w:rsidR="00DD683D">
        <w:t> </w:t>
      </w:r>
      <w:r>
        <w:t xml:space="preserve">treatments are expected to market, the first-in-class evaluation may attribute 50% of total infrastructure costs to the treatment under evaluation. But if the second-in-class treatment does not receive regulatory approval and therefore does not reach a NICE </w:t>
      </w:r>
      <w:r w:rsidR="0038223D">
        <w:t xml:space="preserve">technology </w:t>
      </w:r>
      <w:r>
        <w:t xml:space="preserve">appraisal, then 50% of infrastructure costs would </w:t>
      </w:r>
      <w:r w:rsidR="00203236">
        <w:t>go un</w:t>
      </w:r>
      <w:r>
        <w:t xml:space="preserve">captured </w:t>
      </w:r>
      <w:r w:rsidR="00203236">
        <w:t xml:space="preserve">across NICE </w:t>
      </w:r>
      <w:r w:rsidR="007C1029">
        <w:t>evaluation</w:t>
      </w:r>
      <w:r w:rsidR="00203236">
        <w:t>s</w:t>
      </w:r>
      <w:r>
        <w:t xml:space="preserve">. This example assumes that both treatments would receive half of the market; in practice, uptake over time and between competing technologies may be difficult to predict. There is also a potential risk that cost apportionment might discourage small or emerging pharmaceutical companies with relatively limited resources, if they are concerned about having to include an inaccurate or a disproportionate share of infrastructure costs in their evaluation. This could lead to a reluctance to innovate. </w:t>
      </w:r>
    </w:p>
    <w:p w14:paraId="19BF9867" w14:textId="4AEF46E6" w:rsidR="00B371C9" w:rsidRDefault="005A7295" w:rsidP="009C1AE3">
      <w:pPr>
        <w:pStyle w:val="Paragraph"/>
      </w:pPr>
      <w:r>
        <w:t xml:space="preserve">When considering potential alternative approaches to cost apportionment, NHS England indicated that </w:t>
      </w:r>
      <w:r w:rsidR="009B0620">
        <w:t xml:space="preserve">for some indications, tariff costs exist that </w:t>
      </w:r>
      <w:r w:rsidR="004112F1">
        <w:t xml:space="preserve">are designed to capture </w:t>
      </w:r>
      <w:r w:rsidR="0063366D">
        <w:t>infrastructure and service redesign costs on a per-patient basis</w:t>
      </w:r>
      <w:r w:rsidR="2A8EA3A0">
        <w:t>, for the purpose of accurately reimbursing healthcare providers</w:t>
      </w:r>
      <w:r w:rsidR="0063366D">
        <w:t>.</w:t>
      </w:r>
      <w:r w:rsidR="00DF3E26">
        <w:t xml:space="preserve"> </w:t>
      </w:r>
      <w:r w:rsidR="2B8E32F0">
        <w:t>Tariff costs have been used in some NICE technology appraisals, notabl</w:t>
      </w:r>
      <w:r w:rsidR="00FA120F">
        <w:t>y</w:t>
      </w:r>
      <w:r w:rsidR="2B8E32F0">
        <w:t xml:space="preserve"> for C</w:t>
      </w:r>
      <w:r w:rsidR="07E95505">
        <w:t>AR</w:t>
      </w:r>
      <w:r w:rsidR="007C1029">
        <w:noBreakHyphen/>
      </w:r>
      <w:r w:rsidR="2B8E32F0">
        <w:t>T</w:t>
      </w:r>
      <w:r w:rsidR="00FA120F">
        <w:t xml:space="preserve"> therapies</w:t>
      </w:r>
      <w:r w:rsidR="07292517">
        <w:t xml:space="preserve"> (</w:t>
      </w:r>
      <w:r w:rsidR="00E828B2">
        <w:t>for example</w:t>
      </w:r>
      <w:r w:rsidR="07292517">
        <w:t xml:space="preserve">, </w:t>
      </w:r>
      <w:hyperlink r:id="rId34" w:history="1">
        <w:r w:rsidR="07292517" w:rsidRPr="101F67CB">
          <w:rPr>
            <w:rStyle w:val="Hyperlink"/>
          </w:rPr>
          <w:t>TA683</w:t>
        </w:r>
      </w:hyperlink>
      <w:r w:rsidR="07292517">
        <w:t>)</w:t>
      </w:r>
      <w:r w:rsidR="00FA120F">
        <w:t>.</w:t>
      </w:r>
      <w:r w:rsidR="00DF3E26">
        <w:t xml:space="preserve"> If </w:t>
      </w:r>
      <w:r w:rsidR="001D24B4">
        <w:t xml:space="preserve">evaluations </w:t>
      </w:r>
      <w:r w:rsidR="007C1029">
        <w:t xml:space="preserve">in which </w:t>
      </w:r>
      <w:r w:rsidR="001D24B4">
        <w:t xml:space="preserve">such costs are </w:t>
      </w:r>
      <w:r w:rsidR="001D24B4">
        <w:lastRenderedPageBreak/>
        <w:t xml:space="preserve">important can be identified up front, and tariff costs can either be provided by NHS England or </w:t>
      </w:r>
      <w:r w:rsidR="00FD5175">
        <w:t xml:space="preserve">constructed by the submitting organisation </w:t>
      </w:r>
      <w:r w:rsidR="007C1029">
        <w:t xml:space="preserve">after </w:t>
      </w:r>
      <w:r w:rsidR="00CA051B">
        <w:t>clear guidance</w:t>
      </w:r>
      <w:r w:rsidR="008924E1">
        <w:t xml:space="preserve"> on how to do so, this might allow per-patient infrastructure costs to be agreed during an </w:t>
      </w:r>
      <w:r w:rsidR="007C1029">
        <w:t>evaluation</w:t>
      </w:r>
      <w:r w:rsidR="008924E1">
        <w:t xml:space="preserve">. </w:t>
      </w:r>
      <w:r w:rsidR="482B3CC5">
        <w:t xml:space="preserve">Such costs could then simply be included in the incremental costs associated with the new technology, removing the need to apportion aggregate infrastructure costs across multiple </w:t>
      </w:r>
      <w:r w:rsidR="007C1029">
        <w:t>evaluations</w:t>
      </w:r>
      <w:r w:rsidR="482B3CC5">
        <w:t xml:space="preserve">. </w:t>
      </w:r>
      <w:r w:rsidR="007C1029">
        <w:t>But</w:t>
      </w:r>
      <w:r w:rsidR="00BE343F">
        <w:t xml:space="preserve"> </w:t>
      </w:r>
      <w:r w:rsidR="00437C25">
        <w:t xml:space="preserve">such guidance does not presently exist, and NHS tariff costs </w:t>
      </w:r>
      <w:r w:rsidR="009870BA">
        <w:t xml:space="preserve">and the methods underpinning how they </w:t>
      </w:r>
      <w:r w:rsidR="007C1029">
        <w:t xml:space="preserve">are </w:t>
      </w:r>
      <w:r w:rsidR="009870BA">
        <w:t>derived should be transparently reported</w:t>
      </w:r>
      <w:r w:rsidR="008D260E">
        <w:t>.</w:t>
      </w:r>
    </w:p>
    <w:p w14:paraId="31DBCC21" w14:textId="6C7BE87F" w:rsidR="000774A3" w:rsidRPr="004E0E6A" w:rsidRDefault="000774A3" w:rsidP="009C1AE3">
      <w:pPr>
        <w:pStyle w:val="Paragraph"/>
      </w:pPr>
      <w:r>
        <w:t xml:space="preserve">Finally, we heard that there </w:t>
      </w:r>
      <w:r w:rsidR="00EB604B">
        <w:t>may be</w:t>
      </w:r>
      <w:r w:rsidR="00FB1CD9">
        <w:t xml:space="preserve"> </w:t>
      </w:r>
      <w:r w:rsidR="00EB604B">
        <w:t>fundamental</w:t>
      </w:r>
      <w:r w:rsidR="00FB1CD9">
        <w:t xml:space="preserve"> </w:t>
      </w:r>
      <w:r w:rsidR="00EB604B">
        <w:t>questions relating to</w:t>
      </w:r>
      <w:r w:rsidR="00FB1CD9">
        <w:t xml:space="preserve"> </w:t>
      </w:r>
      <w:r w:rsidR="00EB604B">
        <w:t>whether NICE should</w:t>
      </w:r>
      <w:r w:rsidR="00FB1CD9">
        <w:t xml:space="preserve"> </w:t>
      </w:r>
      <w:r w:rsidR="00EB604B">
        <w:t>include all infrastructure and similar</w:t>
      </w:r>
      <w:r w:rsidR="00FB1CD9">
        <w:t xml:space="preserve"> costs</w:t>
      </w:r>
      <w:r w:rsidR="00EB604B">
        <w:t xml:space="preserve"> in an evaluation</w:t>
      </w:r>
      <w:r w:rsidR="00FB1CD9">
        <w:t xml:space="preserve">. If </w:t>
      </w:r>
      <w:r w:rsidR="003379FD">
        <w:t>a diagnostic, treatment or monitoring service does not exist, and the advent of promising technology means the NHS should invest in those services, then it is likely that some health benefit</w:t>
      </w:r>
      <w:r w:rsidR="007C1029">
        <w:t>s</w:t>
      </w:r>
      <w:r w:rsidR="003379FD">
        <w:t xml:space="preserve"> </w:t>
      </w:r>
      <w:r w:rsidR="00222063">
        <w:t xml:space="preserve">for patients </w:t>
      </w:r>
      <w:r w:rsidR="007C1029">
        <w:t xml:space="preserve">will arise </w:t>
      </w:r>
      <w:r w:rsidR="00222063">
        <w:t xml:space="preserve">from the new services, in addition to the benefit from the treatment itself. </w:t>
      </w:r>
      <w:r w:rsidR="006855FF">
        <w:t>How to quantify those relative benefits, and the extent to which the NHS or technology developing companies should be expected to pay for them,</w:t>
      </w:r>
      <w:r w:rsidR="007E763C">
        <w:t xml:space="preserve"> </w:t>
      </w:r>
      <w:r w:rsidR="00A52262">
        <w:t>could be considered</w:t>
      </w:r>
      <w:r w:rsidR="007C1029">
        <w:t>. F</w:t>
      </w:r>
      <w:r w:rsidR="00C85BD3">
        <w:t xml:space="preserve">or example, </w:t>
      </w:r>
      <w:r w:rsidR="00585046">
        <w:t xml:space="preserve">per-patient </w:t>
      </w:r>
      <w:r w:rsidR="00312820">
        <w:t xml:space="preserve">tariff costs </w:t>
      </w:r>
      <w:r w:rsidR="00585046">
        <w:t xml:space="preserve">may </w:t>
      </w:r>
      <w:r w:rsidR="008814D7">
        <w:t>provide a way to ensure</w:t>
      </w:r>
      <w:r w:rsidR="00312820">
        <w:t xml:space="preserve"> </w:t>
      </w:r>
      <w:r w:rsidR="001F7D6F">
        <w:t xml:space="preserve">only the </w:t>
      </w:r>
      <w:r w:rsidR="008814D7">
        <w:t xml:space="preserve">new infrastructure or service </w:t>
      </w:r>
      <w:r w:rsidR="001F7D6F">
        <w:t>capacity used by the technology under evaluation</w:t>
      </w:r>
      <w:r w:rsidR="00BE5D37">
        <w:t xml:space="preserve"> </w:t>
      </w:r>
      <w:r w:rsidR="008814D7">
        <w:t>is</w:t>
      </w:r>
      <w:r w:rsidR="00BE5D37">
        <w:t xml:space="preserve"> included</w:t>
      </w:r>
      <w:r w:rsidR="008814D7">
        <w:t xml:space="preserve"> in its evaluation</w:t>
      </w:r>
      <w:r w:rsidR="00A52262">
        <w:t>.</w:t>
      </w:r>
    </w:p>
    <w:p w14:paraId="2D0D0887" w14:textId="6D167B69" w:rsidR="095528BD" w:rsidRDefault="095528BD" w:rsidP="00F93F21">
      <w:pPr>
        <w:pStyle w:val="Numberedheading1"/>
      </w:pPr>
      <w:bookmarkStart w:id="37" w:name="_Toc194494046"/>
      <w:r>
        <w:t>Conclusion</w:t>
      </w:r>
      <w:bookmarkEnd w:id="37"/>
      <w:r>
        <w:t xml:space="preserve"> </w:t>
      </w:r>
    </w:p>
    <w:p w14:paraId="26C6FDC3" w14:textId="6F97C1E5" w:rsidR="0009574E" w:rsidRDefault="0009574E" w:rsidP="0009574E">
      <w:pPr>
        <w:pStyle w:val="NICEnormal"/>
      </w:pPr>
      <w:r>
        <w:t xml:space="preserve">This </w:t>
      </w:r>
      <w:r w:rsidR="002C0687">
        <w:t xml:space="preserve">short </w:t>
      </w:r>
      <w:r>
        <w:t xml:space="preserve">HTA </w:t>
      </w:r>
      <w:r w:rsidR="002C0687">
        <w:t>L</w:t>
      </w:r>
      <w:r>
        <w:t xml:space="preserve">ab report </w:t>
      </w:r>
      <w:r w:rsidR="002C0687">
        <w:t xml:space="preserve">outlines </w:t>
      </w:r>
      <w:r>
        <w:t xml:space="preserve">the </w:t>
      </w:r>
      <w:r w:rsidR="6FB95C91">
        <w:t xml:space="preserve">considerations associated with </w:t>
      </w:r>
      <w:r w:rsidR="007C1029">
        <w:t>using</w:t>
      </w:r>
      <w:r w:rsidR="005D762E">
        <w:t xml:space="preserve"> </w:t>
      </w:r>
      <w:r>
        <w:t xml:space="preserve">cost apportionment </w:t>
      </w:r>
      <w:r w:rsidR="005D762E">
        <w:t>as a</w:t>
      </w:r>
      <w:r w:rsidR="00E551E0">
        <w:t xml:space="preserve"> potential</w:t>
      </w:r>
      <w:r w:rsidR="005D762E">
        <w:t xml:space="preserve"> approach for capturing new </w:t>
      </w:r>
      <w:r>
        <w:t>infrastructure</w:t>
      </w:r>
      <w:r w:rsidR="005D762E">
        <w:t xml:space="preserve"> and service redesign costs</w:t>
      </w:r>
      <w:r>
        <w:t xml:space="preserve"> in economic analys</w:t>
      </w:r>
      <w:r w:rsidR="005D762E">
        <w:t>e</w:t>
      </w:r>
      <w:r>
        <w:t>s</w:t>
      </w:r>
      <w:r w:rsidR="005D762E">
        <w:t>, where relevant.</w:t>
      </w:r>
      <w:r w:rsidR="00310155">
        <w:t xml:space="preserve"> </w:t>
      </w:r>
    </w:p>
    <w:p w14:paraId="39057935" w14:textId="77460CD9" w:rsidR="00E551E0" w:rsidRDefault="0009574E" w:rsidP="0009574E">
      <w:pPr>
        <w:pStyle w:val="NICEnormal"/>
      </w:pPr>
      <w:r>
        <w:t xml:space="preserve">Currently, the NICE methods manual does not include </w:t>
      </w:r>
      <w:r w:rsidR="2FB719CD">
        <w:t xml:space="preserve">detailed </w:t>
      </w:r>
      <w:r>
        <w:t xml:space="preserve">guidance on dealing with any potential disadvantages incremental analyses might generate for the first-in-class treatment or next-in-class treatments developed shortly after. </w:t>
      </w:r>
      <w:r w:rsidR="00990324">
        <w:t>C</w:t>
      </w:r>
      <w:r>
        <w:t>ost</w:t>
      </w:r>
      <w:r w:rsidR="00090D68">
        <w:t>-</w:t>
      </w:r>
      <w:r>
        <w:t xml:space="preserve">apportionment methods </w:t>
      </w:r>
      <w:r w:rsidR="00990324">
        <w:t>have not been widely</w:t>
      </w:r>
      <w:r>
        <w:t xml:space="preserve"> adopted in </w:t>
      </w:r>
      <w:r w:rsidR="00990324">
        <w:t xml:space="preserve">previous NICE </w:t>
      </w:r>
      <w:r w:rsidR="007C1029">
        <w:t>evaluation</w:t>
      </w:r>
      <w:r w:rsidR="00990324">
        <w:t>s</w:t>
      </w:r>
      <w:r w:rsidR="001B7493">
        <w:t xml:space="preserve"> (including the recent Alzheimer’s disease </w:t>
      </w:r>
      <w:r w:rsidR="007C1029">
        <w:t>evaluation</w:t>
      </w:r>
      <w:r w:rsidR="001B7493">
        <w:t>s)</w:t>
      </w:r>
      <w:r w:rsidR="00990324">
        <w:t xml:space="preserve">, and </w:t>
      </w:r>
      <w:r w:rsidR="000C14D8">
        <w:t>we are not aware of any guidance on the approach from oth</w:t>
      </w:r>
      <w:r>
        <w:t xml:space="preserve">er HTA </w:t>
      </w:r>
      <w:r w:rsidR="000C14D8">
        <w:t>organisations</w:t>
      </w:r>
      <w:r>
        <w:t>.</w:t>
      </w:r>
      <w:r w:rsidR="00AA4E70">
        <w:t xml:space="preserve"> </w:t>
      </w:r>
    </w:p>
    <w:p w14:paraId="371A7B38" w14:textId="3E7E4664" w:rsidR="00653B37" w:rsidRDefault="007C1029" w:rsidP="62574653">
      <w:pPr>
        <w:pStyle w:val="NICEnormal"/>
      </w:pPr>
      <w:r>
        <w:lastRenderedPageBreak/>
        <w:t xml:space="preserve">Although </w:t>
      </w:r>
      <w:r w:rsidR="004060D9">
        <w:t xml:space="preserve">it </w:t>
      </w:r>
      <w:r>
        <w:t>has</w:t>
      </w:r>
      <w:r w:rsidR="3A339EDA">
        <w:t xml:space="preserve"> </w:t>
      </w:r>
      <w:r w:rsidR="004060D9">
        <w:t>the potential to remove a</w:t>
      </w:r>
      <w:r w:rsidR="00BE329D">
        <w:t>n unfair</w:t>
      </w:r>
      <w:r w:rsidR="004060D9">
        <w:t xml:space="preserve"> first-mover disadvantage, by spreading</w:t>
      </w:r>
      <w:r w:rsidR="00BE329D">
        <w:t xml:space="preserve"> relevant high costs across multiple </w:t>
      </w:r>
      <w:r>
        <w:t>evaluation</w:t>
      </w:r>
      <w:r w:rsidR="00BE329D">
        <w:t xml:space="preserve">s, it is clearly challenging to implement and relies on inherently uncertain information, such as </w:t>
      </w:r>
      <w:r w:rsidR="006E0AA3">
        <w:t>the number of treatments that will reach the market and project</w:t>
      </w:r>
      <w:r w:rsidR="6991FC69">
        <w:t>ed</w:t>
      </w:r>
      <w:r w:rsidR="006E0AA3">
        <w:t xml:space="preserve"> market shares.</w:t>
      </w:r>
      <w:r w:rsidR="00E551E0">
        <w:t xml:space="preserve"> </w:t>
      </w:r>
      <w:r w:rsidR="0009574E">
        <w:t xml:space="preserve">As a result, </w:t>
      </w:r>
      <w:r w:rsidR="006E0AA3">
        <w:t xml:space="preserve">we consider that </w:t>
      </w:r>
      <w:r w:rsidR="0009574E">
        <w:t xml:space="preserve">there </w:t>
      </w:r>
      <w:r w:rsidR="00AA4E70">
        <w:t xml:space="preserve">may be </w:t>
      </w:r>
      <w:r w:rsidR="0009574E">
        <w:t xml:space="preserve">value in </w:t>
      </w:r>
      <w:r w:rsidR="006E0AA3">
        <w:t>a more detailed review of the methods used to include high infrastructure and service redesign costs in technology evaluations, and the</w:t>
      </w:r>
      <w:r w:rsidR="46ECCB67">
        <w:t xml:space="preserve"> appropriate</w:t>
      </w:r>
      <w:r w:rsidR="006E0AA3">
        <w:t xml:space="preserve"> role </w:t>
      </w:r>
      <w:r w:rsidR="7A59A2FA">
        <w:t xml:space="preserve">(if any) </w:t>
      </w:r>
      <w:r w:rsidR="006E0AA3">
        <w:t xml:space="preserve">of </w:t>
      </w:r>
      <w:r w:rsidR="0009574E">
        <w:t>cost</w:t>
      </w:r>
      <w:r w:rsidR="00090D68">
        <w:t>-</w:t>
      </w:r>
      <w:r w:rsidR="0009574E">
        <w:t xml:space="preserve">apportionment methods </w:t>
      </w:r>
      <w:r w:rsidR="006E0AA3">
        <w:t xml:space="preserve">within that. </w:t>
      </w:r>
      <w:r w:rsidR="003F6A30">
        <w:t>In the context of pipelines of fast-following technologies, this could establish the appropriateness of the cost</w:t>
      </w:r>
      <w:r w:rsidR="00090D68">
        <w:t>-</w:t>
      </w:r>
      <w:r w:rsidR="003F6A30">
        <w:t xml:space="preserve">apportionment method and </w:t>
      </w:r>
      <w:r w:rsidR="006F51C7">
        <w:t xml:space="preserve">inform </w:t>
      </w:r>
      <w:r w:rsidR="003F6A30">
        <w:t xml:space="preserve">how it should be implemented. </w:t>
      </w:r>
      <w:r w:rsidR="00111A7F">
        <w:t xml:space="preserve">Additionally, outside of the context of DMDTs, situations where the infrastructure associated with a single technology </w:t>
      </w:r>
      <w:r w:rsidR="00944267">
        <w:t xml:space="preserve">that is used for multiple </w:t>
      </w:r>
      <w:r w:rsidR="00A625D9">
        <w:t>indications</w:t>
      </w:r>
      <w:r w:rsidR="00944267">
        <w:t xml:space="preserve"> could </w:t>
      </w:r>
      <w:r w:rsidR="337089C2">
        <w:t xml:space="preserve">also </w:t>
      </w:r>
      <w:r w:rsidR="00944267">
        <w:t xml:space="preserve">be considered. </w:t>
      </w:r>
    </w:p>
    <w:p w14:paraId="126E0B13" w14:textId="19B009B4" w:rsidR="00373E7F" w:rsidRPr="00373E7F" w:rsidRDefault="00527AC7" w:rsidP="0009574E">
      <w:pPr>
        <w:pStyle w:val="NICEnormal"/>
      </w:pPr>
      <w:r>
        <w:t>If t</w:t>
      </w:r>
      <w:r w:rsidR="75D8EEC9">
        <w:t xml:space="preserve">he proposed work </w:t>
      </w:r>
      <w:r>
        <w:t xml:space="preserve">identifies a need for further guidance on how to capture infrastructure costs, then </w:t>
      </w:r>
      <w:r w:rsidR="207DE44F">
        <w:t>d</w:t>
      </w:r>
      <w:r>
        <w:t>evelop</w:t>
      </w:r>
      <w:r w:rsidR="3CE29E7F">
        <w:t>ing</w:t>
      </w:r>
      <w:r>
        <w:t xml:space="preserve"> such guidance with key stakeholders would help to </w:t>
      </w:r>
      <w:r w:rsidR="000774A3">
        <w:t xml:space="preserve">support </w:t>
      </w:r>
      <w:r w:rsidR="0009574E">
        <w:t>a fair</w:t>
      </w:r>
      <w:r w:rsidR="000774A3">
        <w:t>, accurate and consistent approach.</w:t>
      </w:r>
    </w:p>
    <w:p w14:paraId="5C0FB48F" w14:textId="1CEDC0C8" w:rsidR="006A14A8" w:rsidRDefault="00E57AE6" w:rsidP="00F93F21">
      <w:pPr>
        <w:pStyle w:val="Numberedheading1"/>
      </w:pPr>
      <w:bookmarkStart w:id="38" w:name="_Toc194494047"/>
      <w:r>
        <w:t>Project team</w:t>
      </w:r>
      <w:bookmarkEnd w:id="38"/>
      <w:r>
        <w:t xml:space="preserve"> </w:t>
      </w:r>
    </w:p>
    <w:p w14:paraId="425E5182" w14:textId="25862C1D" w:rsidR="00C7018E" w:rsidRDefault="00C7018E" w:rsidP="00C7018E">
      <w:pPr>
        <w:pStyle w:val="NICEnormal"/>
      </w:pPr>
      <w:r w:rsidRPr="00C7018E">
        <w:t xml:space="preserve">Jamie Elvidge, </w:t>
      </w:r>
      <w:r w:rsidR="00034A9E">
        <w:t xml:space="preserve">senior </w:t>
      </w:r>
      <w:r w:rsidRPr="00C7018E">
        <w:t xml:space="preserve">scientific adviser, Science Policy and Research </w:t>
      </w:r>
    </w:p>
    <w:p w14:paraId="101D91DE" w14:textId="77777777" w:rsidR="00034A9E" w:rsidRDefault="00034A9E" w:rsidP="00034A9E">
      <w:pPr>
        <w:pStyle w:val="NICEnormal"/>
      </w:pPr>
      <w:r w:rsidRPr="00C7018E">
        <w:t xml:space="preserve">Tuba </w:t>
      </w:r>
      <w:proofErr w:type="spellStart"/>
      <w:r w:rsidRPr="00C7018E">
        <w:t>Saygın</w:t>
      </w:r>
      <w:proofErr w:type="spellEnd"/>
      <w:r w:rsidRPr="00C7018E">
        <w:t xml:space="preserve"> Avşar, scientific adviser, Science Policy and Research  </w:t>
      </w:r>
    </w:p>
    <w:p w14:paraId="6DC2D4C5" w14:textId="77777777" w:rsidR="00C7018E" w:rsidRDefault="00C7018E" w:rsidP="00C7018E">
      <w:pPr>
        <w:pStyle w:val="NICEnormal"/>
      </w:pPr>
      <w:r w:rsidRPr="00C7018E">
        <w:t xml:space="preserve">Michael Bell, senior analyst, Science Policy and Research </w:t>
      </w:r>
    </w:p>
    <w:p w14:paraId="253CC297" w14:textId="686724F1" w:rsidR="00AD3B77" w:rsidRPr="00AD3B77" w:rsidRDefault="00C7018E" w:rsidP="00C7018E">
      <w:pPr>
        <w:pStyle w:val="NICEnormal"/>
      </w:pPr>
      <w:r w:rsidRPr="00C7018E">
        <w:t>Dalia Dawoud, associate director</w:t>
      </w:r>
      <w:r w:rsidR="00034A9E">
        <w:t xml:space="preserve"> (research)</w:t>
      </w:r>
      <w:r w:rsidRPr="00C7018E">
        <w:t>, Science Policy and Research</w:t>
      </w:r>
    </w:p>
    <w:p w14:paraId="14C3C19A" w14:textId="70161CC0" w:rsidR="00E57AE6" w:rsidRDefault="00E57AE6" w:rsidP="00F93F21">
      <w:pPr>
        <w:pStyle w:val="Numberedheading1"/>
      </w:pPr>
      <w:bookmarkStart w:id="39" w:name="_Toc194494048"/>
      <w:r>
        <w:t>Acknowledgements</w:t>
      </w:r>
      <w:bookmarkEnd w:id="39"/>
      <w:r>
        <w:t xml:space="preserve"> </w:t>
      </w:r>
    </w:p>
    <w:p w14:paraId="401B239B" w14:textId="71D03107" w:rsidR="00E84D54" w:rsidRDefault="005B307F" w:rsidP="00E84D54">
      <w:pPr>
        <w:pStyle w:val="NICEnormal"/>
      </w:pPr>
      <w:r>
        <w:t>HTA Lab dementia working group</w:t>
      </w:r>
      <w:r w:rsidR="00885543">
        <w:t xml:space="preserve"> members.</w:t>
      </w:r>
    </w:p>
    <w:p w14:paraId="25FB1319" w14:textId="773C6CB6" w:rsidR="005B307F" w:rsidRPr="00E84D54" w:rsidRDefault="005B307F" w:rsidP="00E84D54">
      <w:pPr>
        <w:pStyle w:val="NICEnormal"/>
      </w:pPr>
      <w:r>
        <w:t>NHS England</w:t>
      </w:r>
      <w:r w:rsidR="00C82DAD">
        <w:t>.</w:t>
      </w:r>
    </w:p>
    <w:p w14:paraId="0475B1BD" w14:textId="1516A123" w:rsidR="00E57AE6" w:rsidRDefault="00E57AE6" w:rsidP="00F93F21">
      <w:pPr>
        <w:pStyle w:val="Numberedheading1"/>
      </w:pPr>
      <w:bookmarkStart w:id="40" w:name="_Toc194494049"/>
      <w:r>
        <w:lastRenderedPageBreak/>
        <w:t>References</w:t>
      </w:r>
      <w:bookmarkEnd w:id="40"/>
    </w:p>
    <w:p w14:paraId="3696323A" w14:textId="05BE2662" w:rsidR="00121290" w:rsidRDefault="00185B1F" w:rsidP="009B780D">
      <w:pPr>
        <w:pStyle w:val="NICEnormal"/>
      </w:pPr>
      <w:r w:rsidRPr="00185B1F">
        <w:t xml:space="preserve">Cummings J, Lee G, Nahed P, et al. </w:t>
      </w:r>
      <w:r w:rsidR="000C744B">
        <w:t>(</w:t>
      </w:r>
      <w:r w:rsidRPr="00185B1F">
        <w:t>2022</w:t>
      </w:r>
      <w:r w:rsidR="000C744B">
        <w:t>)</w:t>
      </w:r>
      <w:r w:rsidRPr="00185B1F">
        <w:t xml:space="preserve"> </w:t>
      </w:r>
      <w:hyperlink r:id="rId35" w:history="1">
        <w:r w:rsidRPr="008B3870">
          <w:rPr>
            <w:rStyle w:val="Hyperlink"/>
          </w:rPr>
          <w:t>Alzheimer's disease drug development pipeline: 2022</w:t>
        </w:r>
      </w:hyperlink>
      <w:r w:rsidR="00A36686">
        <w:t xml:space="preserve">. </w:t>
      </w:r>
      <w:r w:rsidR="00CF2868">
        <w:t xml:space="preserve">Alzheimer’s &amp; Dementia: Translational Research &amp; Clinical Interventions 8: </w:t>
      </w:r>
      <w:r w:rsidR="006E14E2" w:rsidRPr="006E14E2">
        <w:t>e12295</w:t>
      </w:r>
      <w:hyperlink r:id="rId36" w:history="1"/>
    </w:p>
    <w:p w14:paraId="7DCF5B3B" w14:textId="72201956" w:rsidR="00645288" w:rsidRPr="00E9664A" w:rsidRDefault="00645288" w:rsidP="00E9664A">
      <w:pPr>
        <w:pStyle w:val="NICEnormal"/>
      </w:pPr>
      <w:r w:rsidRPr="00B1334E">
        <w:rPr>
          <w:rStyle w:val="normaltextrun"/>
        </w:rPr>
        <w:t>Canadian Agency for Drugs and Technologies in Health (2017</w:t>
      </w:r>
      <w:r w:rsidR="00E9664A">
        <w:rPr>
          <w:rStyle w:val="normaltextrun"/>
        </w:rPr>
        <w:t>)</w:t>
      </w:r>
      <w:r w:rsidRPr="00B1334E">
        <w:rPr>
          <w:rStyle w:val="normaltextrun"/>
        </w:rPr>
        <w:t xml:space="preserve"> </w:t>
      </w:r>
      <w:hyperlink r:id="rId37" w:history="1">
        <w:r w:rsidRPr="009C06BC">
          <w:rPr>
            <w:rStyle w:val="Hyperlink"/>
          </w:rPr>
          <w:t>Guidelines for the Economic Evaluation of Health Technologies: Canada 4th Edition</w:t>
        </w:r>
      </w:hyperlink>
      <w:r w:rsidRPr="00B1334E">
        <w:rPr>
          <w:rStyle w:val="normaltextrun"/>
        </w:rPr>
        <w:t>. [</w:t>
      </w:r>
      <w:r w:rsidR="00163878">
        <w:rPr>
          <w:rStyle w:val="normaltextrun"/>
        </w:rPr>
        <w:t>online; accessed</w:t>
      </w:r>
      <w:r w:rsidR="00163878" w:rsidRPr="00B1334E">
        <w:rPr>
          <w:rStyle w:val="normaltextrun"/>
        </w:rPr>
        <w:t xml:space="preserve"> </w:t>
      </w:r>
      <w:r w:rsidR="00163878">
        <w:rPr>
          <w:rStyle w:val="normaltextrun"/>
        </w:rPr>
        <w:t xml:space="preserve">6 </w:t>
      </w:r>
      <w:r w:rsidR="00163878" w:rsidRPr="00E9664A">
        <w:t xml:space="preserve">December </w:t>
      </w:r>
      <w:r w:rsidRPr="00E9664A">
        <w:t xml:space="preserve">2023] </w:t>
      </w:r>
    </w:p>
    <w:p w14:paraId="24964256" w14:textId="591F6309" w:rsidR="00A97A1E" w:rsidRPr="00E9664A" w:rsidRDefault="00A97A1E" w:rsidP="00A97A1E">
      <w:pPr>
        <w:pStyle w:val="Paragraph"/>
        <w:rPr>
          <w:rStyle w:val="NICEnormalChar"/>
        </w:rPr>
      </w:pPr>
      <w:r w:rsidRPr="00B1334E">
        <w:rPr>
          <w:rStyle w:val="normaltextrun"/>
        </w:rPr>
        <w:t>Haute Autorité de Santé (2022</w:t>
      </w:r>
      <w:r w:rsidR="00E9664A">
        <w:rPr>
          <w:rStyle w:val="normaltextrun"/>
        </w:rPr>
        <w:t>)</w:t>
      </w:r>
      <w:r w:rsidRPr="00B1334E">
        <w:rPr>
          <w:rStyle w:val="normaltextrun"/>
        </w:rPr>
        <w:t xml:space="preserve"> </w:t>
      </w:r>
      <w:hyperlink r:id="rId38" w:history="1">
        <w:r w:rsidRPr="003D638B">
          <w:rPr>
            <w:rStyle w:val="Hyperlink"/>
          </w:rPr>
          <w:t>Choices in Methods for Economic Evaluation</w:t>
        </w:r>
      </w:hyperlink>
      <w:r w:rsidRPr="00B1334E">
        <w:rPr>
          <w:rStyle w:val="normaltextrun"/>
        </w:rPr>
        <w:t xml:space="preserve"> [</w:t>
      </w:r>
      <w:r w:rsidR="003D638B">
        <w:rPr>
          <w:rStyle w:val="normaltextrun"/>
        </w:rPr>
        <w:t>online; accessed</w:t>
      </w:r>
      <w:r w:rsidR="003D638B" w:rsidRPr="00B1334E">
        <w:rPr>
          <w:rStyle w:val="normaltextrun"/>
        </w:rPr>
        <w:t xml:space="preserve"> </w:t>
      </w:r>
      <w:r w:rsidR="003D638B">
        <w:rPr>
          <w:rStyle w:val="NICEnormalChar"/>
        </w:rPr>
        <w:t xml:space="preserve">6 December </w:t>
      </w:r>
      <w:r w:rsidRPr="00E9664A">
        <w:rPr>
          <w:rStyle w:val="NICEnormalChar"/>
        </w:rPr>
        <w:t>2023]</w:t>
      </w:r>
    </w:p>
    <w:p w14:paraId="337B95D0" w14:textId="2BD9DF5E" w:rsidR="00A97A1E" w:rsidRPr="00E9664A" w:rsidRDefault="00A97A1E" w:rsidP="00A97A1E">
      <w:pPr>
        <w:pStyle w:val="Paragraph"/>
        <w:rPr>
          <w:rStyle w:val="NICEnormalChar"/>
        </w:rPr>
      </w:pPr>
      <w:r w:rsidRPr="00B1334E">
        <w:rPr>
          <w:rStyle w:val="normaltextrun"/>
        </w:rPr>
        <w:t>Health Information and Quality Authority (2020</w:t>
      </w:r>
      <w:r w:rsidR="00E9664A">
        <w:rPr>
          <w:rStyle w:val="normaltextrun"/>
        </w:rPr>
        <w:t>)</w:t>
      </w:r>
      <w:r w:rsidRPr="00B1334E">
        <w:rPr>
          <w:rStyle w:val="normaltextrun"/>
        </w:rPr>
        <w:t xml:space="preserve">. </w:t>
      </w:r>
      <w:hyperlink r:id="rId39" w:history="1">
        <w:r w:rsidRPr="00A53F00">
          <w:rPr>
            <w:rStyle w:val="Hyperlink"/>
          </w:rPr>
          <w:t>Guidelines for the Economic Evaluation of Health Technologies in Ireland</w:t>
        </w:r>
      </w:hyperlink>
      <w:r w:rsidRPr="00B1334E">
        <w:rPr>
          <w:rStyle w:val="normaltextrun"/>
        </w:rPr>
        <w:t xml:space="preserve">. </w:t>
      </w:r>
      <w:r w:rsidRPr="00E9664A">
        <w:rPr>
          <w:rStyle w:val="NICEnormalChar"/>
        </w:rPr>
        <w:t>[</w:t>
      </w:r>
      <w:r w:rsidR="00A53F00">
        <w:rPr>
          <w:rStyle w:val="NICEnormalChar"/>
        </w:rPr>
        <w:t>online; accessed</w:t>
      </w:r>
      <w:r w:rsidR="00A53F00" w:rsidRPr="00E9664A">
        <w:rPr>
          <w:rStyle w:val="NICEnormalChar"/>
        </w:rPr>
        <w:t xml:space="preserve"> </w:t>
      </w:r>
      <w:r w:rsidR="00A53F00">
        <w:rPr>
          <w:rStyle w:val="NICEnormalChar"/>
        </w:rPr>
        <w:t xml:space="preserve">6 December </w:t>
      </w:r>
      <w:r w:rsidRPr="00E9664A">
        <w:rPr>
          <w:rStyle w:val="NICEnormalChar"/>
        </w:rPr>
        <w:t>2023]</w:t>
      </w:r>
    </w:p>
    <w:p w14:paraId="272F2BB9" w14:textId="31EC1390" w:rsidR="00A97A1E" w:rsidRPr="00E9664A" w:rsidRDefault="00A97A1E" w:rsidP="00A97A1E">
      <w:pPr>
        <w:pStyle w:val="Paragraph"/>
        <w:rPr>
          <w:rStyle w:val="NICEnormalChar"/>
        </w:rPr>
      </w:pPr>
      <w:r w:rsidRPr="00B1334E">
        <w:rPr>
          <w:rStyle w:val="normaltextrun"/>
        </w:rPr>
        <w:t>Institute for Quality and Efficiency in Health Care (2022</w:t>
      </w:r>
      <w:r w:rsidR="00E9664A">
        <w:rPr>
          <w:rStyle w:val="normaltextrun"/>
        </w:rPr>
        <w:t>)</w:t>
      </w:r>
      <w:r w:rsidRPr="00B1334E">
        <w:rPr>
          <w:rStyle w:val="normaltextrun"/>
        </w:rPr>
        <w:t xml:space="preserve"> </w:t>
      </w:r>
      <w:hyperlink r:id="rId40" w:history="1">
        <w:r w:rsidRPr="00292CC7">
          <w:rPr>
            <w:rStyle w:val="Hyperlink"/>
          </w:rPr>
          <w:t>General Methods - Version 6.0</w:t>
        </w:r>
      </w:hyperlink>
      <w:r w:rsidRPr="00B1334E">
        <w:rPr>
          <w:rStyle w:val="normaltextrun"/>
        </w:rPr>
        <w:t xml:space="preserve"> [</w:t>
      </w:r>
      <w:r w:rsidR="00292CC7">
        <w:rPr>
          <w:rStyle w:val="normaltextrun"/>
        </w:rPr>
        <w:t>online; accessed</w:t>
      </w:r>
      <w:r w:rsidR="00292CC7" w:rsidRPr="00B1334E">
        <w:rPr>
          <w:rStyle w:val="normaltextrun"/>
        </w:rPr>
        <w:t xml:space="preserve"> </w:t>
      </w:r>
      <w:r w:rsidR="00292CC7">
        <w:rPr>
          <w:rStyle w:val="normaltextrun"/>
        </w:rPr>
        <w:t xml:space="preserve">6 December </w:t>
      </w:r>
      <w:r w:rsidRPr="00E9664A">
        <w:rPr>
          <w:rStyle w:val="NICEnormalChar"/>
        </w:rPr>
        <w:t>2023]</w:t>
      </w:r>
    </w:p>
    <w:p w14:paraId="57AD25E8" w14:textId="6228C0C5" w:rsidR="00A97A1E" w:rsidRPr="00E9664A" w:rsidRDefault="00A97A1E" w:rsidP="00E9664A">
      <w:pPr>
        <w:pStyle w:val="NICEnormal"/>
      </w:pPr>
      <w:proofErr w:type="spellStart"/>
      <w:r w:rsidRPr="00B1334E">
        <w:rPr>
          <w:rStyle w:val="normaltextrun"/>
        </w:rPr>
        <w:t>Lääkkeiden</w:t>
      </w:r>
      <w:proofErr w:type="spellEnd"/>
      <w:r w:rsidRPr="00B1334E">
        <w:rPr>
          <w:rStyle w:val="normaltextrun"/>
        </w:rPr>
        <w:t xml:space="preserve"> </w:t>
      </w:r>
      <w:proofErr w:type="spellStart"/>
      <w:r w:rsidRPr="00B1334E">
        <w:rPr>
          <w:rStyle w:val="normaltextrun"/>
        </w:rPr>
        <w:t>Hintalautakunta</w:t>
      </w:r>
      <w:proofErr w:type="spellEnd"/>
      <w:r w:rsidRPr="00B1334E">
        <w:rPr>
          <w:rStyle w:val="normaltextrun"/>
        </w:rPr>
        <w:t xml:space="preserve"> (Hila) 2019. </w:t>
      </w:r>
      <w:hyperlink r:id="rId41" w:history="1">
        <w:r w:rsidRPr="00364A20">
          <w:rPr>
            <w:rStyle w:val="Hyperlink"/>
          </w:rPr>
          <w:t xml:space="preserve">Preparing A Health Economic Evaluation </w:t>
        </w:r>
        <w:proofErr w:type="gramStart"/>
        <w:r w:rsidRPr="00364A20">
          <w:rPr>
            <w:rStyle w:val="Hyperlink"/>
          </w:rPr>
          <w:t>To</w:t>
        </w:r>
        <w:proofErr w:type="gramEnd"/>
        <w:r w:rsidRPr="00364A20">
          <w:rPr>
            <w:rStyle w:val="Hyperlink"/>
          </w:rPr>
          <w:t xml:space="preserve"> Be Attached To The Application For Reimbursement Status And Wholesale Price For A Medicinal Product</w:t>
        </w:r>
      </w:hyperlink>
      <w:r w:rsidRPr="00B1334E">
        <w:rPr>
          <w:rStyle w:val="normaltextrun"/>
        </w:rPr>
        <w:t xml:space="preserve"> [</w:t>
      </w:r>
      <w:r w:rsidR="00364A20">
        <w:rPr>
          <w:rStyle w:val="normaltextrun"/>
        </w:rPr>
        <w:t>online; accessed</w:t>
      </w:r>
      <w:r w:rsidR="00364A20" w:rsidRPr="00B1334E">
        <w:rPr>
          <w:rStyle w:val="normaltextrun"/>
        </w:rPr>
        <w:t xml:space="preserve"> </w:t>
      </w:r>
      <w:r w:rsidR="00364A20">
        <w:rPr>
          <w:rStyle w:val="normaltextrun"/>
        </w:rPr>
        <w:t xml:space="preserve">6 December </w:t>
      </w:r>
      <w:r w:rsidRPr="00E9664A">
        <w:t>2023]</w:t>
      </w:r>
    </w:p>
    <w:p w14:paraId="2D7CD8EE" w14:textId="068E086F" w:rsidR="00915ED4" w:rsidRDefault="00915ED4" w:rsidP="00EC3048">
      <w:pPr>
        <w:pStyle w:val="NICEnormal"/>
        <w:rPr>
          <w:rStyle w:val="normaltextrun"/>
        </w:rPr>
      </w:pPr>
      <w:r>
        <w:t>Monfared</w:t>
      </w:r>
      <w:r w:rsidRPr="00185B1F">
        <w:t xml:space="preserve"> </w:t>
      </w:r>
      <w:r>
        <w:t>AAT</w:t>
      </w:r>
      <w:r w:rsidRPr="00185B1F">
        <w:t xml:space="preserve">, </w:t>
      </w:r>
      <w:r>
        <w:t>Ye W</w:t>
      </w:r>
      <w:r w:rsidRPr="00185B1F">
        <w:t xml:space="preserve">, </w:t>
      </w:r>
      <w:r w:rsidR="009D71E1">
        <w:t>Sardesai A</w:t>
      </w:r>
      <w:r w:rsidRPr="00185B1F">
        <w:t xml:space="preserve"> </w:t>
      </w:r>
      <w:r>
        <w:t>(</w:t>
      </w:r>
      <w:r w:rsidRPr="00185B1F">
        <w:t>20</w:t>
      </w:r>
      <w:r w:rsidR="009D71E1">
        <w:t>23</w:t>
      </w:r>
      <w:r>
        <w:t>)</w:t>
      </w:r>
      <w:r w:rsidRPr="00185B1F">
        <w:t xml:space="preserve"> </w:t>
      </w:r>
      <w:hyperlink r:id="rId42" w:history="1">
        <w:r w:rsidR="005D12D0">
          <w:rPr>
            <w:rStyle w:val="Hyperlink"/>
          </w:rPr>
          <w:t xml:space="preserve">Estimated societal value of </w:t>
        </w:r>
        <w:proofErr w:type="spellStart"/>
        <w:r w:rsidR="005D12D0">
          <w:rPr>
            <w:rStyle w:val="Hyperlink"/>
          </w:rPr>
          <w:t>lecanemab</w:t>
        </w:r>
        <w:proofErr w:type="spellEnd"/>
        <w:r w:rsidR="005D12D0">
          <w:rPr>
            <w:rStyle w:val="Hyperlink"/>
          </w:rPr>
          <w:t xml:space="preserve"> in patients with early Alzheimer's disease using simulation </w:t>
        </w:r>
        <w:proofErr w:type="spellStart"/>
        <w:r w:rsidR="005D12D0">
          <w:rPr>
            <w:rStyle w:val="Hyperlink"/>
          </w:rPr>
          <w:t>modeling</w:t>
        </w:r>
        <w:proofErr w:type="spellEnd"/>
      </w:hyperlink>
      <w:r w:rsidRPr="00185B1F">
        <w:t xml:space="preserve"> </w:t>
      </w:r>
      <w:r w:rsidR="00820F51">
        <w:t>Neurology &amp; Therapy</w:t>
      </w:r>
      <w:r>
        <w:t xml:space="preserve"> </w:t>
      </w:r>
      <w:r w:rsidR="00EC3048">
        <w:t>12 (3)</w:t>
      </w:r>
      <w:r>
        <w:t xml:space="preserve">: </w:t>
      </w:r>
      <w:r w:rsidR="00EC3048">
        <w:t>795-814</w:t>
      </w:r>
      <w:r>
        <w:t xml:space="preserve"> </w:t>
      </w:r>
      <w:hyperlink r:id="rId43" w:history="1"/>
    </w:p>
    <w:p w14:paraId="28941CFC" w14:textId="1D738DC8" w:rsidR="00A97A1E" w:rsidRPr="00E9664A" w:rsidRDefault="00A97A1E" w:rsidP="00A97A1E">
      <w:pPr>
        <w:pStyle w:val="Paragraph"/>
        <w:rPr>
          <w:rStyle w:val="NICEnormalChar"/>
        </w:rPr>
      </w:pPr>
      <w:r w:rsidRPr="00B1334E">
        <w:rPr>
          <w:rStyle w:val="normaltextrun"/>
        </w:rPr>
        <w:t>National Health Care Institute (2016</w:t>
      </w:r>
      <w:r w:rsidR="00E9664A">
        <w:rPr>
          <w:rStyle w:val="normaltextrun"/>
        </w:rPr>
        <w:t>)</w:t>
      </w:r>
      <w:r w:rsidRPr="00B1334E">
        <w:rPr>
          <w:rStyle w:val="normaltextrun"/>
        </w:rPr>
        <w:t xml:space="preserve"> </w:t>
      </w:r>
      <w:hyperlink r:id="rId44" w:history="1">
        <w:r w:rsidRPr="00843C23">
          <w:rPr>
            <w:rStyle w:val="Hyperlink"/>
          </w:rPr>
          <w:t>Guideline for economic evaluations in healthcare</w:t>
        </w:r>
      </w:hyperlink>
      <w:r w:rsidRPr="00B1334E">
        <w:rPr>
          <w:rStyle w:val="normaltextrun"/>
        </w:rPr>
        <w:t xml:space="preserve"> [</w:t>
      </w:r>
      <w:r w:rsidR="00843C23">
        <w:rPr>
          <w:rStyle w:val="normaltextrun"/>
        </w:rPr>
        <w:t xml:space="preserve">online; </w:t>
      </w:r>
      <w:r w:rsidR="00333725">
        <w:rPr>
          <w:rStyle w:val="normaltextrun"/>
        </w:rPr>
        <w:t xml:space="preserve">accessed </w:t>
      </w:r>
      <w:r w:rsidR="00843C23">
        <w:rPr>
          <w:rStyle w:val="normaltextrun"/>
        </w:rPr>
        <w:t xml:space="preserve">6 December </w:t>
      </w:r>
      <w:r w:rsidRPr="00E9664A">
        <w:rPr>
          <w:rStyle w:val="NICEnormalChar"/>
        </w:rPr>
        <w:t xml:space="preserve">2023] </w:t>
      </w:r>
    </w:p>
    <w:p w14:paraId="5528B202" w14:textId="444AFF1F" w:rsidR="00A97A1E" w:rsidRPr="00E9664A" w:rsidRDefault="00A97A1E" w:rsidP="00A97A1E">
      <w:pPr>
        <w:pStyle w:val="Paragraph"/>
        <w:rPr>
          <w:rStyle w:val="NICEnormalChar"/>
        </w:rPr>
      </w:pPr>
      <w:r w:rsidRPr="00B1334E">
        <w:rPr>
          <w:rStyle w:val="normaltextrun"/>
        </w:rPr>
        <w:t>National Institute for Health and Care Excellence (2022</w:t>
      </w:r>
      <w:r w:rsidR="00E9664A">
        <w:rPr>
          <w:rStyle w:val="normaltextrun"/>
        </w:rPr>
        <w:t>)</w:t>
      </w:r>
      <w:r w:rsidRPr="00B1334E">
        <w:rPr>
          <w:rStyle w:val="normaltextrun"/>
        </w:rPr>
        <w:t xml:space="preserve"> </w:t>
      </w:r>
      <w:hyperlink r:id="rId45" w:history="1">
        <w:r w:rsidR="006F1DE5" w:rsidRPr="006F1DE5">
          <w:rPr>
            <w:rStyle w:val="Hyperlink"/>
          </w:rPr>
          <w:t>NICE he</w:t>
        </w:r>
        <w:r w:rsidRPr="006F1DE5">
          <w:rPr>
            <w:rStyle w:val="Hyperlink"/>
          </w:rPr>
          <w:t>alth technology evaluations: the manual</w:t>
        </w:r>
      </w:hyperlink>
      <w:r w:rsidRPr="00B1334E">
        <w:rPr>
          <w:rStyle w:val="normaltextrun"/>
        </w:rPr>
        <w:t xml:space="preserve"> [</w:t>
      </w:r>
      <w:r w:rsidR="006F1DE5">
        <w:rPr>
          <w:rStyle w:val="normaltextrun"/>
        </w:rPr>
        <w:t>online;</w:t>
      </w:r>
      <w:r w:rsidR="006F1DE5" w:rsidRPr="00B1334E">
        <w:rPr>
          <w:rStyle w:val="normaltextrun"/>
        </w:rPr>
        <w:t xml:space="preserve"> </w:t>
      </w:r>
      <w:r w:rsidR="00333725">
        <w:rPr>
          <w:rStyle w:val="normaltextrun"/>
        </w:rPr>
        <w:t xml:space="preserve">accessed </w:t>
      </w:r>
      <w:r w:rsidR="006F1DE5">
        <w:rPr>
          <w:rStyle w:val="normaltextrun"/>
        </w:rPr>
        <w:t xml:space="preserve">6 December </w:t>
      </w:r>
      <w:r w:rsidRPr="00E9664A">
        <w:rPr>
          <w:rStyle w:val="NICEnormalChar"/>
        </w:rPr>
        <w:t>2023]</w:t>
      </w:r>
    </w:p>
    <w:p w14:paraId="1541D4FD" w14:textId="7DF5F0EB" w:rsidR="00A97A1E" w:rsidRPr="00E9664A" w:rsidRDefault="00A97A1E" w:rsidP="00A97A1E">
      <w:pPr>
        <w:pStyle w:val="Paragraph"/>
        <w:rPr>
          <w:rStyle w:val="NICEnormalChar"/>
        </w:rPr>
      </w:pPr>
      <w:r w:rsidRPr="00B1334E">
        <w:rPr>
          <w:rStyle w:val="normaltextrun"/>
        </w:rPr>
        <w:t>Pharmaceutical Benefits Advisory Committee (2016</w:t>
      </w:r>
      <w:r w:rsidR="00E9664A">
        <w:rPr>
          <w:rStyle w:val="normaltextrun"/>
        </w:rPr>
        <w:t>)</w:t>
      </w:r>
      <w:r w:rsidRPr="00B1334E">
        <w:rPr>
          <w:rStyle w:val="normaltextrun"/>
        </w:rPr>
        <w:t xml:space="preserve"> </w:t>
      </w:r>
      <w:hyperlink r:id="rId46" w:history="1">
        <w:r w:rsidRPr="00333725">
          <w:rPr>
            <w:rStyle w:val="Hyperlink"/>
          </w:rPr>
          <w:t xml:space="preserve">Government Department of Health Guidelines for preparing a submission to the Pharmaceutical </w:t>
        </w:r>
        <w:r w:rsidRPr="00333725">
          <w:rPr>
            <w:rStyle w:val="Hyperlink"/>
          </w:rPr>
          <w:lastRenderedPageBreak/>
          <w:t>Benefits Advisory Committee, Version 5.0</w:t>
        </w:r>
      </w:hyperlink>
      <w:r w:rsidRPr="00B1334E">
        <w:rPr>
          <w:rStyle w:val="normaltextrun"/>
        </w:rPr>
        <w:t xml:space="preserve"> [</w:t>
      </w:r>
      <w:r w:rsidR="00333725">
        <w:rPr>
          <w:rStyle w:val="normaltextrun"/>
        </w:rPr>
        <w:t>online; accessed on</w:t>
      </w:r>
      <w:r w:rsidR="00333725" w:rsidRPr="00B1334E">
        <w:rPr>
          <w:rStyle w:val="normaltextrun"/>
        </w:rPr>
        <w:t xml:space="preserve"> </w:t>
      </w:r>
      <w:r w:rsidR="00333725">
        <w:rPr>
          <w:rStyle w:val="normaltextrun"/>
        </w:rPr>
        <w:t xml:space="preserve">6 </w:t>
      </w:r>
      <w:r w:rsidR="00333725" w:rsidRPr="00E9664A">
        <w:rPr>
          <w:rStyle w:val="NICEnormalChar"/>
        </w:rPr>
        <w:t xml:space="preserve">December </w:t>
      </w:r>
      <w:r w:rsidRPr="00E9664A">
        <w:rPr>
          <w:rStyle w:val="NICEnormalChar"/>
        </w:rPr>
        <w:t>2023]</w:t>
      </w:r>
    </w:p>
    <w:p w14:paraId="1994B4B8" w14:textId="39616956" w:rsidR="00A97A1E" w:rsidRPr="00E9664A" w:rsidRDefault="00A97A1E" w:rsidP="00A97A1E">
      <w:pPr>
        <w:pStyle w:val="Paragraph"/>
        <w:rPr>
          <w:rStyle w:val="NICEnormalChar"/>
        </w:rPr>
      </w:pPr>
      <w:r w:rsidRPr="00B1334E">
        <w:rPr>
          <w:rStyle w:val="normaltextrun"/>
        </w:rPr>
        <w:t>Pharmaceutical Management Agency (2015</w:t>
      </w:r>
      <w:r w:rsidR="00EC3048">
        <w:rPr>
          <w:rStyle w:val="normaltextrun"/>
        </w:rPr>
        <w:t>)</w:t>
      </w:r>
      <w:r w:rsidRPr="00B1334E">
        <w:rPr>
          <w:rStyle w:val="normaltextrun"/>
        </w:rPr>
        <w:t xml:space="preserve"> </w:t>
      </w:r>
      <w:hyperlink r:id="rId47" w:history="1">
        <w:r w:rsidRPr="00581F48">
          <w:rPr>
            <w:rStyle w:val="Hyperlink"/>
          </w:rPr>
          <w:t>Prescription for pharmacoeconomic analysis. Methods for cost-utility analysis version 2.2</w:t>
        </w:r>
      </w:hyperlink>
      <w:r w:rsidRPr="00B1334E">
        <w:rPr>
          <w:rStyle w:val="normaltextrun"/>
        </w:rPr>
        <w:t xml:space="preserve"> [</w:t>
      </w:r>
      <w:r w:rsidR="00581F48">
        <w:rPr>
          <w:rStyle w:val="normaltextrun"/>
        </w:rPr>
        <w:t>online; accessed</w:t>
      </w:r>
      <w:r w:rsidR="00581F48" w:rsidRPr="00B1334E">
        <w:rPr>
          <w:rStyle w:val="normaltextrun"/>
        </w:rPr>
        <w:t xml:space="preserve"> </w:t>
      </w:r>
      <w:r w:rsidR="00581F48">
        <w:rPr>
          <w:rStyle w:val="normaltextrun"/>
        </w:rPr>
        <w:t xml:space="preserve">6 December </w:t>
      </w:r>
      <w:r w:rsidRPr="00E9664A">
        <w:rPr>
          <w:rStyle w:val="NICEnormalChar"/>
        </w:rPr>
        <w:t>2023]</w:t>
      </w:r>
    </w:p>
    <w:p w14:paraId="04ABA903" w14:textId="1604CAE1" w:rsidR="00EC3048" w:rsidRDefault="00EC3048" w:rsidP="00A97A1E">
      <w:pPr>
        <w:pStyle w:val="NICEnormal"/>
        <w:rPr>
          <w:rStyle w:val="normaltextrun"/>
        </w:rPr>
      </w:pPr>
      <w:r>
        <w:rPr>
          <w:rStyle w:val="normaltextrun"/>
        </w:rPr>
        <w:t xml:space="preserve">Ross EL, Weinberg MS, Arnold SE (2022) </w:t>
      </w:r>
      <w:hyperlink r:id="rId48" w:history="1">
        <w:r w:rsidRPr="00E9664A">
          <w:rPr>
            <w:rStyle w:val="Hyperlink"/>
          </w:rPr>
          <w:t>Cost-effectiveness of aducanumab and donanemab for early Alzheimer disease in the US.</w:t>
        </w:r>
      </w:hyperlink>
      <w:r>
        <w:rPr>
          <w:rStyle w:val="normaltextrun"/>
        </w:rPr>
        <w:t xml:space="preserve"> JAMA Neurology</w:t>
      </w:r>
      <w:r w:rsidR="00E9664A">
        <w:rPr>
          <w:rStyle w:val="normaltextrun"/>
        </w:rPr>
        <w:t xml:space="preserve"> 79 (5): 478-87</w:t>
      </w:r>
    </w:p>
    <w:p w14:paraId="2719CEF1" w14:textId="66A7277B" w:rsidR="00645288" w:rsidRDefault="00A97A1E" w:rsidP="00A97A1E">
      <w:pPr>
        <w:pStyle w:val="NICEnormal"/>
      </w:pPr>
      <w:r w:rsidRPr="00B1334E">
        <w:rPr>
          <w:rStyle w:val="normaltextrun"/>
        </w:rPr>
        <w:t>The Danish Medicines Council (2021</w:t>
      </w:r>
      <w:r w:rsidR="00E9664A">
        <w:rPr>
          <w:rStyle w:val="normaltextrun"/>
        </w:rPr>
        <w:t>)</w:t>
      </w:r>
      <w:r w:rsidRPr="00B1334E">
        <w:rPr>
          <w:rStyle w:val="normaltextrun"/>
        </w:rPr>
        <w:t xml:space="preserve"> </w:t>
      </w:r>
      <w:hyperlink r:id="rId49" w:history="1">
        <w:r w:rsidRPr="00AE7D44">
          <w:rPr>
            <w:rStyle w:val="Hyperlink"/>
          </w:rPr>
          <w:t>Methods guide for assessing new pharmaceuticals version 1.2</w:t>
        </w:r>
      </w:hyperlink>
      <w:r w:rsidRPr="00B1334E">
        <w:rPr>
          <w:rStyle w:val="normaltextrun"/>
        </w:rPr>
        <w:t xml:space="preserve"> [</w:t>
      </w:r>
      <w:r w:rsidR="00AE7D44">
        <w:rPr>
          <w:rStyle w:val="normaltextrun"/>
        </w:rPr>
        <w:t xml:space="preserve">online; </w:t>
      </w:r>
      <w:r w:rsidR="00DD3227">
        <w:rPr>
          <w:rStyle w:val="normaltextrun"/>
        </w:rPr>
        <w:t>accessed</w:t>
      </w:r>
      <w:r w:rsidR="00AE7D44" w:rsidRPr="00B1334E">
        <w:rPr>
          <w:rStyle w:val="normaltextrun"/>
        </w:rPr>
        <w:t xml:space="preserve"> </w:t>
      </w:r>
      <w:r w:rsidR="00DD3227">
        <w:rPr>
          <w:rStyle w:val="normaltextrun"/>
        </w:rPr>
        <w:t xml:space="preserve">6 December </w:t>
      </w:r>
      <w:r w:rsidRPr="00B1334E">
        <w:rPr>
          <w:rStyle w:val="normaltextrun"/>
        </w:rPr>
        <w:t>2023]</w:t>
      </w:r>
    </w:p>
    <w:p w14:paraId="65BA2A7A" w14:textId="19A2CBB0" w:rsidR="00B71CB8" w:rsidRPr="006A14A8" w:rsidRDefault="00B71CB8" w:rsidP="00A97A1E">
      <w:pPr>
        <w:pStyle w:val="NICEnormal"/>
      </w:pPr>
      <w:r>
        <w:t>Wittenberg</w:t>
      </w:r>
      <w:r w:rsidRPr="00185B1F">
        <w:t xml:space="preserve"> </w:t>
      </w:r>
      <w:r>
        <w:t>R</w:t>
      </w:r>
      <w:r w:rsidRPr="00185B1F">
        <w:t xml:space="preserve">, </w:t>
      </w:r>
      <w:r>
        <w:t>Knapp</w:t>
      </w:r>
      <w:r w:rsidRPr="00185B1F">
        <w:t xml:space="preserve"> </w:t>
      </w:r>
      <w:r>
        <w:t>M</w:t>
      </w:r>
      <w:r w:rsidRPr="00185B1F">
        <w:t xml:space="preserve">, </w:t>
      </w:r>
      <w:r w:rsidR="00185BA1">
        <w:t>Karagiannidou M</w:t>
      </w:r>
      <w:r w:rsidRPr="00185B1F">
        <w:t xml:space="preserve"> et al. </w:t>
      </w:r>
      <w:r w:rsidR="00B76CF7">
        <w:t>(</w:t>
      </w:r>
      <w:r w:rsidRPr="00185B1F">
        <w:t>20</w:t>
      </w:r>
      <w:r w:rsidR="00DD440C">
        <w:t>19</w:t>
      </w:r>
      <w:r w:rsidR="00B76CF7">
        <w:t>)</w:t>
      </w:r>
      <w:r w:rsidRPr="00185B1F">
        <w:t xml:space="preserve"> </w:t>
      </w:r>
      <w:hyperlink r:id="rId50" w:history="1">
        <w:r w:rsidR="009D146B" w:rsidRPr="004A18D3">
          <w:rPr>
            <w:rStyle w:val="Hyperlink"/>
          </w:rPr>
          <w:t>Economic impacts of introducing diagnostics for mild cognitive impairment Alzheimer’s disease patients.</w:t>
        </w:r>
      </w:hyperlink>
      <w:r w:rsidRPr="00185B1F">
        <w:t xml:space="preserve"> </w:t>
      </w:r>
      <w:r w:rsidR="00B76CF7">
        <w:t xml:space="preserve">Alzheimer’s &amp; Dementia: </w:t>
      </w:r>
      <w:r w:rsidR="00305057">
        <w:t>Translational Research &amp; Clinical Interventions 5: 382-7</w:t>
      </w:r>
      <w:r w:rsidR="000C744B">
        <w:t xml:space="preserve"> </w:t>
      </w:r>
      <w:hyperlink r:id="rId51" w:history="1"/>
    </w:p>
    <w:sectPr w:rsidR="00B71CB8" w:rsidRPr="006A14A8" w:rsidSect="008F6FB7">
      <w:headerReference w:type="default" r:id="rId52"/>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A2D80" w14:textId="77777777" w:rsidR="00F373A6" w:rsidRDefault="00F373A6" w:rsidP="00446BEE">
      <w:r>
        <w:separator/>
      </w:r>
    </w:p>
  </w:endnote>
  <w:endnote w:type="continuationSeparator" w:id="0">
    <w:p w14:paraId="4BF8918D" w14:textId="77777777" w:rsidR="00F373A6" w:rsidRDefault="00F373A6" w:rsidP="00446BEE">
      <w:r>
        <w:continuationSeparator/>
      </w:r>
    </w:p>
  </w:endnote>
  <w:endnote w:type="continuationNotice" w:id="1">
    <w:p w14:paraId="5C3064D8" w14:textId="77777777" w:rsidR="00F373A6" w:rsidRDefault="00F373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Inter">
    <w:altName w:val="Calibri"/>
    <w:panose1 w:val="02000503000000020004"/>
    <w:charset w:val="00"/>
    <w:family w:val="auto"/>
    <w:pitch w:val="variable"/>
    <w:sig w:usb0="E00002FF" w:usb1="1200A1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ora SemiBold">
    <w:altName w:val="Cambria"/>
    <w:panose1 w:val="00000000000000000000"/>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9894202"/>
      <w:docPartObj>
        <w:docPartGallery w:val="Page Numbers (Bottom of Page)"/>
        <w:docPartUnique/>
      </w:docPartObj>
    </w:sdtPr>
    <w:sdtEndPr>
      <w:rPr>
        <w:noProof/>
      </w:rPr>
    </w:sdtEndPr>
    <w:sdtContent>
      <w:p w14:paraId="3F7BA357" w14:textId="7C4FA820" w:rsidR="006B186C" w:rsidRDefault="006B186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15CD8E" w14:textId="77777777" w:rsidR="006B186C" w:rsidRDefault="006B1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9184289"/>
      <w:docPartObj>
        <w:docPartGallery w:val="Page Numbers (Bottom of Page)"/>
        <w:docPartUnique/>
      </w:docPartObj>
    </w:sdtPr>
    <w:sdtEndPr>
      <w:rPr>
        <w:noProof/>
      </w:rPr>
    </w:sdtEndPr>
    <w:sdtContent>
      <w:p w14:paraId="3B041E63" w14:textId="7762F882" w:rsidR="00F00DDC" w:rsidRDefault="00F00DD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C98564" w14:textId="051CC026" w:rsidR="0094615D" w:rsidRPr="0094615D" w:rsidRDefault="0094615D" w:rsidP="008E7826">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8B87C" w14:textId="77777777" w:rsidR="00F373A6" w:rsidRDefault="00F373A6" w:rsidP="00446BEE">
      <w:r>
        <w:separator/>
      </w:r>
    </w:p>
  </w:footnote>
  <w:footnote w:type="continuationSeparator" w:id="0">
    <w:p w14:paraId="1189FDDD" w14:textId="77777777" w:rsidR="00F373A6" w:rsidRDefault="00F373A6" w:rsidP="00446BEE">
      <w:r>
        <w:continuationSeparator/>
      </w:r>
    </w:p>
  </w:footnote>
  <w:footnote w:type="continuationNotice" w:id="1">
    <w:p w14:paraId="2E6BCE3B" w14:textId="77777777" w:rsidR="00F373A6" w:rsidRDefault="00F373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1E4890D0" w14:textId="77777777" w:rsidTr="5DD8AEA6">
      <w:trPr>
        <w:trHeight w:val="300"/>
      </w:trPr>
      <w:tc>
        <w:tcPr>
          <w:tcW w:w="2765" w:type="dxa"/>
        </w:tcPr>
        <w:p w14:paraId="528DF69F" w14:textId="424FB41D" w:rsidR="5DD8AEA6" w:rsidRDefault="5DD8AEA6" w:rsidP="5DD8AEA6">
          <w:pPr>
            <w:pStyle w:val="Header"/>
            <w:ind w:left="-115"/>
          </w:pPr>
        </w:p>
      </w:tc>
      <w:tc>
        <w:tcPr>
          <w:tcW w:w="2765" w:type="dxa"/>
        </w:tcPr>
        <w:p w14:paraId="1624F8F7" w14:textId="532BEFD6" w:rsidR="5DD8AEA6" w:rsidRDefault="5DD8AEA6" w:rsidP="5DD8AEA6">
          <w:pPr>
            <w:pStyle w:val="Header"/>
            <w:jc w:val="center"/>
          </w:pPr>
        </w:p>
      </w:tc>
      <w:tc>
        <w:tcPr>
          <w:tcW w:w="2765" w:type="dxa"/>
        </w:tcPr>
        <w:p w14:paraId="52A55157" w14:textId="7C8E3608" w:rsidR="5DD8AEA6" w:rsidRDefault="5DD8AEA6" w:rsidP="5DD8AEA6">
          <w:pPr>
            <w:pStyle w:val="Header"/>
            <w:ind w:right="-115"/>
            <w:jc w:val="right"/>
          </w:pPr>
        </w:p>
      </w:tc>
    </w:tr>
  </w:tbl>
  <w:p w14:paraId="739027A6" w14:textId="021D9D5C" w:rsidR="5DD8AEA6" w:rsidRDefault="5DD8AEA6" w:rsidP="5DD8AE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0030" w14:textId="078A2414" w:rsidR="008F6FB7" w:rsidRDefault="008F6FB7">
    <w:pPr>
      <w:pStyle w:val="Header"/>
    </w:pPr>
    <w:r>
      <w:rPr>
        <w:noProof/>
      </w:rPr>
      <w:drawing>
        <wp:anchor distT="0" distB="0" distL="114300" distR="114300" simplePos="0" relativeHeight="251658240" behindDoc="0" locked="0" layoutInCell="1" allowOverlap="1" wp14:anchorId="09DFF5BE" wp14:editId="6FE31FF0">
          <wp:simplePos x="0" y="0"/>
          <wp:positionH relativeFrom="column">
            <wp:posOffset>0</wp:posOffset>
          </wp:positionH>
          <wp:positionV relativeFrom="page">
            <wp:posOffset>447675</wp:posOffset>
          </wp:positionV>
          <wp:extent cx="2444400" cy="252000"/>
          <wp:effectExtent l="0" t="0" r="0" b="0"/>
          <wp:wrapNone/>
          <wp:docPr id="888016789" name="Picture 888016789" descr="Logo: National Institute for Health and Care Excellen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National Institute for Health and Care Excellence&#10;"/>
                  <pic:cNvPicPr/>
                </pic:nvPicPr>
                <pic:blipFill>
                  <a:blip r:embed="rId1">
                    <a:extLst>
                      <a:ext uri="{28A0092B-C50C-407E-A947-70E740481C1C}">
                        <a14:useLocalDpi xmlns:a14="http://schemas.microsoft.com/office/drawing/2010/main" val="0"/>
                      </a:ext>
                    </a:extLst>
                  </a:blip>
                  <a:stretch>
                    <a:fillRect/>
                  </a:stretch>
                </pic:blipFill>
                <pic:spPr>
                  <a:xfrm>
                    <a:off x="0" y="0"/>
                    <a:ext cx="2444400" cy="25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65"/>
      <w:gridCol w:w="2765"/>
      <w:gridCol w:w="2765"/>
    </w:tblGrid>
    <w:tr w:rsidR="5DD8AEA6" w14:paraId="3AD7090D" w14:textId="77777777" w:rsidTr="5DD8AEA6">
      <w:trPr>
        <w:trHeight w:val="300"/>
      </w:trPr>
      <w:tc>
        <w:tcPr>
          <w:tcW w:w="2765" w:type="dxa"/>
        </w:tcPr>
        <w:p w14:paraId="6D48A4D3" w14:textId="2E8A55F2" w:rsidR="5DD8AEA6" w:rsidRDefault="5DD8AEA6" w:rsidP="5DD8AEA6">
          <w:pPr>
            <w:pStyle w:val="Header"/>
            <w:ind w:left="-115"/>
          </w:pPr>
        </w:p>
      </w:tc>
      <w:tc>
        <w:tcPr>
          <w:tcW w:w="2765" w:type="dxa"/>
        </w:tcPr>
        <w:p w14:paraId="6690EB49" w14:textId="2E9FFA49" w:rsidR="5DD8AEA6" w:rsidRDefault="5DD8AEA6" w:rsidP="5DD8AEA6">
          <w:pPr>
            <w:pStyle w:val="Header"/>
            <w:jc w:val="center"/>
          </w:pPr>
        </w:p>
      </w:tc>
      <w:tc>
        <w:tcPr>
          <w:tcW w:w="2765" w:type="dxa"/>
        </w:tcPr>
        <w:p w14:paraId="5718B597" w14:textId="551C1D60" w:rsidR="5DD8AEA6" w:rsidRDefault="5DD8AEA6" w:rsidP="5DD8AEA6">
          <w:pPr>
            <w:pStyle w:val="Header"/>
            <w:ind w:right="-115"/>
            <w:jc w:val="right"/>
          </w:pPr>
        </w:p>
      </w:tc>
    </w:tr>
  </w:tbl>
  <w:p w14:paraId="29FD1648" w14:textId="5FF26952" w:rsidR="5DD8AEA6" w:rsidRDefault="5DD8AEA6" w:rsidP="5DD8AE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BBC3F" w14:textId="34FE9CC0" w:rsidR="5DD8AEA6" w:rsidRDefault="5DD8AEA6" w:rsidP="00BF1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A346F0"/>
    <w:multiLevelType w:val="hybridMultilevel"/>
    <w:tmpl w:val="6D5E526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9D0FAC"/>
    <w:multiLevelType w:val="multilevel"/>
    <w:tmpl w:val="1A98B85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3" w15:restartNumberingAfterBreak="0">
    <w:nsid w:val="0EBE34E8"/>
    <w:multiLevelType w:val="hybridMultilevel"/>
    <w:tmpl w:val="3A842F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1720765"/>
    <w:multiLevelType w:val="hybridMultilevel"/>
    <w:tmpl w:val="1946F8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5A51AF7"/>
    <w:multiLevelType w:val="hybridMultilevel"/>
    <w:tmpl w:val="AF5042C6"/>
    <w:lvl w:ilvl="0" w:tplc="3C142DA0">
      <w:start w:val="1"/>
      <w:numFmt w:val="bullet"/>
      <w:lvlText w:val="-"/>
      <w:lvlJc w:val="left"/>
      <w:pPr>
        <w:ind w:left="720" w:hanging="360"/>
      </w:pPr>
      <w:rPr>
        <w:rFonts w:ascii="Calibri" w:hAnsi="Calibri" w:hint="default"/>
      </w:rPr>
    </w:lvl>
    <w:lvl w:ilvl="1" w:tplc="B7B2C1CC">
      <w:start w:val="1"/>
      <w:numFmt w:val="bullet"/>
      <w:lvlText w:val="o"/>
      <w:lvlJc w:val="left"/>
      <w:pPr>
        <w:ind w:left="1440" w:hanging="360"/>
      </w:pPr>
      <w:rPr>
        <w:rFonts w:ascii="Courier New" w:hAnsi="Courier New" w:hint="default"/>
      </w:rPr>
    </w:lvl>
    <w:lvl w:ilvl="2" w:tplc="4670BBEC">
      <w:start w:val="1"/>
      <w:numFmt w:val="bullet"/>
      <w:lvlText w:val=""/>
      <w:lvlJc w:val="left"/>
      <w:pPr>
        <w:ind w:left="2160" w:hanging="360"/>
      </w:pPr>
      <w:rPr>
        <w:rFonts w:ascii="Wingdings" w:hAnsi="Wingdings" w:hint="default"/>
      </w:rPr>
    </w:lvl>
    <w:lvl w:ilvl="3" w:tplc="04F2F41A">
      <w:start w:val="1"/>
      <w:numFmt w:val="bullet"/>
      <w:lvlText w:val=""/>
      <w:lvlJc w:val="left"/>
      <w:pPr>
        <w:ind w:left="2880" w:hanging="360"/>
      </w:pPr>
      <w:rPr>
        <w:rFonts w:ascii="Symbol" w:hAnsi="Symbol" w:hint="default"/>
      </w:rPr>
    </w:lvl>
    <w:lvl w:ilvl="4" w:tplc="29062304">
      <w:start w:val="1"/>
      <w:numFmt w:val="bullet"/>
      <w:lvlText w:val="o"/>
      <w:lvlJc w:val="left"/>
      <w:pPr>
        <w:ind w:left="3600" w:hanging="360"/>
      </w:pPr>
      <w:rPr>
        <w:rFonts w:ascii="Courier New" w:hAnsi="Courier New" w:hint="default"/>
      </w:rPr>
    </w:lvl>
    <w:lvl w:ilvl="5" w:tplc="B8E602E6">
      <w:start w:val="1"/>
      <w:numFmt w:val="bullet"/>
      <w:lvlText w:val=""/>
      <w:lvlJc w:val="left"/>
      <w:pPr>
        <w:ind w:left="4320" w:hanging="360"/>
      </w:pPr>
      <w:rPr>
        <w:rFonts w:ascii="Wingdings" w:hAnsi="Wingdings" w:hint="default"/>
      </w:rPr>
    </w:lvl>
    <w:lvl w:ilvl="6" w:tplc="6FD6D436">
      <w:start w:val="1"/>
      <w:numFmt w:val="bullet"/>
      <w:lvlText w:val=""/>
      <w:lvlJc w:val="left"/>
      <w:pPr>
        <w:ind w:left="5040" w:hanging="360"/>
      </w:pPr>
      <w:rPr>
        <w:rFonts w:ascii="Symbol" w:hAnsi="Symbol" w:hint="default"/>
      </w:rPr>
    </w:lvl>
    <w:lvl w:ilvl="7" w:tplc="CAF0FE4C">
      <w:start w:val="1"/>
      <w:numFmt w:val="bullet"/>
      <w:lvlText w:val="o"/>
      <w:lvlJc w:val="left"/>
      <w:pPr>
        <w:ind w:left="5760" w:hanging="360"/>
      </w:pPr>
      <w:rPr>
        <w:rFonts w:ascii="Courier New" w:hAnsi="Courier New" w:hint="default"/>
      </w:rPr>
    </w:lvl>
    <w:lvl w:ilvl="8" w:tplc="5854065E">
      <w:start w:val="1"/>
      <w:numFmt w:val="bullet"/>
      <w:lvlText w:val=""/>
      <w:lvlJc w:val="left"/>
      <w:pPr>
        <w:ind w:left="6480" w:hanging="360"/>
      </w:pPr>
      <w:rPr>
        <w:rFonts w:ascii="Wingdings" w:hAnsi="Wingdings" w:hint="default"/>
      </w:rPr>
    </w:lvl>
  </w:abstractNum>
  <w:abstractNum w:abstractNumId="1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C5CCB"/>
    <w:multiLevelType w:val="hybridMultilevel"/>
    <w:tmpl w:val="7A8CB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2C22BA8"/>
    <w:multiLevelType w:val="hybridMultilevel"/>
    <w:tmpl w:val="427869B0"/>
    <w:lvl w:ilvl="0" w:tplc="08CE03E4">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2E853F9"/>
    <w:multiLevelType w:val="hybridMultilevel"/>
    <w:tmpl w:val="B504DC6A"/>
    <w:lvl w:ilvl="0" w:tplc="8618D5D8">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CC3584"/>
    <w:multiLevelType w:val="multilevel"/>
    <w:tmpl w:val="4CC8F740"/>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2" w15:restartNumberingAfterBreak="0">
    <w:nsid w:val="3752FAB7"/>
    <w:multiLevelType w:val="hybridMultilevel"/>
    <w:tmpl w:val="51AA6B4A"/>
    <w:lvl w:ilvl="0" w:tplc="5CA82F18">
      <w:start w:val="1"/>
      <w:numFmt w:val="bullet"/>
      <w:lvlText w:val="-"/>
      <w:lvlJc w:val="left"/>
      <w:pPr>
        <w:ind w:left="720" w:hanging="360"/>
      </w:pPr>
      <w:rPr>
        <w:rFonts w:ascii="Calibri" w:hAnsi="Calibri" w:hint="default"/>
      </w:rPr>
    </w:lvl>
    <w:lvl w:ilvl="1" w:tplc="38603EDC">
      <w:start w:val="1"/>
      <w:numFmt w:val="bullet"/>
      <w:lvlText w:val="o"/>
      <w:lvlJc w:val="left"/>
      <w:pPr>
        <w:ind w:left="1440" w:hanging="360"/>
      </w:pPr>
      <w:rPr>
        <w:rFonts w:ascii="Courier New" w:hAnsi="Courier New" w:hint="default"/>
      </w:rPr>
    </w:lvl>
    <w:lvl w:ilvl="2" w:tplc="FBA69648">
      <w:start w:val="1"/>
      <w:numFmt w:val="bullet"/>
      <w:lvlText w:val=""/>
      <w:lvlJc w:val="left"/>
      <w:pPr>
        <w:ind w:left="2160" w:hanging="360"/>
      </w:pPr>
      <w:rPr>
        <w:rFonts w:ascii="Wingdings" w:hAnsi="Wingdings" w:hint="default"/>
      </w:rPr>
    </w:lvl>
    <w:lvl w:ilvl="3" w:tplc="CA76C530">
      <w:start w:val="1"/>
      <w:numFmt w:val="bullet"/>
      <w:lvlText w:val=""/>
      <w:lvlJc w:val="left"/>
      <w:pPr>
        <w:ind w:left="2880" w:hanging="360"/>
      </w:pPr>
      <w:rPr>
        <w:rFonts w:ascii="Symbol" w:hAnsi="Symbol" w:hint="default"/>
      </w:rPr>
    </w:lvl>
    <w:lvl w:ilvl="4" w:tplc="51EC3DF6">
      <w:start w:val="1"/>
      <w:numFmt w:val="bullet"/>
      <w:lvlText w:val="o"/>
      <w:lvlJc w:val="left"/>
      <w:pPr>
        <w:ind w:left="3600" w:hanging="360"/>
      </w:pPr>
      <w:rPr>
        <w:rFonts w:ascii="Courier New" w:hAnsi="Courier New" w:hint="default"/>
      </w:rPr>
    </w:lvl>
    <w:lvl w:ilvl="5" w:tplc="6C72ABAA">
      <w:start w:val="1"/>
      <w:numFmt w:val="bullet"/>
      <w:lvlText w:val=""/>
      <w:lvlJc w:val="left"/>
      <w:pPr>
        <w:ind w:left="4320" w:hanging="360"/>
      </w:pPr>
      <w:rPr>
        <w:rFonts w:ascii="Wingdings" w:hAnsi="Wingdings" w:hint="default"/>
      </w:rPr>
    </w:lvl>
    <w:lvl w:ilvl="6" w:tplc="0584D508">
      <w:start w:val="1"/>
      <w:numFmt w:val="bullet"/>
      <w:lvlText w:val=""/>
      <w:lvlJc w:val="left"/>
      <w:pPr>
        <w:ind w:left="5040" w:hanging="360"/>
      </w:pPr>
      <w:rPr>
        <w:rFonts w:ascii="Symbol" w:hAnsi="Symbol" w:hint="default"/>
      </w:rPr>
    </w:lvl>
    <w:lvl w:ilvl="7" w:tplc="3692D488">
      <w:start w:val="1"/>
      <w:numFmt w:val="bullet"/>
      <w:lvlText w:val="o"/>
      <w:lvlJc w:val="left"/>
      <w:pPr>
        <w:ind w:left="5760" w:hanging="360"/>
      </w:pPr>
      <w:rPr>
        <w:rFonts w:ascii="Courier New" w:hAnsi="Courier New" w:hint="default"/>
      </w:rPr>
    </w:lvl>
    <w:lvl w:ilvl="8" w:tplc="00701548">
      <w:start w:val="1"/>
      <w:numFmt w:val="bullet"/>
      <w:lvlText w:val=""/>
      <w:lvlJc w:val="left"/>
      <w:pPr>
        <w:ind w:left="6480" w:hanging="360"/>
      </w:pPr>
      <w:rPr>
        <w:rFonts w:ascii="Wingdings" w:hAnsi="Wingdings" w:hint="default"/>
      </w:rPr>
    </w:lvl>
  </w:abstractNum>
  <w:abstractNum w:abstractNumId="23" w15:restartNumberingAfterBreak="0">
    <w:nsid w:val="441B7135"/>
    <w:multiLevelType w:val="multilevel"/>
    <w:tmpl w:val="C5F8384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4"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5" w15:restartNumberingAfterBreak="0">
    <w:nsid w:val="4D446E42"/>
    <w:multiLevelType w:val="hybridMultilevel"/>
    <w:tmpl w:val="5D806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DDB0C5E"/>
    <w:multiLevelType w:val="hybridMultilevel"/>
    <w:tmpl w:val="32B6FB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704A4C3"/>
    <w:multiLevelType w:val="hybridMultilevel"/>
    <w:tmpl w:val="B616ECC4"/>
    <w:lvl w:ilvl="0" w:tplc="A0349782">
      <w:start w:val="1"/>
      <w:numFmt w:val="bullet"/>
      <w:lvlText w:val="-"/>
      <w:lvlJc w:val="left"/>
      <w:pPr>
        <w:ind w:left="720" w:hanging="360"/>
      </w:pPr>
      <w:rPr>
        <w:rFonts w:ascii="Calibri" w:hAnsi="Calibri" w:hint="default"/>
      </w:rPr>
    </w:lvl>
    <w:lvl w:ilvl="1" w:tplc="CF184F74">
      <w:start w:val="1"/>
      <w:numFmt w:val="bullet"/>
      <w:lvlText w:val="o"/>
      <w:lvlJc w:val="left"/>
      <w:pPr>
        <w:ind w:left="1440" w:hanging="360"/>
      </w:pPr>
      <w:rPr>
        <w:rFonts w:ascii="Courier New" w:hAnsi="Courier New" w:hint="default"/>
      </w:rPr>
    </w:lvl>
    <w:lvl w:ilvl="2" w:tplc="68D061D4">
      <w:start w:val="1"/>
      <w:numFmt w:val="bullet"/>
      <w:lvlText w:val=""/>
      <w:lvlJc w:val="left"/>
      <w:pPr>
        <w:ind w:left="2160" w:hanging="360"/>
      </w:pPr>
      <w:rPr>
        <w:rFonts w:ascii="Wingdings" w:hAnsi="Wingdings" w:hint="default"/>
      </w:rPr>
    </w:lvl>
    <w:lvl w:ilvl="3" w:tplc="8B20E59E">
      <w:start w:val="1"/>
      <w:numFmt w:val="bullet"/>
      <w:lvlText w:val=""/>
      <w:lvlJc w:val="left"/>
      <w:pPr>
        <w:ind w:left="2880" w:hanging="360"/>
      </w:pPr>
      <w:rPr>
        <w:rFonts w:ascii="Symbol" w:hAnsi="Symbol" w:hint="default"/>
      </w:rPr>
    </w:lvl>
    <w:lvl w:ilvl="4" w:tplc="6298D8B8">
      <w:start w:val="1"/>
      <w:numFmt w:val="bullet"/>
      <w:lvlText w:val="o"/>
      <w:lvlJc w:val="left"/>
      <w:pPr>
        <w:ind w:left="3600" w:hanging="360"/>
      </w:pPr>
      <w:rPr>
        <w:rFonts w:ascii="Courier New" w:hAnsi="Courier New" w:hint="default"/>
      </w:rPr>
    </w:lvl>
    <w:lvl w:ilvl="5" w:tplc="9E62A812">
      <w:start w:val="1"/>
      <w:numFmt w:val="bullet"/>
      <w:lvlText w:val=""/>
      <w:lvlJc w:val="left"/>
      <w:pPr>
        <w:ind w:left="4320" w:hanging="360"/>
      </w:pPr>
      <w:rPr>
        <w:rFonts w:ascii="Wingdings" w:hAnsi="Wingdings" w:hint="default"/>
      </w:rPr>
    </w:lvl>
    <w:lvl w:ilvl="6" w:tplc="510A4938">
      <w:start w:val="1"/>
      <w:numFmt w:val="bullet"/>
      <w:lvlText w:val=""/>
      <w:lvlJc w:val="left"/>
      <w:pPr>
        <w:ind w:left="5040" w:hanging="360"/>
      </w:pPr>
      <w:rPr>
        <w:rFonts w:ascii="Symbol" w:hAnsi="Symbol" w:hint="default"/>
      </w:rPr>
    </w:lvl>
    <w:lvl w:ilvl="7" w:tplc="5E08EB36">
      <w:start w:val="1"/>
      <w:numFmt w:val="bullet"/>
      <w:lvlText w:val="o"/>
      <w:lvlJc w:val="left"/>
      <w:pPr>
        <w:ind w:left="5760" w:hanging="360"/>
      </w:pPr>
      <w:rPr>
        <w:rFonts w:ascii="Courier New" w:hAnsi="Courier New" w:hint="default"/>
      </w:rPr>
    </w:lvl>
    <w:lvl w:ilvl="8" w:tplc="1D1E8218">
      <w:start w:val="1"/>
      <w:numFmt w:val="bullet"/>
      <w:lvlText w:val=""/>
      <w:lvlJc w:val="left"/>
      <w:pPr>
        <w:ind w:left="6480" w:hanging="360"/>
      </w:pPr>
      <w:rPr>
        <w:rFonts w:ascii="Wingdings" w:hAnsi="Wingdings" w:hint="default"/>
      </w:rPr>
    </w:lvl>
  </w:abstractNum>
  <w:abstractNum w:abstractNumId="28" w15:restartNumberingAfterBreak="0">
    <w:nsid w:val="58433888"/>
    <w:multiLevelType w:val="hybridMultilevel"/>
    <w:tmpl w:val="B5D64EB4"/>
    <w:lvl w:ilvl="0" w:tplc="0809000F">
      <w:start w:val="1"/>
      <w:numFmt w:val="decimal"/>
      <w:lvlText w:val="%1."/>
      <w:lvlJc w:val="left"/>
      <w:pPr>
        <w:ind w:left="720" w:hanging="360"/>
      </w:pPr>
    </w:lvl>
    <w:lvl w:ilvl="1" w:tplc="AB4AA86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C27EEC"/>
    <w:multiLevelType w:val="hybridMultilevel"/>
    <w:tmpl w:val="882A5464"/>
    <w:lvl w:ilvl="0" w:tplc="65CCC20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C971EA"/>
    <w:multiLevelType w:val="hybridMultilevel"/>
    <w:tmpl w:val="0A384BB8"/>
    <w:lvl w:ilvl="0" w:tplc="6A302CD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pStyle w:val="Numberedlevel3text"/>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34" w15:restartNumberingAfterBreak="0">
    <w:nsid w:val="62937B04"/>
    <w:multiLevelType w:val="hybridMultilevel"/>
    <w:tmpl w:val="1B749138"/>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7" w15:restartNumberingAfterBreak="0">
    <w:nsid w:val="696F2189"/>
    <w:multiLevelType w:val="hybridMultilevel"/>
    <w:tmpl w:val="7DD6DEFA"/>
    <w:lvl w:ilvl="0" w:tplc="B20870AC">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E37A8C"/>
    <w:multiLevelType w:val="hybridMultilevel"/>
    <w:tmpl w:val="1B74913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E5B619A"/>
    <w:multiLevelType w:val="hybridMultilevel"/>
    <w:tmpl w:val="8B665714"/>
    <w:lvl w:ilvl="0" w:tplc="19621C94">
      <w:start w:val="1"/>
      <w:numFmt w:val="decimal"/>
      <w:pStyle w:val="Numbered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40" w15:restartNumberingAfterBreak="0">
    <w:nsid w:val="72A16E2F"/>
    <w:multiLevelType w:val="hybridMultilevel"/>
    <w:tmpl w:val="641E5E5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BE54287"/>
    <w:multiLevelType w:val="hybridMultilevel"/>
    <w:tmpl w:val="007AB6F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E84C00"/>
    <w:multiLevelType w:val="hybridMultilevel"/>
    <w:tmpl w:val="CCD0BB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108505914">
    <w:abstractNumId w:val="27"/>
  </w:num>
  <w:num w:numId="2" w16cid:durableId="1215891292">
    <w:abstractNumId w:val="22"/>
  </w:num>
  <w:num w:numId="3" w16cid:durableId="53815730">
    <w:abstractNumId w:val="16"/>
  </w:num>
  <w:num w:numId="4" w16cid:durableId="63384370">
    <w:abstractNumId w:val="29"/>
  </w:num>
  <w:num w:numId="5" w16cid:durableId="1271931310">
    <w:abstractNumId w:val="37"/>
  </w:num>
  <w:num w:numId="6" w16cid:durableId="987441700">
    <w:abstractNumId w:val="37"/>
    <w:lvlOverride w:ilvl="0">
      <w:startOverride w:val="1"/>
    </w:lvlOverride>
  </w:num>
  <w:num w:numId="7" w16cid:durableId="1499422565">
    <w:abstractNumId w:val="37"/>
    <w:lvlOverride w:ilvl="0">
      <w:startOverride w:val="1"/>
    </w:lvlOverride>
  </w:num>
  <w:num w:numId="8" w16cid:durableId="2069916214">
    <w:abstractNumId w:val="37"/>
    <w:lvlOverride w:ilvl="0">
      <w:startOverride w:val="1"/>
    </w:lvlOverride>
  </w:num>
  <w:num w:numId="9" w16cid:durableId="1714303981">
    <w:abstractNumId w:val="37"/>
    <w:lvlOverride w:ilvl="0">
      <w:startOverride w:val="1"/>
    </w:lvlOverride>
  </w:num>
  <w:num w:numId="10" w16cid:durableId="1383334273">
    <w:abstractNumId w:val="37"/>
    <w:lvlOverride w:ilvl="0">
      <w:startOverride w:val="1"/>
    </w:lvlOverride>
  </w:num>
  <w:num w:numId="11" w16cid:durableId="1773280767">
    <w:abstractNumId w:val="9"/>
  </w:num>
  <w:num w:numId="12" w16cid:durableId="25370262">
    <w:abstractNumId w:val="7"/>
  </w:num>
  <w:num w:numId="13" w16cid:durableId="631717178">
    <w:abstractNumId w:val="6"/>
  </w:num>
  <w:num w:numId="14" w16cid:durableId="229852498">
    <w:abstractNumId w:val="5"/>
  </w:num>
  <w:num w:numId="15" w16cid:durableId="619150223">
    <w:abstractNumId w:val="4"/>
  </w:num>
  <w:num w:numId="16" w16cid:durableId="1727877967">
    <w:abstractNumId w:val="8"/>
  </w:num>
  <w:num w:numId="17" w16cid:durableId="1039671961">
    <w:abstractNumId w:val="3"/>
  </w:num>
  <w:num w:numId="18" w16cid:durableId="1876431772">
    <w:abstractNumId w:val="2"/>
  </w:num>
  <w:num w:numId="19" w16cid:durableId="1799951448">
    <w:abstractNumId w:val="1"/>
  </w:num>
  <w:num w:numId="20" w16cid:durableId="960921361">
    <w:abstractNumId w:val="0"/>
  </w:num>
  <w:num w:numId="21" w16cid:durableId="250091122">
    <w:abstractNumId w:val="20"/>
  </w:num>
  <w:num w:numId="22" w16cid:durableId="1373924523">
    <w:abstractNumId w:val="20"/>
    <w:lvlOverride w:ilvl="0">
      <w:startOverride w:val="1"/>
    </w:lvlOverride>
  </w:num>
  <w:num w:numId="23" w16cid:durableId="399716702">
    <w:abstractNumId w:val="29"/>
  </w:num>
  <w:num w:numId="24" w16cid:durableId="1595244151">
    <w:abstractNumId w:val="37"/>
  </w:num>
  <w:num w:numId="25" w16cid:durableId="368646558">
    <w:abstractNumId w:val="20"/>
  </w:num>
  <w:num w:numId="26" w16cid:durableId="534393170">
    <w:abstractNumId w:val="35"/>
  </w:num>
  <w:num w:numId="27" w16cid:durableId="609512517">
    <w:abstractNumId w:val="39"/>
  </w:num>
  <w:num w:numId="28" w16cid:durableId="1752120768">
    <w:abstractNumId w:val="30"/>
  </w:num>
  <w:num w:numId="29" w16cid:durableId="527569269">
    <w:abstractNumId w:val="14"/>
  </w:num>
  <w:num w:numId="30" w16cid:durableId="341933083">
    <w:abstractNumId w:val="10"/>
  </w:num>
  <w:num w:numId="31" w16cid:durableId="1373649310">
    <w:abstractNumId w:val="13"/>
  </w:num>
  <w:num w:numId="32" w16cid:durableId="1111901251">
    <w:abstractNumId w:val="42"/>
  </w:num>
  <w:num w:numId="33" w16cid:durableId="1466505542">
    <w:abstractNumId w:val="18"/>
  </w:num>
  <w:num w:numId="34" w16cid:durableId="1646274476">
    <w:abstractNumId w:val="21"/>
  </w:num>
  <w:num w:numId="35" w16cid:durableId="1428035579">
    <w:abstractNumId w:val="21"/>
  </w:num>
  <w:num w:numId="36" w16cid:durableId="1809125175">
    <w:abstractNumId w:val="32"/>
  </w:num>
  <w:num w:numId="37" w16cid:durableId="1863474706">
    <w:abstractNumId w:val="40"/>
  </w:num>
  <w:num w:numId="38" w16cid:durableId="1861233596">
    <w:abstractNumId w:val="41"/>
  </w:num>
  <w:num w:numId="39" w16cid:durableId="46035488">
    <w:abstractNumId w:val="28"/>
  </w:num>
  <w:num w:numId="40" w16cid:durableId="280037184">
    <w:abstractNumId w:val="34"/>
  </w:num>
  <w:num w:numId="41" w16cid:durableId="48193383">
    <w:abstractNumId w:val="25"/>
  </w:num>
  <w:num w:numId="42" w16cid:durableId="1121993924">
    <w:abstractNumId w:val="26"/>
  </w:num>
  <w:num w:numId="43" w16cid:durableId="299307880">
    <w:abstractNumId w:val="38"/>
  </w:num>
  <w:num w:numId="44" w16cid:durableId="1020661160">
    <w:abstractNumId w:val="11"/>
  </w:num>
  <w:num w:numId="45" w16cid:durableId="446513429">
    <w:abstractNumId w:val="19"/>
  </w:num>
  <w:num w:numId="46" w16cid:durableId="298148330">
    <w:abstractNumId w:val="19"/>
  </w:num>
  <w:num w:numId="47" w16cid:durableId="372585205">
    <w:abstractNumId w:val="11"/>
  </w:num>
  <w:num w:numId="48" w16cid:durableId="644894560">
    <w:abstractNumId w:val="23"/>
  </w:num>
  <w:num w:numId="49" w16cid:durableId="1692952817">
    <w:abstractNumId w:val="23"/>
  </w:num>
  <w:num w:numId="50" w16cid:durableId="818498566">
    <w:abstractNumId w:val="24"/>
  </w:num>
  <w:num w:numId="51" w16cid:durableId="1492987829">
    <w:abstractNumId w:val="15"/>
  </w:num>
  <w:num w:numId="52" w16cid:durableId="1581016062">
    <w:abstractNumId w:val="17"/>
  </w:num>
  <w:num w:numId="53" w16cid:durableId="1560700498">
    <w:abstractNumId w:val="12"/>
  </w:num>
  <w:num w:numId="54" w16cid:durableId="868300498">
    <w:abstractNumId w:val="36"/>
  </w:num>
  <w:num w:numId="55" w16cid:durableId="1354528176">
    <w:abstractNumId w:val="33"/>
  </w:num>
  <w:num w:numId="56" w16cid:durableId="1090007888">
    <w:abstractNumId w:val="33"/>
  </w:num>
  <w:num w:numId="57" w16cid:durableId="1365012653">
    <w:abstractNumId w:val="33"/>
  </w:num>
  <w:num w:numId="58" w16cid:durableId="1810517766">
    <w:abstractNumId w:val="33"/>
  </w:num>
  <w:num w:numId="59" w16cid:durableId="1890653801">
    <w:abstractNumId w:val="33"/>
  </w:num>
  <w:num w:numId="60" w16cid:durableId="1783455078">
    <w:abstractNumId w:val="31"/>
  </w:num>
  <w:num w:numId="61" w16cid:durableId="1473477008">
    <w:abstractNumId w:val="33"/>
  </w:num>
  <w:num w:numId="62" w16cid:durableId="1716732070">
    <w:abstractNumId w:val="33"/>
  </w:num>
  <w:num w:numId="63" w16cid:durableId="1434395713">
    <w:abstractNumId w:val="3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A8"/>
    <w:rsid w:val="00002121"/>
    <w:rsid w:val="00004044"/>
    <w:rsid w:val="0000474B"/>
    <w:rsid w:val="00004C7A"/>
    <w:rsid w:val="000053F8"/>
    <w:rsid w:val="00006C13"/>
    <w:rsid w:val="00006E7E"/>
    <w:rsid w:val="0000797C"/>
    <w:rsid w:val="000219DB"/>
    <w:rsid w:val="00024BEE"/>
    <w:rsid w:val="00024D0A"/>
    <w:rsid w:val="0003205F"/>
    <w:rsid w:val="00034A9E"/>
    <w:rsid w:val="00036940"/>
    <w:rsid w:val="00037C56"/>
    <w:rsid w:val="0004455D"/>
    <w:rsid w:val="0004715C"/>
    <w:rsid w:val="00047D4F"/>
    <w:rsid w:val="00064925"/>
    <w:rsid w:val="000653DD"/>
    <w:rsid w:val="00067413"/>
    <w:rsid w:val="00070065"/>
    <w:rsid w:val="00071C6B"/>
    <w:rsid w:val="00074691"/>
    <w:rsid w:val="000774A3"/>
    <w:rsid w:val="00090D68"/>
    <w:rsid w:val="000918F2"/>
    <w:rsid w:val="00093E0C"/>
    <w:rsid w:val="00094598"/>
    <w:rsid w:val="0009526F"/>
    <w:rsid w:val="0009574E"/>
    <w:rsid w:val="00096014"/>
    <w:rsid w:val="000A1AE0"/>
    <w:rsid w:val="000A2154"/>
    <w:rsid w:val="000A4FEE"/>
    <w:rsid w:val="000B55DF"/>
    <w:rsid w:val="000B5939"/>
    <w:rsid w:val="000B6309"/>
    <w:rsid w:val="000C14D8"/>
    <w:rsid w:val="000C293C"/>
    <w:rsid w:val="000C56D1"/>
    <w:rsid w:val="000C5C45"/>
    <w:rsid w:val="000C6D81"/>
    <w:rsid w:val="000C6E2F"/>
    <w:rsid w:val="000C744B"/>
    <w:rsid w:val="000D5113"/>
    <w:rsid w:val="000E526A"/>
    <w:rsid w:val="000F179A"/>
    <w:rsid w:val="00100861"/>
    <w:rsid w:val="001050B5"/>
    <w:rsid w:val="001070A7"/>
    <w:rsid w:val="00107122"/>
    <w:rsid w:val="00111A7F"/>
    <w:rsid w:val="00112889"/>
    <w:rsid w:val="001134E7"/>
    <w:rsid w:val="0011544F"/>
    <w:rsid w:val="00121290"/>
    <w:rsid w:val="001217CF"/>
    <w:rsid w:val="001255AF"/>
    <w:rsid w:val="00125C43"/>
    <w:rsid w:val="001261CA"/>
    <w:rsid w:val="00131941"/>
    <w:rsid w:val="00131E1A"/>
    <w:rsid w:val="001336FF"/>
    <w:rsid w:val="00136206"/>
    <w:rsid w:val="00137E9E"/>
    <w:rsid w:val="00140286"/>
    <w:rsid w:val="00140E30"/>
    <w:rsid w:val="00145218"/>
    <w:rsid w:val="001514A8"/>
    <w:rsid w:val="0015485F"/>
    <w:rsid w:val="00157BBE"/>
    <w:rsid w:val="00157D6B"/>
    <w:rsid w:val="00163878"/>
    <w:rsid w:val="0017062A"/>
    <w:rsid w:val="0017169E"/>
    <w:rsid w:val="00173D4C"/>
    <w:rsid w:val="00174CEC"/>
    <w:rsid w:val="00177BBF"/>
    <w:rsid w:val="00177CF1"/>
    <w:rsid w:val="00181664"/>
    <w:rsid w:val="00185B1F"/>
    <w:rsid w:val="00185BA1"/>
    <w:rsid w:val="00186424"/>
    <w:rsid w:val="00186DC1"/>
    <w:rsid w:val="0019168E"/>
    <w:rsid w:val="00192B54"/>
    <w:rsid w:val="00195B11"/>
    <w:rsid w:val="001A0287"/>
    <w:rsid w:val="001A40DE"/>
    <w:rsid w:val="001A6635"/>
    <w:rsid w:val="001B0EE9"/>
    <w:rsid w:val="001B1D18"/>
    <w:rsid w:val="001B43CC"/>
    <w:rsid w:val="001B65B3"/>
    <w:rsid w:val="001B7493"/>
    <w:rsid w:val="001B7598"/>
    <w:rsid w:val="001C0417"/>
    <w:rsid w:val="001C0729"/>
    <w:rsid w:val="001D0CAD"/>
    <w:rsid w:val="001D24B4"/>
    <w:rsid w:val="001D639A"/>
    <w:rsid w:val="001D7202"/>
    <w:rsid w:val="001E3C32"/>
    <w:rsid w:val="001E4C98"/>
    <w:rsid w:val="001E60D6"/>
    <w:rsid w:val="001F12FD"/>
    <w:rsid w:val="001F33C3"/>
    <w:rsid w:val="001F43E8"/>
    <w:rsid w:val="001F475D"/>
    <w:rsid w:val="001F55A6"/>
    <w:rsid w:val="001F670E"/>
    <w:rsid w:val="001F7178"/>
    <w:rsid w:val="001F7D6F"/>
    <w:rsid w:val="00203236"/>
    <w:rsid w:val="00205990"/>
    <w:rsid w:val="002124D5"/>
    <w:rsid w:val="00213187"/>
    <w:rsid w:val="00215762"/>
    <w:rsid w:val="002206E8"/>
    <w:rsid w:val="00222063"/>
    <w:rsid w:val="00222A26"/>
    <w:rsid w:val="00236F4F"/>
    <w:rsid w:val="00237E33"/>
    <w:rsid w:val="002408EA"/>
    <w:rsid w:val="00246C67"/>
    <w:rsid w:val="0024745F"/>
    <w:rsid w:val="0025603E"/>
    <w:rsid w:val="00257580"/>
    <w:rsid w:val="00263494"/>
    <w:rsid w:val="00271A6E"/>
    <w:rsid w:val="00274412"/>
    <w:rsid w:val="002819D7"/>
    <w:rsid w:val="00287008"/>
    <w:rsid w:val="002910D4"/>
    <w:rsid w:val="00292CC7"/>
    <w:rsid w:val="00294F60"/>
    <w:rsid w:val="00297DF5"/>
    <w:rsid w:val="002B1DAE"/>
    <w:rsid w:val="002B4305"/>
    <w:rsid w:val="002B4610"/>
    <w:rsid w:val="002B66B6"/>
    <w:rsid w:val="002B7859"/>
    <w:rsid w:val="002C0687"/>
    <w:rsid w:val="002C1A7E"/>
    <w:rsid w:val="002D23A1"/>
    <w:rsid w:val="002D3376"/>
    <w:rsid w:val="002D52B4"/>
    <w:rsid w:val="002E2970"/>
    <w:rsid w:val="002E48E1"/>
    <w:rsid w:val="002E73F5"/>
    <w:rsid w:val="00300654"/>
    <w:rsid w:val="00305057"/>
    <w:rsid w:val="00307451"/>
    <w:rsid w:val="00310155"/>
    <w:rsid w:val="00311ED0"/>
    <w:rsid w:val="00312820"/>
    <w:rsid w:val="00314BD6"/>
    <w:rsid w:val="00314EF6"/>
    <w:rsid w:val="00322AB9"/>
    <w:rsid w:val="003243C0"/>
    <w:rsid w:val="00325353"/>
    <w:rsid w:val="00325F69"/>
    <w:rsid w:val="00333725"/>
    <w:rsid w:val="00333956"/>
    <w:rsid w:val="0033411F"/>
    <w:rsid w:val="00336D93"/>
    <w:rsid w:val="003379FD"/>
    <w:rsid w:val="00343516"/>
    <w:rsid w:val="00346A1B"/>
    <w:rsid w:val="0036097E"/>
    <w:rsid w:val="003648C5"/>
    <w:rsid w:val="00364A20"/>
    <w:rsid w:val="00367D8A"/>
    <w:rsid w:val="003722FA"/>
    <w:rsid w:val="00373E7F"/>
    <w:rsid w:val="003761FA"/>
    <w:rsid w:val="0038223D"/>
    <w:rsid w:val="00385E0B"/>
    <w:rsid w:val="00390EE1"/>
    <w:rsid w:val="003916D2"/>
    <w:rsid w:val="00397383"/>
    <w:rsid w:val="003A2A7E"/>
    <w:rsid w:val="003A3ACC"/>
    <w:rsid w:val="003B241A"/>
    <w:rsid w:val="003B647B"/>
    <w:rsid w:val="003B7E18"/>
    <w:rsid w:val="003C4CB5"/>
    <w:rsid w:val="003C7AAF"/>
    <w:rsid w:val="003C7AC2"/>
    <w:rsid w:val="003D260F"/>
    <w:rsid w:val="003D5B9A"/>
    <w:rsid w:val="003D638B"/>
    <w:rsid w:val="003E53D9"/>
    <w:rsid w:val="003E74E7"/>
    <w:rsid w:val="003E7AFE"/>
    <w:rsid w:val="003F098C"/>
    <w:rsid w:val="003F0A04"/>
    <w:rsid w:val="003F0DD6"/>
    <w:rsid w:val="003F1C1C"/>
    <w:rsid w:val="003F36DF"/>
    <w:rsid w:val="003F6A30"/>
    <w:rsid w:val="00401C03"/>
    <w:rsid w:val="004060D9"/>
    <w:rsid w:val="004075B6"/>
    <w:rsid w:val="004112F1"/>
    <w:rsid w:val="00417605"/>
    <w:rsid w:val="00420952"/>
    <w:rsid w:val="004232BA"/>
    <w:rsid w:val="00426032"/>
    <w:rsid w:val="004260FA"/>
    <w:rsid w:val="0042620D"/>
    <w:rsid w:val="00426C41"/>
    <w:rsid w:val="00427257"/>
    <w:rsid w:val="00431C3B"/>
    <w:rsid w:val="004320D2"/>
    <w:rsid w:val="00433AC6"/>
    <w:rsid w:val="00437C25"/>
    <w:rsid w:val="00440E0A"/>
    <w:rsid w:val="00441D59"/>
    <w:rsid w:val="00442B9A"/>
    <w:rsid w:val="00446BEE"/>
    <w:rsid w:val="004638CF"/>
    <w:rsid w:val="00466495"/>
    <w:rsid w:val="00467517"/>
    <w:rsid w:val="00471DFF"/>
    <w:rsid w:val="004753FB"/>
    <w:rsid w:val="00494018"/>
    <w:rsid w:val="00494D60"/>
    <w:rsid w:val="004956D2"/>
    <w:rsid w:val="004A18D3"/>
    <w:rsid w:val="004A4B4F"/>
    <w:rsid w:val="004B377A"/>
    <w:rsid w:val="004C0D7B"/>
    <w:rsid w:val="004C132A"/>
    <w:rsid w:val="004C4B42"/>
    <w:rsid w:val="004D0756"/>
    <w:rsid w:val="004D2EE2"/>
    <w:rsid w:val="004D76DB"/>
    <w:rsid w:val="004E06AE"/>
    <w:rsid w:val="004E495C"/>
    <w:rsid w:val="004E4E13"/>
    <w:rsid w:val="004E671C"/>
    <w:rsid w:val="004F0E39"/>
    <w:rsid w:val="004F16E1"/>
    <w:rsid w:val="004F2F68"/>
    <w:rsid w:val="004F3270"/>
    <w:rsid w:val="004F3F76"/>
    <w:rsid w:val="005025A1"/>
    <w:rsid w:val="005033E1"/>
    <w:rsid w:val="005051D1"/>
    <w:rsid w:val="00505C01"/>
    <w:rsid w:val="00510793"/>
    <w:rsid w:val="00512EB4"/>
    <w:rsid w:val="005132E5"/>
    <w:rsid w:val="0052348D"/>
    <w:rsid w:val="00526046"/>
    <w:rsid w:val="00527512"/>
    <w:rsid w:val="00527AC7"/>
    <w:rsid w:val="00531507"/>
    <w:rsid w:val="00534AFE"/>
    <w:rsid w:val="00535B56"/>
    <w:rsid w:val="00536AE0"/>
    <w:rsid w:val="0054610E"/>
    <w:rsid w:val="00553265"/>
    <w:rsid w:val="005539AC"/>
    <w:rsid w:val="005557C0"/>
    <w:rsid w:val="005654C0"/>
    <w:rsid w:val="0056788F"/>
    <w:rsid w:val="00571E53"/>
    <w:rsid w:val="0057417D"/>
    <w:rsid w:val="005757FE"/>
    <w:rsid w:val="00577F30"/>
    <w:rsid w:val="00580319"/>
    <w:rsid w:val="00581D2D"/>
    <w:rsid w:val="00581F48"/>
    <w:rsid w:val="00585046"/>
    <w:rsid w:val="00585619"/>
    <w:rsid w:val="005870C1"/>
    <w:rsid w:val="00594999"/>
    <w:rsid w:val="00594C3A"/>
    <w:rsid w:val="005A02D5"/>
    <w:rsid w:val="005A0AED"/>
    <w:rsid w:val="005A2197"/>
    <w:rsid w:val="005A31A0"/>
    <w:rsid w:val="005A3F91"/>
    <w:rsid w:val="005A6135"/>
    <w:rsid w:val="005A7295"/>
    <w:rsid w:val="005B307F"/>
    <w:rsid w:val="005B335C"/>
    <w:rsid w:val="005B491C"/>
    <w:rsid w:val="005C0780"/>
    <w:rsid w:val="005C404C"/>
    <w:rsid w:val="005D12D0"/>
    <w:rsid w:val="005D2606"/>
    <w:rsid w:val="005D52D0"/>
    <w:rsid w:val="005D762E"/>
    <w:rsid w:val="005F150A"/>
    <w:rsid w:val="005F3650"/>
    <w:rsid w:val="005F4007"/>
    <w:rsid w:val="006044A4"/>
    <w:rsid w:val="00613EF4"/>
    <w:rsid w:val="00614BFB"/>
    <w:rsid w:val="00616FFC"/>
    <w:rsid w:val="00622EF3"/>
    <w:rsid w:val="00622FE6"/>
    <w:rsid w:val="00624140"/>
    <w:rsid w:val="00624C9E"/>
    <w:rsid w:val="0063366D"/>
    <w:rsid w:val="0063409D"/>
    <w:rsid w:val="00641562"/>
    <w:rsid w:val="00642EF2"/>
    <w:rsid w:val="00645288"/>
    <w:rsid w:val="00646DFE"/>
    <w:rsid w:val="0065194C"/>
    <w:rsid w:val="00653B37"/>
    <w:rsid w:val="00653FEA"/>
    <w:rsid w:val="0065453C"/>
    <w:rsid w:val="00656CA6"/>
    <w:rsid w:val="00665346"/>
    <w:rsid w:val="006709A9"/>
    <w:rsid w:val="00675130"/>
    <w:rsid w:val="00675D66"/>
    <w:rsid w:val="00676AF9"/>
    <w:rsid w:val="00677245"/>
    <w:rsid w:val="006775E5"/>
    <w:rsid w:val="006802A7"/>
    <w:rsid w:val="006844DE"/>
    <w:rsid w:val="006855FF"/>
    <w:rsid w:val="0068704E"/>
    <w:rsid w:val="006921E1"/>
    <w:rsid w:val="0069226D"/>
    <w:rsid w:val="00692AC8"/>
    <w:rsid w:val="00695381"/>
    <w:rsid w:val="00695393"/>
    <w:rsid w:val="00696C0A"/>
    <w:rsid w:val="006A14A8"/>
    <w:rsid w:val="006A28FB"/>
    <w:rsid w:val="006A3493"/>
    <w:rsid w:val="006A594C"/>
    <w:rsid w:val="006A6892"/>
    <w:rsid w:val="006B186C"/>
    <w:rsid w:val="006B57EE"/>
    <w:rsid w:val="006C2A9F"/>
    <w:rsid w:val="006C3572"/>
    <w:rsid w:val="006C3E12"/>
    <w:rsid w:val="006C66AE"/>
    <w:rsid w:val="006C7C2B"/>
    <w:rsid w:val="006D460B"/>
    <w:rsid w:val="006D4C33"/>
    <w:rsid w:val="006D4C5A"/>
    <w:rsid w:val="006D65B8"/>
    <w:rsid w:val="006D76AC"/>
    <w:rsid w:val="006E0AA3"/>
    <w:rsid w:val="006E14E2"/>
    <w:rsid w:val="006E462F"/>
    <w:rsid w:val="006E46D9"/>
    <w:rsid w:val="006E6625"/>
    <w:rsid w:val="006F1DE5"/>
    <w:rsid w:val="006F1E9C"/>
    <w:rsid w:val="006F320B"/>
    <w:rsid w:val="006F51C7"/>
    <w:rsid w:val="006F7F5A"/>
    <w:rsid w:val="00706652"/>
    <w:rsid w:val="00706859"/>
    <w:rsid w:val="00710CF5"/>
    <w:rsid w:val="007156DB"/>
    <w:rsid w:val="00717370"/>
    <w:rsid w:val="00720A57"/>
    <w:rsid w:val="007244E9"/>
    <w:rsid w:val="00724958"/>
    <w:rsid w:val="00730F6B"/>
    <w:rsid w:val="00736348"/>
    <w:rsid w:val="007400D7"/>
    <w:rsid w:val="00740F64"/>
    <w:rsid w:val="007413F7"/>
    <w:rsid w:val="00746940"/>
    <w:rsid w:val="00750945"/>
    <w:rsid w:val="0075204D"/>
    <w:rsid w:val="00752F80"/>
    <w:rsid w:val="00754CDB"/>
    <w:rsid w:val="0077376B"/>
    <w:rsid w:val="00776232"/>
    <w:rsid w:val="00781C41"/>
    <w:rsid w:val="00792564"/>
    <w:rsid w:val="00793128"/>
    <w:rsid w:val="007A0687"/>
    <w:rsid w:val="007A5577"/>
    <w:rsid w:val="007B3F80"/>
    <w:rsid w:val="007B49CB"/>
    <w:rsid w:val="007B5384"/>
    <w:rsid w:val="007B78A8"/>
    <w:rsid w:val="007C041A"/>
    <w:rsid w:val="007C1029"/>
    <w:rsid w:val="007C5318"/>
    <w:rsid w:val="007C5395"/>
    <w:rsid w:val="007C5857"/>
    <w:rsid w:val="007C5D88"/>
    <w:rsid w:val="007D1ACD"/>
    <w:rsid w:val="007D51FE"/>
    <w:rsid w:val="007D69C3"/>
    <w:rsid w:val="007E2A34"/>
    <w:rsid w:val="007E4768"/>
    <w:rsid w:val="007E53F6"/>
    <w:rsid w:val="007E763C"/>
    <w:rsid w:val="007F1418"/>
    <w:rsid w:val="007F2D71"/>
    <w:rsid w:val="007F6A38"/>
    <w:rsid w:val="00814C30"/>
    <w:rsid w:val="00820F51"/>
    <w:rsid w:val="00823D31"/>
    <w:rsid w:val="00825B5B"/>
    <w:rsid w:val="00833D8A"/>
    <w:rsid w:val="0083652B"/>
    <w:rsid w:val="008369F7"/>
    <w:rsid w:val="00841837"/>
    <w:rsid w:val="00841FC8"/>
    <w:rsid w:val="00843116"/>
    <w:rsid w:val="00843C23"/>
    <w:rsid w:val="00851A29"/>
    <w:rsid w:val="00860473"/>
    <w:rsid w:val="00861B92"/>
    <w:rsid w:val="00864446"/>
    <w:rsid w:val="008666D0"/>
    <w:rsid w:val="00880379"/>
    <w:rsid w:val="008814D7"/>
    <w:rsid w:val="008814FB"/>
    <w:rsid w:val="00885543"/>
    <w:rsid w:val="00887E07"/>
    <w:rsid w:val="008924E1"/>
    <w:rsid w:val="00894960"/>
    <w:rsid w:val="008A41BF"/>
    <w:rsid w:val="008A4F59"/>
    <w:rsid w:val="008A5444"/>
    <w:rsid w:val="008B1892"/>
    <w:rsid w:val="008B20CF"/>
    <w:rsid w:val="008B29C5"/>
    <w:rsid w:val="008B3870"/>
    <w:rsid w:val="008C7572"/>
    <w:rsid w:val="008D0C02"/>
    <w:rsid w:val="008D140D"/>
    <w:rsid w:val="008D260E"/>
    <w:rsid w:val="008D5F69"/>
    <w:rsid w:val="008E1017"/>
    <w:rsid w:val="008E53D3"/>
    <w:rsid w:val="008E5CD5"/>
    <w:rsid w:val="008E7826"/>
    <w:rsid w:val="008F5E30"/>
    <w:rsid w:val="008F68F9"/>
    <w:rsid w:val="008F6FB7"/>
    <w:rsid w:val="009000C4"/>
    <w:rsid w:val="00914D7F"/>
    <w:rsid w:val="00915ED4"/>
    <w:rsid w:val="00922538"/>
    <w:rsid w:val="009425C9"/>
    <w:rsid w:val="00944267"/>
    <w:rsid w:val="0094615D"/>
    <w:rsid w:val="0095550E"/>
    <w:rsid w:val="00962AEF"/>
    <w:rsid w:val="0097265F"/>
    <w:rsid w:val="0097305A"/>
    <w:rsid w:val="009745BC"/>
    <w:rsid w:val="00976731"/>
    <w:rsid w:val="00980155"/>
    <w:rsid w:val="009801B4"/>
    <w:rsid w:val="009870BA"/>
    <w:rsid w:val="00987C21"/>
    <w:rsid w:val="009900A1"/>
    <w:rsid w:val="00990324"/>
    <w:rsid w:val="00993316"/>
    <w:rsid w:val="009A17D9"/>
    <w:rsid w:val="009A21A2"/>
    <w:rsid w:val="009A539A"/>
    <w:rsid w:val="009B0620"/>
    <w:rsid w:val="009B30C3"/>
    <w:rsid w:val="009B47C7"/>
    <w:rsid w:val="009B50F5"/>
    <w:rsid w:val="009B5335"/>
    <w:rsid w:val="009B780D"/>
    <w:rsid w:val="009C06BC"/>
    <w:rsid w:val="009C1AE3"/>
    <w:rsid w:val="009C24A7"/>
    <w:rsid w:val="009C767B"/>
    <w:rsid w:val="009D146B"/>
    <w:rsid w:val="009D71E1"/>
    <w:rsid w:val="009D7E88"/>
    <w:rsid w:val="009E1B76"/>
    <w:rsid w:val="009E30ED"/>
    <w:rsid w:val="009E3829"/>
    <w:rsid w:val="009E4CFC"/>
    <w:rsid w:val="009E5C35"/>
    <w:rsid w:val="009E680B"/>
    <w:rsid w:val="009E772A"/>
    <w:rsid w:val="009F41F7"/>
    <w:rsid w:val="009F6F65"/>
    <w:rsid w:val="00A04B91"/>
    <w:rsid w:val="00A06721"/>
    <w:rsid w:val="00A07199"/>
    <w:rsid w:val="00A11DDC"/>
    <w:rsid w:val="00A13F94"/>
    <w:rsid w:val="00A15A1F"/>
    <w:rsid w:val="00A240DA"/>
    <w:rsid w:val="00A25E73"/>
    <w:rsid w:val="00A31AE6"/>
    <w:rsid w:val="00A3325A"/>
    <w:rsid w:val="00A336D4"/>
    <w:rsid w:val="00A33E05"/>
    <w:rsid w:val="00A36686"/>
    <w:rsid w:val="00A36CA7"/>
    <w:rsid w:val="00A41641"/>
    <w:rsid w:val="00A416C0"/>
    <w:rsid w:val="00A43013"/>
    <w:rsid w:val="00A52262"/>
    <w:rsid w:val="00A53F00"/>
    <w:rsid w:val="00A555F5"/>
    <w:rsid w:val="00A55E4C"/>
    <w:rsid w:val="00A625D9"/>
    <w:rsid w:val="00A62EA7"/>
    <w:rsid w:val="00A76FC6"/>
    <w:rsid w:val="00A8560F"/>
    <w:rsid w:val="00A97A1E"/>
    <w:rsid w:val="00AA4E70"/>
    <w:rsid w:val="00AA5590"/>
    <w:rsid w:val="00AB4CB4"/>
    <w:rsid w:val="00AB5EF8"/>
    <w:rsid w:val="00AC06EA"/>
    <w:rsid w:val="00AC1AB2"/>
    <w:rsid w:val="00AC1E15"/>
    <w:rsid w:val="00AC2DFA"/>
    <w:rsid w:val="00AC707D"/>
    <w:rsid w:val="00AD3B77"/>
    <w:rsid w:val="00AD4C2E"/>
    <w:rsid w:val="00AE7D44"/>
    <w:rsid w:val="00AF06DB"/>
    <w:rsid w:val="00AF108A"/>
    <w:rsid w:val="00AF4A4A"/>
    <w:rsid w:val="00B00C49"/>
    <w:rsid w:val="00B02E55"/>
    <w:rsid w:val="00B036C1"/>
    <w:rsid w:val="00B05FDC"/>
    <w:rsid w:val="00B11B32"/>
    <w:rsid w:val="00B1334E"/>
    <w:rsid w:val="00B20D60"/>
    <w:rsid w:val="00B371C9"/>
    <w:rsid w:val="00B43EDB"/>
    <w:rsid w:val="00B4448E"/>
    <w:rsid w:val="00B5431F"/>
    <w:rsid w:val="00B65A11"/>
    <w:rsid w:val="00B71CB8"/>
    <w:rsid w:val="00B75946"/>
    <w:rsid w:val="00B76CF7"/>
    <w:rsid w:val="00B86BCE"/>
    <w:rsid w:val="00B96CCA"/>
    <w:rsid w:val="00BB121B"/>
    <w:rsid w:val="00BB1FA0"/>
    <w:rsid w:val="00BC184B"/>
    <w:rsid w:val="00BC30BF"/>
    <w:rsid w:val="00BC4905"/>
    <w:rsid w:val="00BC5CD6"/>
    <w:rsid w:val="00BD2FCB"/>
    <w:rsid w:val="00BD44F4"/>
    <w:rsid w:val="00BD7622"/>
    <w:rsid w:val="00BE329D"/>
    <w:rsid w:val="00BE343F"/>
    <w:rsid w:val="00BE484C"/>
    <w:rsid w:val="00BE4EAB"/>
    <w:rsid w:val="00BE5D37"/>
    <w:rsid w:val="00BF11D9"/>
    <w:rsid w:val="00BF1E04"/>
    <w:rsid w:val="00BF326E"/>
    <w:rsid w:val="00BF5D8D"/>
    <w:rsid w:val="00BF7FE0"/>
    <w:rsid w:val="00C028A1"/>
    <w:rsid w:val="00C05A58"/>
    <w:rsid w:val="00C2146D"/>
    <w:rsid w:val="00C2674C"/>
    <w:rsid w:val="00C31086"/>
    <w:rsid w:val="00C32CBF"/>
    <w:rsid w:val="00C32EE1"/>
    <w:rsid w:val="00C33FE5"/>
    <w:rsid w:val="00C3496C"/>
    <w:rsid w:val="00C34B17"/>
    <w:rsid w:val="00C34E15"/>
    <w:rsid w:val="00C36044"/>
    <w:rsid w:val="00C36380"/>
    <w:rsid w:val="00C41A0D"/>
    <w:rsid w:val="00C439F8"/>
    <w:rsid w:val="00C4497C"/>
    <w:rsid w:val="00C45256"/>
    <w:rsid w:val="00C55617"/>
    <w:rsid w:val="00C62933"/>
    <w:rsid w:val="00C667C9"/>
    <w:rsid w:val="00C7018E"/>
    <w:rsid w:val="00C70F32"/>
    <w:rsid w:val="00C71C93"/>
    <w:rsid w:val="00C7372C"/>
    <w:rsid w:val="00C77C66"/>
    <w:rsid w:val="00C81F4D"/>
    <w:rsid w:val="00C82DAD"/>
    <w:rsid w:val="00C82F3B"/>
    <w:rsid w:val="00C84EE7"/>
    <w:rsid w:val="00C85682"/>
    <w:rsid w:val="00C85BD3"/>
    <w:rsid w:val="00C90C99"/>
    <w:rsid w:val="00C96411"/>
    <w:rsid w:val="00CA051B"/>
    <w:rsid w:val="00CA73F1"/>
    <w:rsid w:val="00CB2369"/>
    <w:rsid w:val="00CB2CF3"/>
    <w:rsid w:val="00CB423D"/>
    <w:rsid w:val="00CC1751"/>
    <w:rsid w:val="00CC38BA"/>
    <w:rsid w:val="00CE01FD"/>
    <w:rsid w:val="00CE2607"/>
    <w:rsid w:val="00CF106D"/>
    <w:rsid w:val="00CF2868"/>
    <w:rsid w:val="00CF2E5C"/>
    <w:rsid w:val="00CF47F2"/>
    <w:rsid w:val="00CF58B7"/>
    <w:rsid w:val="00D02A8F"/>
    <w:rsid w:val="00D05BCC"/>
    <w:rsid w:val="00D1699D"/>
    <w:rsid w:val="00D17D14"/>
    <w:rsid w:val="00D20BEC"/>
    <w:rsid w:val="00D20C91"/>
    <w:rsid w:val="00D319A7"/>
    <w:rsid w:val="00D32380"/>
    <w:rsid w:val="00D351C1"/>
    <w:rsid w:val="00D35EFB"/>
    <w:rsid w:val="00D450BE"/>
    <w:rsid w:val="00D47D55"/>
    <w:rsid w:val="00D504B3"/>
    <w:rsid w:val="00D63182"/>
    <w:rsid w:val="00D72DB8"/>
    <w:rsid w:val="00D75A4D"/>
    <w:rsid w:val="00D75C71"/>
    <w:rsid w:val="00D8450D"/>
    <w:rsid w:val="00D85AB8"/>
    <w:rsid w:val="00D86BF0"/>
    <w:rsid w:val="00D87347"/>
    <w:rsid w:val="00DA1D49"/>
    <w:rsid w:val="00DA30F0"/>
    <w:rsid w:val="00DA632C"/>
    <w:rsid w:val="00DB0089"/>
    <w:rsid w:val="00DB0B91"/>
    <w:rsid w:val="00DB2161"/>
    <w:rsid w:val="00DB5C8D"/>
    <w:rsid w:val="00DB7544"/>
    <w:rsid w:val="00DC12BA"/>
    <w:rsid w:val="00DC4E10"/>
    <w:rsid w:val="00DC6A81"/>
    <w:rsid w:val="00DD3227"/>
    <w:rsid w:val="00DD440C"/>
    <w:rsid w:val="00DD683D"/>
    <w:rsid w:val="00DD7966"/>
    <w:rsid w:val="00DE07DE"/>
    <w:rsid w:val="00DF29C4"/>
    <w:rsid w:val="00DF38BC"/>
    <w:rsid w:val="00DF3E26"/>
    <w:rsid w:val="00E03ABF"/>
    <w:rsid w:val="00E04931"/>
    <w:rsid w:val="00E06A4D"/>
    <w:rsid w:val="00E120EC"/>
    <w:rsid w:val="00E1309C"/>
    <w:rsid w:val="00E1483D"/>
    <w:rsid w:val="00E243E7"/>
    <w:rsid w:val="00E2563C"/>
    <w:rsid w:val="00E332E4"/>
    <w:rsid w:val="00E36468"/>
    <w:rsid w:val="00E36F44"/>
    <w:rsid w:val="00E43302"/>
    <w:rsid w:val="00E43E95"/>
    <w:rsid w:val="00E51079"/>
    <w:rsid w:val="00E51920"/>
    <w:rsid w:val="00E551E0"/>
    <w:rsid w:val="00E559BB"/>
    <w:rsid w:val="00E57AE6"/>
    <w:rsid w:val="00E62335"/>
    <w:rsid w:val="00E64120"/>
    <w:rsid w:val="00E660A1"/>
    <w:rsid w:val="00E71BFC"/>
    <w:rsid w:val="00E72AE9"/>
    <w:rsid w:val="00E7415F"/>
    <w:rsid w:val="00E74704"/>
    <w:rsid w:val="00E828B2"/>
    <w:rsid w:val="00E84D54"/>
    <w:rsid w:val="00E851C4"/>
    <w:rsid w:val="00E86F2C"/>
    <w:rsid w:val="00E947A3"/>
    <w:rsid w:val="00E9664A"/>
    <w:rsid w:val="00E96C4B"/>
    <w:rsid w:val="00E96CC6"/>
    <w:rsid w:val="00EA02CF"/>
    <w:rsid w:val="00EA3AB0"/>
    <w:rsid w:val="00EA5237"/>
    <w:rsid w:val="00EA6340"/>
    <w:rsid w:val="00EB096F"/>
    <w:rsid w:val="00EB244C"/>
    <w:rsid w:val="00EB604B"/>
    <w:rsid w:val="00EC3048"/>
    <w:rsid w:val="00ED4475"/>
    <w:rsid w:val="00EE0BBC"/>
    <w:rsid w:val="00EE1BCE"/>
    <w:rsid w:val="00EE26BE"/>
    <w:rsid w:val="00EE3DB7"/>
    <w:rsid w:val="00F00DDC"/>
    <w:rsid w:val="00F02221"/>
    <w:rsid w:val="00F03C22"/>
    <w:rsid w:val="00F055F1"/>
    <w:rsid w:val="00F10474"/>
    <w:rsid w:val="00F10895"/>
    <w:rsid w:val="00F14A4E"/>
    <w:rsid w:val="00F15083"/>
    <w:rsid w:val="00F23D4B"/>
    <w:rsid w:val="00F24DEB"/>
    <w:rsid w:val="00F35871"/>
    <w:rsid w:val="00F373A6"/>
    <w:rsid w:val="00F47B3C"/>
    <w:rsid w:val="00F51CBD"/>
    <w:rsid w:val="00F610AF"/>
    <w:rsid w:val="00F62B22"/>
    <w:rsid w:val="00F73793"/>
    <w:rsid w:val="00F74589"/>
    <w:rsid w:val="00F75A35"/>
    <w:rsid w:val="00F7608C"/>
    <w:rsid w:val="00F832E2"/>
    <w:rsid w:val="00F9172F"/>
    <w:rsid w:val="00F93F21"/>
    <w:rsid w:val="00F959E0"/>
    <w:rsid w:val="00F97E44"/>
    <w:rsid w:val="00FA120F"/>
    <w:rsid w:val="00FA2C5A"/>
    <w:rsid w:val="00FA649E"/>
    <w:rsid w:val="00FA668E"/>
    <w:rsid w:val="00FB0553"/>
    <w:rsid w:val="00FB08A9"/>
    <w:rsid w:val="00FB1CD9"/>
    <w:rsid w:val="00FC1558"/>
    <w:rsid w:val="00FC2D11"/>
    <w:rsid w:val="00FC583E"/>
    <w:rsid w:val="00FC6230"/>
    <w:rsid w:val="00FD0AC2"/>
    <w:rsid w:val="00FD19CA"/>
    <w:rsid w:val="00FD1E2B"/>
    <w:rsid w:val="00FD5175"/>
    <w:rsid w:val="00FE1954"/>
    <w:rsid w:val="00FF02B5"/>
    <w:rsid w:val="00FF61E7"/>
    <w:rsid w:val="018C1CB7"/>
    <w:rsid w:val="024B2356"/>
    <w:rsid w:val="02CB99E6"/>
    <w:rsid w:val="031FD016"/>
    <w:rsid w:val="0393EA35"/>
    <w:rsid w:val="047B0BD7"/>
    <w:rsid w:val="049D83EA"/>
    <w:rsid w:val="049FD26D"/>
    <w:rsid w:val="04B313EE"/>
    <w:rsid w:val="051EF4F5"/>
    <w:rsid w:val="0537614C"/>
    <w:rsid w:val="05762BEE"/>
    <w:rsid w:val="05A578D1"/>
    <w:rsid w:val="06B152A4"/>
    <w:rsid w:val="06C259B2"/>
    <w:rsid w:val="07292517"/>
    <w:rsid w:val="07479378"/>
    <w:rsid w:val="07E95505"/>
    <w:rsid w:val="081B0BAA"/>
    <w:rsid w:val="08E56C94"/>
    <w:rsid w:val="095528BD"/>
    <w:rsid w:val="0B9624F9"/>
    <w:rsid w:val="0C70FC92"/>
    <w:rsid w:val="0CCA65E0"/>
    <w:rsid w:val="0D27473E"/>
    <w:rsid w:val="101F67CB"/>
    <w:rsid w:val="10E5C4F2"/>
    <w:rsid w:val="11E2C7B7"/>
    <w:rsid w:val="13A0F869"/>
    <w:rsid w:val="167CBCA7"/>
    <w:rsid w:val="189C8879"/>
    <w:rsid w:val="1950D7BC"/>
    <w:rsid w:val="1AECA81D"/>
    <w:rsid w:val="1C2D7A75"/>
    <w:rsid w:val="1C88787E"/>
    <w:rsid w:val="1CA580C6"/>
    <w:rsid w:val="1D54FF6B"/>
    <w:rsid w:val="1F600894"/>
    <w:rsid w:val="2048C245"/>
    <w:rsid w:val="207DE44F"/>
    <w:rsid w:val="208A5886"/>
    <w:rsid w:val="239CE0D5"/>
    <w:rsid w:val="250703D6"/>
    <w:rsid w:val="2523CEAD"/>
    <w:rsid w:val="253FBFEC"/>
    <w:rsid w:val="259C6A6C"/>
    <w:rsid w:val="25F49284"/>
    <w:rsid w:val="26100C44"/>
    <w:rsid w:val="26A9115D"/>
    <w:rsid w:val="26BF99B0"/>
    <w:rsid w:val="26BF9F0E"/>
    <w:rsid w:val="27ABDCA5"/>
    <w:rsid w:val="28AEE2A6"/>
    <w:rsid w:val="29F73FD0"/>
    <w:rsid w:val="2A8EA3A0"/>
    <w:rsid w:val="2ABDFC47"/>
    <w:rsid w:val="2B8E32F0"/>
    <w:rsid w:val="2B931031"/>
    <w:rsid w:val="2CC29703"/>
    <w:rsid w:val="2D1D437D"/>
    <w:rsid w:val="2E1D7C39"/>
    <w:rsid w:val="2E8C9CCA"/>
    <w:rsid w:val="2FB719CD"/>
    <w:rsid w:val="30AAB17D"/>
    <w:rsid w:val="337089C2"/>
    <w:rsid w:val="3370DA70"/>
    <w:rsid w:val="34791F02"/>
    <w:rsid w:val="348D6195"/>
    <w:rsid w:val="3621A9AF"/>
    <w:rsid w:val="362AC7C0"/>
    <w:rsid w:val="36936A25"/>
    <w:rsid w:val="36F0840D"/>
    <w:rsid w:val="371E1050"/>
    <w:rsid w:val="37837340"/>
    <w:rsid w:val="3847B641"/>
    <w:rsid w:val="3939C0FD"/>
    <w:rsid w:val="3A339EDA"/>
    <w:rsid w:val="3A75C363"/>
    <w:rsid w:val="3ADB1FFE"/>
    <w:rsid w:val="3B1A248F"/>
    <w:rsid w:val="3CE29E7F"/>
    <w:rsid w:val="3D21A01D"/>
    <w:rsid w:val="3FCF4CA6"/>
    <w:rsid w:val="41573FB4"/>
    <w:rsid w:val="430A408B"/>
    <w:rsid w:val="45A25A13"/>
    <w:rsid w:val="462AB0D7"/>
    <w:rsid w:val="46604A69"/>
    <w:rsid w:val="46722B29"/>
    <w:rsid w:val="46ECCB67"/>
    <w:rsid w:val="482B3CC5"/>
    <w:rsid w:val="48AED26C"/>
    <w:rsid w:val="48B6F907"/>
    <w:rsid w:val="4AA46646"/>
    <w:rsid w:val="4B8F171D"/>
    <w:rsid w:val="4C119B97"/>
    <w:rsid w:val="4C37E5CF"/>
    <w:rsid w:val="4DAD6BF8"/>
    <w:rsid w:val="4DC3D323"/>
    <w:rsid w:val="4E1925D8"/>
    <w:rsid w:val="4F3FB2BF"/>
    <w:rsid w:val="4F403DE0"/>
    <w:rsid w:val="4F720AF8"/>
    <w:rsid w:val="4F74FD23"/>
    <w:rsid w:val="502D915E"/>
    <w:rsid w:val="5065D7BA"/>
    <w:rsid w:val="516F7C9B"/>
    <w:rsid w:val="53F0FA52"/>
    <w:rsid w:val="554E1EFE"/>
    <w:rsid w:val="56585586"/>
    <w:rsid w:val="565D6614"/>
    <w:rsid w:val="58D277C8"/>
    <w:rsid w:val="597007F8"/>
    <w:rsid w:val="5A537823"/>
    <w:rsid w:val="5CB803AB"/>
    <w:rsid w:val="5CC86F6A"/>
    <w:rsid w:val="5D22463E"/>
    <w:rsid w:val="5DD8AEA6"/>
    <w:rsid w:val="5DF8812F"/>
    <w:rsid w:val="5E588ECD"/>
    <w:rsid w:val="5FC5C8E8"/>
    <w:rsid w:val="5FEFA46D"/>
    <w:rsid w:val="6117EF4E"/>
    <w:rsid w:val="62515FB3"/>
    <w:rsid w:val="62574653"/>
    <w:rsid w:val="6313F0AF"/>
    <w:rsid w:val="647946A9"/>
    <w:rsid w:val="6521E3A1"/>
    <w:rsid w:val="66A95966"/>
    <w:rsid w:val="6786DCAF"/>
    <w:rsid w:val="67CE94A6"/>
    <w:rsid w:val="6991FC69"/>
    <w:rsid w:val="6993F895"/>
    <w:rsid w:val="6A367702"/>
    <w:rsid w:val="6B1D22E7"/>
    <w:rsid w:val="6C228BA5"/>
    <w:rsid w:val="6C6F2D01"/>
    <w:rsid w:val="6D5FBF60"/>
    <w:rsid w:val="6E03BED0"/>
    <w:rsid w:val="6E17BF7B"/>
    <w:rsid w:val="6FB95C91"/>
    <w:rsid w:val="6FED4026"/>
    <w:rsid w:val="7063392E"/>
    <w:rsid w:val="74CC9AC5"/>
    <w:rsid w:val="75D8EEC9"/>
    <w:rsid w:val="7687154C"/>
    <w:rsid w:val="76C5FB64"/>
    <w:rsid w:val="774FA451"/>
    <w:rsid w:val="7799CE02"/>
    <w:rsid w:val="7898379C"/>
    <w:rsid w:val="7A59A2FA"/>
    <w:rsid w:val="7AA5BCF3"/>
    <w:rsid w:val="7AF80857"/>
    <w:rsid w:val="7DB05949"/>
    <w:rsid w:val="7E00C2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F4049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05F"/>
    <w:rPr>
      <w:sz w:val="24"/>
      <w:szCs w:val="24"/>
      <w:lang w:eastAsia="en-US"/>
    </w:rPr>
  </w:style>
  <w:style w:type="paragraph" w:styleId="Heading1">
    <w:name w:val="heading 1"/>
    <w:basedOn w:val="Normal"/>
    <w:next w:val="NICEnormal"/>
    <w:link w:val="Heading1Char"/>
    <w:qFormat/>
    <w:rsid w:val="0003205F"/>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03205F"/>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03205F"/>
    <w:pPr>
      <w:keepNext/>
      <w:spacing w:before="240" w:after="60" w:line="360" w:lineRule="auto"/>
      <w:outlineLvl w:val="2"/>
    </w:pPr>
    <w:rPr>
      <w:rFonts w:ascii="Arial" w:hAnsi="Arial" w:cs="Arial"/>
      <w:b/>
      <w:bCs/>
      <w:sz w:val="26"/>
    </w:rPr>
  </w:style>
  <w:style w:type="paragraph" w:styleId="Heading4">
    <w:name w:val="heading 4"/>
    <w:basedOn w:val="Normal"/>
    <w:next w:val="NICEnormal"/>
    <w:link w:val="Heading4Char"/>
    <w:qFormat/>
    <w:rsid w:val="0003205F"/>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Numbered">
    <w:name w:val="Paragraph Numbered"/>
    <w:basedOn w:val="Normal"/>
    <w:uiPriority w:val="4"/>
    <w:qFormat/>
    <w:rsid w:val="00624140"/>
    <w:pPr>
      <w:numPr>
        <w:numId w:val="23"/>
      </w:numPr>
      <w:tabs>
        <w:tab w:val="left" w:pos="426"/>
      </w:tabs>
      <w:spacing w:after="240" w:line="360" w:lineRule="auto"/>
      <w:ind w:left="425" w:hanging="425"/>
    </w:pPr>
    <w:rPr>
      <w:rFonts w:ascii="Arial" w:hAnsi="Arial"/>
    </w:rPr>
  </w:style>
  <w:style w:type="paragraph" w:styleId="Title">
    <w:name w:val="Title"/>
    <w:basedOn w:val="Normal"/>
    <w:next w:val="NICEnormal"/>
    <w:link w:val="TitleChar"/>
    <w:qFormat/>
    <w:rsid w:val="0003205F"/>
    <w:pPr>
      <w:keepNext/>
      <w:spacing w:before="240" w:after="240"/>
      <w:jc w:val="center"/>
      <w:outlineLvl w:val="0"/>
    </w:pPr>
    <w:rPr>
      <w:rFonts w:ascii="Arial" w:hAnsi="Arial" w:cs="Arial"/>
      <w:b/>
      <w:bCs/>
      <w:kern w:val="28"/>
      <w:sz w:val="40"/>
      <w:szCs w:val="32"/>
    </w:rPr>
  </w:style>
  <w:style w:type="character" w:customStyle="1" w:styleId="TitleChar">
    <w:name w:val="Title Char"/>
    <w:basedOn w:val="DefaultParagraphFont"/>
    <w:link w:val="Title"/>
    <w:rsid w:val="00696C0A"/>
    <w:rPr>
      <w:rFonts w:ascii="Arial" w:hAnsi="Arial" w:cs="Arial"/>
      <w:b/>
      <w:bCs/>
      <w:kern w:val="28"/>
      <w:sz w:val="40"/>
      <w:szCs w:val="32"/>
      <w:lang w:eastAsia="en-US"/>
    </w:rPr>
  </w:style>
  <w:style w:type="character" w:customStyle="1" w:styleId="Heading1Char">
    <w:name w:val="Heading 1 Char"/>
    <w:link w:val="Heading1"/>
    <w:rsid w:val="0003205F"/>
    <w:rPr>
      <w:rFonts w:ascii="Arial" w:hAnsi="Arial" w:cs="Arial"/>
      <w:b/>
      <w:bCs/>
      <w:kern w:val="32"/>
      <w:sz w:val="32"/>
      <w:szCs w:val="32"/>
      <w:lang w:eastAsia="en-US"/>
    </w:rPr>
  </w:style>
  <w:style w:type="paragraph" w:customStyle="1" w:styleId="Bullets">
    <w:name w:val="Bullets"/>
    <w:basedOn w:val="Normal"/>
    <w:uiPriority w:val="5"/>
    <w:qFormat/>
    <w:rsid w:val="00C85682"/>
    <w:pPr>
      <w:numPr>
        <w:numId w:val="24"/>
      </w:numPr>
      <w:tabs>
        <w:tab w:val="left" w:pos="993"/>
      </w:tabs>
      <w:spacing w:line="360" w:lineRule="auto"/>
      <w:ind w:left="993" w:hanging="426"/>
    </w:pPr>
    <w:rPr>
      <w:rFonts w:ascii="Arial" w:hAnsi="Arial"/>
    </w:rPr>
  </w:style>
  <w:style w:type="paragraph" w:styleId="Header">
    <w:name w:val="header"/>
    <w:basedOn w:val="NICEnormalsinglespacing"/>
    <w:link w:val="HeaderChar"/>
    <w:rsid w:val="0003205F"/>
    <w:pPr>
      <w:tabs>
        <w:tab w:val="center" w:pos="4153"/>
        <w:tab w:val="right" w:pos="8306"/>
      </w:tabs>
    </w:pPr>
  </w:style>
  <w:style w:type="character" w:customStyle="1" w:styleId="HeaderChar">
    <w:name w:val="Header Char"/>
    <w:basedOn w:val="DefaultParagraphFont"/>
    <w:link w:val="Header"/>
    <w:rsid w:val="009E680B"/>
    <w:rPr>
      <w:rFonts w:ascii="Arial" w:hAnsi="Arial"/>
      <w:sz w:val="24"/>
      <w:szCs w:val="24"/>
      <w:lang w:eastAsia="en-US"/>
    </w:rPr>
  </w:style>
  <w:style w:type="paragraph" w:styleId="Footer">
    <w:name w:val="footer"/>
    <w:basedOn w:val="NICEnormalsinglespacing"/>
    <w:link w:val="FooterChar"/>
    <w:rsid w:val="0003205F"/>
    <w:pPr>
      <w:tabs>
        <w:tab w:val="center" w:pos="4153"/>
        <w:tab w:val="right" w:pos="8306"/>
      </w:tabs>
    </w:pPr>
  </w:style>
  <w:style w:type="character" w:customStyle="1" w:styleId="FooterChar">
    <w:name w:val="Footer Char"/>
    <w:basedOn w:val="DefaultParagraphFont"/>
    <w:link w:val="Footer"/>
    <w:rsid w:val="0017169E"/>
    <w:rPr>
      <w:rFonts w:ascii="Arial" w:hAnsi="Arial"/>
      <w:sz w:val="24"/>
      <w:szCs w:val="24"/>
      <w:lang w:eastAsia="en-US"/>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basedOn w:val="DefaultParagraphFont"/>
    <w:link w:val="BalloonText"/>
    <w:semiHidden/>
    <w:rsid w:val="00446BEE"/>
    <w:rPr>
      <w:rFonts w:ascii="Tahoma" w:hAnsi="Tahoma" w:cs="Tahoma"/>
      <w:sz w:val="16"/>
      <w:szCs w:val="16"/>
    </w:rPr>
  </w:style>
  <w:style w:type="character" w:customStyle="1" w:styleId="Heading2Char">
    <w:name w:val="Heading 2 Char"/>
    <w:link w:val="Heading2"/>
    <w:rsid w:val="0003205F"/>
    <w:rPr>
      <w:rFonts w:ascii="Arial" w:hAnsi="Arial" w:cs="Arial"/>
      <w:b/>
      <w:bCs/>
      <w:sz w:val="28"/>
      <w:szCs w:val="28"/>
      <w:lang w:eastAsia="en-US"/>
    </w:rPr>
  </w:style>
  <w:style w:type="character" w:customStyle="1" w:styleId="Heading3Char">
    <w:name w:val="Heading 3 Char"/>
    <w:basedOn w:val="DefaultParagraphFont"/>
    <w:link w:val="Heading3"/>
    <w:rsid w:val="00E851C4"/>
    <w:rPr>
      <w:rFonts w:ascii="Arial" w:hAnsi="Arial" w:cs="Arial"/>
      <w:b/>
      <w:bCs/>
      <w:sz w:val="26"/>
      <w:szCs w:val="24"/>
      <w:lang w:eastAsia="en-US"/>
    </w:rPr>
  </w:style>
  <w:style w:type="paragraph" w:customStyle="1" w:styleId="Subbullets">
    <w:name w:val="Sub bullets"/>
    <w:basedOn w:val="Normal"/>
    <w:uiPriority w:val="6"/>
    <w:qFormat/>
    <w:rsid w:val="00C85682"/>
    <w:pPr>
      <w:numPr>
        <w:numId w:val="25"/>
      </w:numPr>
      <w:tabs>
        <w:tab w:val="left" w:pos="1276"/>
      </w:tabs>
      <w:spacing w:line="360" w:lineRule="auto"/>
      <w:ind w:left="1276" w:hanging="312"/>
    </w:pPr>
    <w:rPr>
      <w:rFonts w:ascii="Arial" w:hAnsi="Arial"/>
    </w:rPr>
  </w:style>
  <w:style w:type="paragraph" w:customStyle="1" w:styleId="Paragraph">
    <w:name w:val="Paragraph"/>
    <w:basedOn w:val="Normal"/>
    <w:uiPriority w:val="4"/>
    <w:qFormat/>
    <w:rsid w:val="00624140"/>
    <w:pPr>
      <w:spacing w:after="240" w:line="360" w:lineRule="auto"/>
    </w:pPr>
    <w:rPr>
      <w:rFonts w:ascii="Arial" w:hAnsi="Arial"/>
    </w:rPr>
  </w:style>
  <w:style w:type="paragraph" w:styleId="TOC1">
    <w:name w:val="toc 1"/>
    <w:basedOn w:val="Normal"/>
    <w:next w:val="Normal"/>
    <w:uiPriority w:val="39"/>
    <w:rsid w:val="0003205F"/>
    <w:rPr>
      <w:rFonts w:ascii="Arial" w:hAnsi="Arial"/>
    </w:rPr>
  </w:style>
  <w:style w:type="paragraph" w:styleId="TOC2">
    <w:name w:val="toc 2"/>
    <w:basedOn w:val="Normal"/>
    <w:next w:val="Normal"/>
    <w:uiPriority w:val="39"/>
    <w:rsid w:val="0003205F"/>
    <w:pPr>
      <w:ind w:left="240"/>
    </w:pPr>
    <w:rPr>
      <w:rFonts w:ascii="Arial" w:hAnsi="Arial"/>
    </w:rPr>
  </w:style>
  <w:style w:type="paragraph" w:styleId="TOC3">
    <w:name w:val="toc 3"/>
    <w:basedOn w:val="Normal"/>
    <w:next w:val="Normal"/>
    <w:autoRedefine/>
    <w:uiPriority w:val="39"/>
    <w:rsid w:val="003F0A04"/>
    <w:pPr>
      <w:tabs>
        <w:tab w:val="right" w:leader="dot" w:pos="8296"/>
      </w:tabs>
      <w:spacing w:line="360" w:lineRule="auto"/>
      <w:ind w:left="480"/>
    </w:pPr>
    <w:rPr>
      <w:rFonts w:ascii="Arial" w:hAnsi="Arial"/>
      <w:noProof/>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customStyle="1" w:styleId="Heading4Char">
    <w:name w:val="Heading 4 Char"/>
    <w:basedOn w:val="DefaultParagraphFont"/>
    <w:link w:val="Heading4"/>
    <w:rsid w:val="00C77C66"/>
    <w:rPr>
      <w:rFonts w:ascii="Arial" w:hAnsi="Arial"/>
      <w:b/>
      <w:bCs/>
      <w:iCs/>
      <w:sz w:val="24"/>
      <w:szCs w:val="28"/>
      <w:lang w:eastAsia="en-US"/>
    </w:rPr>
  </w:style>
  <w:style w:type="paragraph" w:styleId="Caption">
    <w:name w:val="caption"/>
    <w:basedOn w:val="NICEnormal"/>
    <w:next w:val="NICEnormal"/>
    <w:unhideWhenUsed/>
    <w:qFormat/>
    <w:rsid w:val="0003205F"/>
    <w:pPr>
      <w:keepNext/>
      <w:spacing w:after="200"/>
    </w:pPr>
    <w:rPr>
      <w:b/>
      <w:iCs/>
      <w:szCs w:val="18"/>
    </w:rPr>
  </w:style>
  <w:style w:type="character" w:styleId="Hyperlink">
    <w:name w:val="Hyperlink"/>
    <w:basedOn w:val="DefaultParagraphFont"/>
    <w:uiPriority w:val="99"/>
    <w:unhideWhenUsed/>
    <w:rsid w:val="0003205F"/>
    <w:rPr>
      <w:color w:val="0000FF" w:themeColor="hyperlink"/>
      <w:u w:val="single"/>
    </w:rPr>
  </w:style>
  <w:style w:type="table" w:customStyle="1" w:styleId="PanelDefault">
    <w:name w:val="Panel (Default)"/>
    <w:basedOn w:val="TableNormal"/>
    <w:uiPriority w:val="99"/>
    <w:rsid w:val="0003205F"/>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03205F"/>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03205F"/>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Tabletext">
    <w:name w:val="Table text"/>
    <w:basedOn w:val="NICEnormalsinglespacing"/>
    <w:rsid w:val="0003205F"/>
    <w:pPr>
      <w:keepNext/>
      <w:spacing w:after="60"/>
    </w:pPr>
    <w:rPr>
      <w:sz w:val="22"/>
    </w:rPr>
  </w:style>
  <w:style w:type="paragraph" w:customStyle="1" w:styleId="Tablebullet">
    <w:name w:val="Table bullet"/>
    <w:basedOn w:val="Tabletext"/>
    <w:qFormat/>
    <w:rsid w:val="0003205F"/>
    <w:pPr>
      <w:numPr>
        <w:numId w:val="63"/>
      </w:numPr>
    </w:pPr>
  </w:style>
  <w:style w:type="table" w:styleId="TableGrid">
    <w:name w:val="Table Grid"/>
    <w:basedOn w:val="TableNormal"/>
    <w:rsid w:val="00032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Tabletext"/>
    <w:qFormat/>
    <w:rsid w:val="0003205F"/>
    <w:rPr>
      <w:b/>
    </w:rPr>
  </w:style>
  <w:style w:type="table" w:styleId="TableGridLight">
    <w:name w:val="Grid Table Light"/>
    <w:basedOn w:val="TableNormal"/>
    <w:uiPriority w:val="40"/>
    <w:rsid w:val="00833D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Numberedlist">
    <w:name w:val="Numbered list"/>
    <w:basedOn w:val="Bullets"/>
    <w:qFormat/>
    <w:rsid w:val="00C85682"/>
    <w:pPr>
      <w:numPr>
        <w:numId w:val="27"/>
      </w:numPr>
      <w:ind w:left="993" w:hanging="426"/>
    </w:pPr>
  </w:style>
  <w:style w:type="paragraph" w:customStyle="1" w:styleId="Panelwhitetext">
    <w:name w:val="Panel white text"/>
    <w:basedOn w:val="Paragraph"/>
    <w:qFormat/>
    <w:rsid w:val="00D1699D"/>
    <w:rPr>
      <w:b/>
      <w:color w:val="FFFFFF"/>
    </w:rPr>
  </w:style>
  <w:style w:type="paragraph" w:customStyle="1" w:styleId="Title2">
    <w:name w:val="Title 2"/>
    <w:basedOn w:val="Title"/>
    <w:qFormat/>
    <w:rsid w:val="0003205F"/>
    <w:rPr>
      <w:bCs w:val="0"/>
      <w:sz w:val="32"/>
    </w:rPr>
  </w:style>
  <w:style w:type="paragraph" w:customStyle="1" w:styleId="Paragraphindent">
    <w:name w:val="Paragraph indent"/>
    <w:basedOn w:val="Paragraph"/>
    <w:next w:val="Paragraph"/>
    <w:qFormat/>
    <w:rsid w:val="001A6635"/>
    <w:pPr>
      <w:tabs>
        <w:tab w:val="left" w:pos="567"/>
      </w:tabs>
      <w:ind w:left="567"/>
    </w:pPr>
  </w:style>
  <w:style w:type="paragraph" w:styleId="TOCHeading">
    <w:name w:val="TOC Heading"/>
    <w:basedOn w:val="Heading1"/>
    <w:next w:val="Normal"/>
    <w:uiPriority w:val="39"/>
    <w:unhideWhenUsed/>
    <w:qFormat/>
    <w:rsid w:val="008E7826"/>
    <w:pPr>
      <w:keepLines/>
      <w:spacing w:after="0" w:line="259" w:lineRule="auto"/>
      <w:outlineLvl w:val="9"/>
    </w:pPr>
    <w:rPr>
      <w:rFonts w:eastAsiaTheme="majorEastAsia" w:cstheme="majorBidi"/>
      <w:bCs w:val="0"/>
      <w:kern w:val="0"/>
      <w:lang w:val="en-US"/>
    </w:rPr>
  </w:style>
  <w:style w:type="paragraph" w:customStyle="1" w:styleId="Pullquote">
    <w:name w:val="Pull quote"/>
    <w:basedOn w:val="Paragraph"/>
    <w:qFormat/>
    <w:rsid w:val="00C77C66"/>
    <w:pPr>
      <w:jc w:val="center"/>
    </w:pPr>
    <w:rPr>
      <w:b/>
      <w:color w:val="228096"/>
      <w:sz w:val="26"/>
      <w:szCs w:val="26"/>
    </w:rPr>
  </w:style>
  <w:style w:type="character" w:styleId="CommentReference">
    <w:name w:val="annotation reference"/>
    <w:basedOn w:val="DefaultParagraphFont"/>
    <w:semiHidden/>
    <w:rsid w:val="003F0A04"/>
    <w:rPr>
      <w:sz w:val="16"/>
      <w:szCs w:val="16"/>
    </w:rPr>
  </w:style>
  <w:style w:type="paragraph" w:styleId="CommentText">
    <w:name w:val="annotation text"/>
    <w:basedOn w:val="Normal"/>
    <w:link w:val="CommentTextChar"/>
    <w:semiHidden/>
    <w:rsid w:val="003F0A04"/>
    <w:rPr>
      <w:sz w:val="20"/>
      <w:szCs w:val="20"/>
    </w:rPr>
  </w:style>
  <w:style w:type="character" w:customStyle="1" w:styleId="CommentTextChar">
    <w:name w:val="Comment Text Char"/>
    <w:basedOn w:val="DefaultParagraphFont"/>
    <w:link w:val="CommentText"/>
    <w:semiHidden/>
    <w:rsid w:val="003F0A04"/>
  </w:style>
  <w:style w:type="paragraph" w:styleId="CommentSubject">
    <w:name w:val="annotation subject"/>
    <w:basedOn w:val="CommentText"/>
    <w:next w:val="CommentText"/>
    <w:link w:val="CommentSubjectChar"/>
    <w:semiHidden/>
    <w:rsid w:val="003F0A04"/>
    <w:rPr>
      <w:b/>
      <w:bCs/>
    </w:rPr>
  </w:style>
  <w:style w:type="character" w:customStyle="1" w:styleId="CommentSubjectChar">
    <w:name w:val="Comment Subject Char"/>
    <w:basedOn w:val="CommentTextChar"/>
    <w:link w:val="CommentSubject"/>
    <w:semiHidden/>
    <w:rsid w:val="003F0A04"/>
    <w:rPr>
      <w:b/>
      <w:bCs/>
    </w:rPr>
  </w:style>
  <w:style w:type="character" w:customStyle="1" w:styleId="StyleCommentReference">
    <w:name w:val="Style Comment Reference +"/>
    <w:basedOn w:val="CommentReference"/>
    <w:rsid w:val="003F0A04"/>
    <w:rPr>
      <w:rFonts w:ascii="Arial" w:hAnsi="Arial"/>
      <w:b/>
      <w:sz w:val="44"/>
      <w:szCs w:val="16"/>
    </w:rPr>
  </w:style>
  <w:style w:type="paragraph" w:styleId="Revision">
    <w:name w:val="Revision"/>
    <w:hidden/>
    <w:uiPriority w:val="99"/>
    <w:semiHidden/>
    <w:rsid w:val="0000797C"/>
    <w:rPr>
      <w:sz w:val="24"/>
      <w:szCs w:val="24"/>
    </w:rPr>
  </w:style>
  <w:style w:type="paragraph" w:styleId="ListParagraph">
    <w:name w:val="List Paragraph"/>
    <w:basedOn w:val="Normal"/>
    <w:uiPriority w:val="34"/>
    <w:semiHidden/>
    <w:qFormat/>
    <w:rsid w:val="00A06721"/>
    <w:pPr>
      <w:ind w:left="720"/>
      <w:contextualSpacing/>
    </w:pPr>
  </w:style>
  <w:style w:type="paragraph" w:customStyle="1" w:styleId="NICEnormalsinglespacing">
    <w:name w:val="NICE normal single spacing"/>
    <w:basedOn w:val="NICEnormal"/>
    <w:rsid w:val="0003205F"/>
    <w:pPr>
      <w:spacing w:line="240" w:lineRule="auto"/>
    </w:pPr>
  </w:style>
  <w:style w:type="paragraph" w:customStyle="1" w:styleId="NICEnormal">
    <w:name w:val="NICE normal"/>
    <w:link w:val="NICEnormalChar"/>
    <w:qFormat/>
    <w:rsid w:val="0003205F"/>
    <w:pPr>
      <w:spacing w:after="240" w:line="360" w:lineRule="auto"/>
    </w:pPr>
    <w:rPr>
      <w:rFonts w:ascii="Arial" w:hAnsi="Arial"/>
      <w:sz w:val="24"/>
      <w:szCs w:val="24"/>
      <w:lang w:eastAsia="en-US"/>
    </w:rPr>
  </w:style>
  <w:style w:type="character" w:customStyle="1" w:styleId="NICEnormalChar">
    <w:name w:val="NICE normal Char"/>
    <w:link w:val="NICEnormal"/>
    <w:rsid w:val="0003205F"/>
    <w:rPr>
      <w:rFonts w:ascii="Arial" w:hAnsi="Arial"/>
      <w:sz w:val="24"/>
      <w:szCs w:val="24"/>
      <w:lang w:eastAsia="en-US"/>
    </w:rPr>
  </w:style>
  <w:style w:type="paragraph" w:customStyle="1" w:styleId="Numberedheading1">
    <w:name w:val="Numbered heading 1"/>
    <w:basedOn w:val="Heading1"/>
    <w:next w:val="NICEnormal"/>
    <w:link w:val="Numberedheading1CharChar"/>
    <w:rsid w:val="0003205F"/>
    <w:pPr>
      <w:numPr>
        <w:numId w:val="62"/>
      </w:numPr>
    </w:pPr>
    <w:rPr>
      <w:szCs w:val="24"/>
    </w:rPr>
  </w:style>
  <w:style w:type="character" w:customStyle="1" w:styleId="Numberedheading1CharChar">
    <w:name w:val="Numbered heading 1 Char Char"/>
    <w:link w:val="Numberedheading1"/>
    <w:rsid w:val="0003205F"/>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03205F"/>
    <w:pPr>
      <w:numPr>
        <w:ilvl w:val="1"/>
        <w:numId w:val="62"/>
      </w:numPr>
    </w:pPr>
  </w:style>
  <w:style w:type="character" w:customStyle="1" w:styleId="Numberedheading2Char">
    <w:name w:val="Numbered heading 2 Char"/>
    <w:basedOn w:val="Heading2Char"/>
    <w:link w:val="Numberedheading2"/>
    <w:rsid w:val="0003205F"/>
    <w:rPr>
      <w:rFonts w:ascii="Arial" w:hAnsi="Arial" w:cs="Arial"/>
      <w:b/>
      <w:bCs/>
      <w:sz w:val="28"/>
      <w:szCs w:val="28"/>
      <w:lang w:eastAsia="en-US"/>
    </w:rPr>
  </w:style>
  <w:style w:type="character" w:styleId="PlaceholderText">
    <w:name w:val="Placeholder Text"/>
    <w:basedOn w:val="DefaultParagraphFont"/>
    <w:uiPriority w:val="99"/>
    <w:semiHidden/>
    <w:rsid w:val="00EB244C"/>
    <w:rPr>
      <w:color w:val="666666"/>
    </w:rPr>
  </w:style>
  <w:style w:type="paragraph" w:customStyle="1" w:styleId="Title1">
    <w:name w:val="Title 1"/>
    <w:basedOn w:val="Title"/>
    <w:qFormat/>
    <w:rsid w:val="0003205F"/>
  </w:style>
  <w:style w:type="character" w:styleId="UnresolvedMention">
    <w:name w:val="Unresolved Mention"/>
    <w:basedOn w:val="DefaultParagraphFont"/>
    <w:uiPriority w:val="99"/>
    <w:semiHidden/>
    <w:unhideWhenUsed/>
    <w:rsid w:val="003A2A7E"/>
    <w:rPr>
      <w:color w:val="605E5C"/>
      <w:shd w:val="clear" w:color="auto" w:fill="E1DFDD"/>
    </w:rPr>
  </w:style>
  <w:style w:type="character" w:styleId="FollowedHyperlink">
    <w:name w:val="FollowedHyperlink"/>
    <w:basedOn w:val="DefaultParagraphFont"/>
    <w:semiHidden/>
    <w:rsid w:val="00F959E0"/>
    <w:rPr>
      <w:color w:val="00436C" w:themeColor="followedHyperlink"/>
      <w:u w:val="single"/>
    </w:rPr>
  </w:style>
  <w:style w:type="character" w:customStyle="1" w:styleId="normaltextrun">
    <w:name w:val="normaltextrun"/>
    <w:basedOn w:val="DefaultParagraphFont"/>
    <w:rsid w:val="00645288"/>
  </w:style>
  <w:style w:type="character" w:customStyle="1" w:styleId="eop">
    <w:name w:val="eop"/>
    <w:basedOn w:val="DefaultParagraphFont"/>
    <w:rsid w:val="00645288"/>
  </w:style>
  <w:style w:type="paragraph" w:customStyle="1" w:styleId="Bulletindent1">
    <w:name w:val="Bullet indent 1"/>
    <w:basedOn w:val="NICEnormal"/>
    <w:rsid w:val="0003205F"/>
    <w:pPr>
      <w:numPr>
        <w:numId w:val="47"/>
      </w:numPr>
      <w:spacing w:after="0"/>
    </w:pPr>
  </w:style>
  <w:style w:type="paragraph" w:customStyle="1" w:styleId="Bulletindent1last">
    <w:name w:val="Bullet indent 1 last"/>
    <w:basedOn w:val="NICEnormal"/>
    <w:next w:val="NICEnormal"/>
    <w:rsid w:val="0003205F"/>
    <w:pPr>
      <w:numPr>
        <w:numId w:val="46"/>
      </w:numPr>
    </w:pPr>
  </w:style>
  <w:style w:type="paragraph" w:customStyle="1" w:styleId="Bulletindent1lastshaded">
    <w:name w:val="Bullet indent 1 last shaded"/>
    <w:basedOn w:val="Bulletindent1last"/>
    <w:qFormat/>
    <w:rsid w:val="0003205F"/>
    <w:pPr>
      <w:shd w:val="clear" w:color="auto" w:fill="BFBFBF" w:themeFill="background1" w:themeFillShade="BF"/>
    </w:pPr>
  </w:style>
  <w:style w:type="paragraph" w:customStyle="1" w:styleId="Bulletindent1shaded">
    <w:name w:val="Bullet indent 1 shaded"/>
    <w:basedOn w:val="Bulletindent1"/>
    <w:qFormat/>
    <w:rsid w:val="0003205F"/>
    <w:pPr>
      <w:shd w:val="clear" w:color="auto" w:fill="BFBFBF" w:themeFill="background1" w:themeFillShade="BF"/>
    </w:pPr>
  </w:style>
  <w:style w:type="paragraph" w:customStyle="1" w:styleId="Bulletindent2">
    <w:name w:val="Bullet indent 2"/>
    <w:basedOn w:val="NICEnormal"/>
    <w:rsid w:val="0003205F"/>
    <w:pPr>
      <w:numPr>
        <w:ilvl w:val="1"/>
        <w:numId w:val="49"/>
      </w:numPr>
      <w:spacing w:after="0"/>
    </w:pPr>
  </w:style>
  <w:style w:type="paragraph" w:customStyle="1" w:styleId="Bulletindent2shaded">
    <w:name w:val="Bullet indent 2 shaded"/>
    <w:basedOn w:val="Bulletindent2"/>
    <w:qFormat/>
    <w:rsid w:val="0003205F"/>
    <w:pPr>
      <w:shd w:val="clear" w:color="auto" w:fill="BFBFBF" w:themeFill="background1" w:themeFillShade="BF"/>
    </w:pPr>
  </w:style>
  <w:style w:type="paragraph" w:customStyle="1" w:styleId="Bulletindent3">
    <w:name w:val="Bullet indent 3"/>
    <w:basedOn w:val="NICEnormal"/>
    <w:rsid w:val="0003205F"/>
    <w:pPr>
      <w:numPr>
        <w:ilvl w:val="2"/>
        <w:numId w:val="50"/>
      </w:numPr>
      <w:spacing w:after="0"/>
    </w:pPr>
  </w:style>
  <w:style w:type="paragraph" w:customStyle="1" w:styleId="Bulletleft1">
    <w:name w:val="Bullet left 1"/>
    <w:basedOn w:val="NICEnormal"/>
    <w:rsid w:val="0003205F"/>
    <w:pPr>
      <w:numPr>
        <w:numId w:val="51"/>
      </w:numPr>
      <w:spacing w:after="0"/>
    </w:pPr>
  </w:style>
  <w:style w:type="paragraph" w:customStyle="1" w:styleId="Bulletleft1last">
    <w:name w:val="Bullet left 1 last"/>
    <w:basedOn w:val="NICEnormal"/>
    <w:rsid w:val="0003205F"/>
    <w:pPr>
      <w:numPr>
        <w:numId w:val="52"/>
      </w:numPr>
    </w:pPr>
    <w:rPr>
      <w:rFonts w:cs="Arial"/>
    </w:rPr>
  </w:style>
  <w:style w:type="paragraph" w:customStyle="1" w:styleId="Bulletleft2">
    <w:name w:val="Bullet left 2"/>
    <w:basedOn w:val="NICEnormal"/>
    <w:rsid w:val="0003205F"/>
    <w:pPr>
      <w:numPr>
        <w:ilvl w:val="1"/>
        <w:numId w:val="53"/>
      </w:numPr>
      <w:spacing w:after="0"/>
    </w:pPr>
  </w:style>
  <w:style w:type="paragraph" w:customStyle="1" w:styleId="Bulletleft3">
    <w:name w:val="Bullet left 3"/>
    <w:basedOn w:val="NICEnormal"/>
    <w:rsid w:val="0003205F"/>
    <w:pPr>
      <w:numPr>
        <w:ilvl w:val="2"/>
        <w:numId w:val="54"/>
      </w:numPr>
      <w:spacing w:after="0"/>
    </w:pPr>
  </w:style>
  <w:style w:type="paragraph" w:customStyle="1" w:styleId="Guidanceissuedate">
    <w:name w:val="Guidance issue date"/>
    <w:basedOn w:val="Normal"/>
    <w:qFormat/>
    <w:rsid w:val="0003205F"/>
    <w:pPr>
      <w:spacing w:after="240" w:line="360" w:lineRule="auto"/>
    </w:pPr>
    <w:rPr>
      <w:rFonts w:ascii="Arial" w:hAnsi="Arial"/>
    </w:rPr>
  </w:style>
  <w:style w:type="paragraph" w:customStyle="1" w:styleId="Documentissuedate">
    <w:name w:val="Document issue date"/>
    <w:basedOn w:val="Guidanceissuedate"/>
    <w:qFormat/>
    <w:rsid w:val="0003205F"/>
  </w:style>
  <w:style w:type="paragraph" w:customStyle="1" w:styleId="NICEnormalindented">
    <w:name w:val="NICE normal indented"/>
    <w:basedOn w:val="NICEnormal"/>
    <w:rsid w:val="0003205F"/>
    <w:pPr>
      <w:tabs>
        <w:tab w:val="left" w:pos="1134"/>
      </w:tabs>
      <w:ind w:left="1134"/>
    </w:pPr>
  </w:style>
  <w:style w:type="paragraph" w:customStyle="1" w:styleId="Numberedlevel2text">
    <w:name w:val="Numbered level 2 text"/>
    <w:basedOn w:val="Numberedheading2"/>
    <w:rsid w:val="0003205F"/>
    <w:pPr>
      <w:spacing w:before="0" w:after="240"/>
      <w:outlineLvl w:val="9"/>
    </w:pPr>
    <w:rPr>
      <w:b w:val="0"/>
      <w:sz w:val="24"/>
    </w:rPr>
  </w:style>
  <w:style w:type="paragraph" w:customStyle="1" w:styleId="Numberedlevel3text">
    <w:name w:val="Numbered level 3 text"/>
    <w:basedOn w:val="Normal"/>
    <w:rsid w:val="0003205F"/>
    <w:pPr>
      <w:keepNext/>
      <w:numPr>
        <w:ilvl w:val="2"/>
        <w:numId w:val="62"/>
      </w:numPr>
      <w:spacing w:after="240" w:line="360" w:lineRule="auto"/>
    </w:pPr>
    <w:rPr>
      <w:rFonts w:ascii="Arial" w:hAnsi="Arial" w:cs="Arial"/>
      <w:bCs/>
    </w:rPr>
  </w:style>
  <w:style w:type="paragraph" w:customStyle="1" w:styleId="Numberedlevel4text">
    <w:name w:val="Numbered level 4 text"/>
    <w:basedOn w:val="NICEnormal"/>
    <w:next w:val="NICEnormal"/>
    <w:rsid w:val="0003205F"/>
    <w:pPr>
      <w:numPr>
        <w:ilvl w:val="3"/>
        <w:numId w:val="62"/>
      </w:numPr>
    </w:pPr>
  </w:style>
  <w:style w:type="character" w:styleId="PageNumber">
    <w:name w:val="page number"/>
    <w:rsid w:val="0003205F"/>
    <w:rPr>
      <w:rFonts w:ascii="Arial" w:hAnsi="Arial"/>
      <w:sz w:val="24"/>
    </w:rPr>
  </w:style>
  <w:style w:type="paragraph" w:customStyle="1" w:styleId="Panelbullet1">
    <w:name w:val="Panel bullet 1"/>
    <w:basedOn w:val="Normal"/>
    <w:qFormat/>
    <w:rsid w:val="0003205F"/>
    <w:pPr>
      <w:numPr>
        <w:numId w:val="60"/>
      </w:numPr>
      <w:tabs>
        <w:tab w:val="num" w:pos="360"/>
        <w:tab w:val="num" w:pos="1134"/>
      </w:tabs>
      <w:contextualSpacing/>
    </w:pPr>
    <w:rPr>
      <w:rFonts w:ascii="Arial" w:hAnsi="Arial"/>
    </w:rPr>
  </w:style>
  <w:style w:type="paragraph" w:customStyle="1" w:styleId="Panelhyperlink">
    <w:name w:val="Panel hyperlink"/>
    <w:basedOn w:val="NICEnormal"/>
    <w:next w:val="NICEnormal"/>
    <w:qFormat/>
    <w:rsid w:val="0003205F"/>
    <w:rPr>
      <w:color w:val="FFFFFF" w:themeColor="background1"/>
      <w:u w:val="single"/>
    </w:rPr>
  </w:style>
  <w:style w:type="paragraph" w:styleId="Quote">
    <w:name w:val="Quote"/>
    <w:basedOn w:val="NICEnormal"/>
    <w:next w:val="NICEnormal"/>
    <w:link w:val="QuoteChar"/>
    <w:uiPriority w:val="29"/>
    <w:qFormat/>
    <w:rsid w:val="0003205F"/>
    <w:pPr>
      <w:spacing w:before="200" w:after="160"/>
      <w:ind w:left="864" w:right="864"/>
      <w:jc w:val="center"/>
    </w:pPr>
    <w:rPr>
      <w:iCs/>
    </w:rPr>
  </w:style>
  <w:style w:type="character" w:customStyle="1" w:styleId="QuoteChar">
    <w:name w:val="Quote Char"/>
    <w:basedOn w:val="DefaultParagraphFont"/>
    <w:link w:val="Quote"/>
    <w:uiPriority w:val="29"/>
    <w:rsid w:val="0003205F"/>
    <w:rPr>
      <w:rFonts w:ascii="Arial" w:hAnsi="Arial"/>
      <w:iCs/>
      <w:sz w:val="24"/>
      <w:szCs w:val="24"/>
      <w:lang w:eastAsia="en-US"/>
    </w:rPr>
  </w:style>
  <w:style w:type="paragraph" w:customStyle="1" w:styleId="Recommendationlevel4notupdated">
    <w:name w:val="Recommendation level 4 not updated"/>
    <w:basedOn w:val="Numberedlevel4text"/>
    <w:qFormat/>
    <w:rsid w:val="0003205F"/>
    <w:pPr>
      <w:shd w:val="clear" w:color="auto" w:fill="D9D9D9" w:themeFill="background1" w:themeFillShade="D9"/>
    </w:pPr>
  </w:style>
  <w:style w:type="paragraph" w:customStyle="1" w:styleId="Recommendationnotupdated">
    <w:name w:val="Recommendation not updated"/>
    <w:basedOn w:val="Numberedlevel3text"/>
    <w:qFormat/>
    <w:rsid w:val="0003205F"/>
    <w:pPr>
      <w:keepNext w:val="0"/>
      <w:shd w:val="clear" w:color="auto" w:fill="BFBFBF" w:themeFill="background1" w:themeFillShade="BF"/>
    </w:pPr>
  </w:style>
  <w:style w:type="character" w:customStyle="1" w:styleId="Refreshamends">
    <w:name w:val="Refresh amends"/>
    <w:basedOn w:val="DefaultParagraphFont"/>
    <w:uiPriority w:val="1"/>
    <w:qFormat/>
    <w:rsid w:val="0003205F"/>
    <w:rPr>
      <w:color w:val="FF0000"/>
    </w:rPr>
  </w:style>
  <w:style w:type="paragraph" w:customStyle="1" w:styleId="Title16pt">
    <w:name w:val="Title 16 pt"/>
    <w:basedOn w:val="Title"/>
    <w:rsid w:val="0003205F"/>
    <w:rPr>
      <w:sz w:val="32"/>
    </w:rPr>
  </w:style>
  <w:style w:type="paragraph" w:customStyle="1" w:styleId="Title16ptleft">
    <w:name w:val="Title 16 pt left"/>
    <w:basedOn w:val="Title16pt"/>
    <w:rsid w:val="0003205F"/>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6612407">
      <w:bodyDiv w:val="1"/>
      <w:marLeft w:val="0"/>
      <w:marRight w:val="0"/>
      <w:marTop w:val="0"/>
      <w:marBottom w:val="0"/>
      <w:divBdr>
        <w:top w:val="none" w:sz="0" w:space="0" w:color="auto"/>
        <w:left w:val="none" w:sz="0" w:space="0" w:color="auto"/>
        <w:bottom w:val="none" w:sz="0" w:space="0" w:color="auto"/>
        <w:right w:val="none" w:sz="0" w:space="0" w:color="auto"/>
      </w:divBdr>
    </w:div>
    <w:div w:id="1807895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ce.org.uk/about/what-we-do/our-research-work/hta-lab-projects" TargetMode="External"/><Relationship Id="rId18" Type="http://schemas.openxmlformats.org/officeDocument/2006/relationships/hyperlink" Target="https://www.nice.org.uk/guidance/ta630" TargetMode="External"/><Relationship Id="rId26" Type="http://schemas.openxmlformats.org/officeDocument/2006/relationships/hyperlink" Target="https://www.nice.org.uk/guidance/hst15" TargetMode="External"/><Relationship Id="rId39" Type="http://schemas.openxmlformats.org/officeDocument/2006/relationships/hyperlink" Target="https://www.hiqa.ie/reports-and-publications/health-technology-assessment/guidelines-economic-evaluation-health" TargetMode="External"/><Relationship Id="rId21" Type="http://schemas.openxmlformats.org/officeDocument/2006/relationships/hyperlink" Target="https://www.nice.org.uk/guidance/ta975" TargetMode="External"/><Relationship Id="rId34" Type="http://schemas.openxmlformats.org/officeDocument/2006/relationships/hyperlink" Target="https://www.nice.org.uk/guidance/ta683" TargetMode="External"/><Relationship Id="rId42" Type="http://schemas.openxmlformats.org/officeDocument/2006/relationships/hyperlink" Target="https://pmc.ncbi.nlm.nih.gov/articles/PMC10195963/" TargetMode="External"/><Relationship Id="rId47" Type="http://schemas.openxmlformats.org/officeDocument/2006/relationships/hyperlink" Target="https://www.pharmac.govt.nz/medicine-funding-and-supply/the-funding-process/policies-manuals-and-processes/economic-analysis/prescription-for-pharmacoeconomic-analysis-methods-for-cost-utility-analysis" TargetMode="External"/><Relationship Id="rId50" Type="http://schemas.openxmlformats.org/officeDocument/2006/relationships/hyperlink" Target="https://pmc.ncbi.nlm.nih.gov/articles/PMC670906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ice.org.uk/guidance/ta677" TargetMode="External"/><Relationship Id="rId29" Type="http://schemas.openxmlformats.org/officeDocument/2006/relationships/hyperlink" Target="https://www.nice.org.uk/guidance/ta630" TargetMode="External"/><Relationship Id="rId11" Type="http://schemas.openxmlformats.org/officeDocument/2006/relationships/footer" Target="footer2.xml"/><Relationship Id="rId24" Type="http://schemas.openxmlformats.org/officeDocument/2006/relationships/hyperlink" Target="https://www.nice.org.uk/guidance/ta410" TargetMode="External"/><Relationship Id="rId32" Type="http://schemas.openxmlformats.org/officeDocument/2006/relationships/hyperlink" Target="https://www.nice.org.uk/guidance/indevelopment/gid-ta11220" TargetMode="External"/><Relationship Id="rId37" Type="http://schemas.openxmlformats.org/officeDocument/2006/relationships/hyperlink" Target="https://www.cda-amc.ca/guidelines-economic-evaluation-health-technologies-canada-0" TargetMode="External"/><Relationship Id="rId40" Type="http://schemas.openxmlformats.org/officeDocument/2006/relationships/hyperlink" Target="https://www.iqwig.de/en/about-us/methods/methods-paper/" TargetMode="External"/><Relationship Id="rId45" Type="http://schemas.openxmlformats.org/officeDocument/2006/relationships/hyperlink" Target="https://www.nice.org.uk/process/pmg36/chapter/economic-evaluation-2"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nice.org.uk/guidance/ta567" TargetMode="External"/><Relationship Id="rId31" Type="http://schemas.openxmlformats.org/officeDocument/2006/relationships/hyperlink" Target="https://www.nice.org.uk/guidance/ta975" TargetMode="External"/><Relationship Id="rId44" Type="http://schemas.openxmlformats.org/officeDocument/2006/relationships/hyperlink" Target="https://english.zorginstituutnederland.nl/about-us/working-methods-and-procedures/guideline-for-economic-evaluations-in-healthcare" TargetMode="External"/><Relationship Id="rId52"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nice.org.uk/about/what-we-do/our-research-work/hta-lab-projects" TargetMode="External"/><Relationship Id="rId22" Type="http://schemas.openxmlformats.org/officeDocument/2006/relationships/hyperlink" Target="https://www.nice.org.uk/guidance/ta477" TargetMode="External"/><Relationship Id="rId27" Type="http://schemas.openxmlformats.org/officeDocument/2006/relationships/hyperlink" Target="https://www.nice.org.uk/guidance/hst11" TargetMode="External"/><Relationship Id="rId30" Type="http://schemas.openxmlformats.org/officeDocument/2006/relationships/hyperlink" Target="https://www.nice.org.uk/guidance/ta644" TargetMode="External"/><Relationship Id="rId35" Type="http://schemas.openxmlformats.org/officeDocument/2006/relationships/hyperlink" Target="https://alz-journals.onlinelibrary.wiley.com/doi/10.1002/trc2.12295" TargetMode="External"/><Relationship Id="rId43" Type="http://schemas.openxmlformats.org/officeDocument/2006/relationships/hyperlink" Target="https://doi.org/10.1002/trc2.12295" TargetMode="External"/><Relationship Id="rId48" Type="http://schemas.openxmlformats.org/officeDocument/2006/relationships/hyperlink" Target="https://jamanetwork.com/journals/jamaneurology/fullarticle/2790531" TargetMode="External"/><Relationship Id="rId8" Type="http://schemas.openxmlformats.org/officeDocument/2006/relationships/header" Target="header1.xml"/><Relationship Id="rId51" Type="http://schemas.openxmlformats.org/officeDocument/2006/relationships/hyperlink" Target="https://doi.org/10.1002/trc2.12295"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www.nice.org.uk/guidance/ta644" TargetMode="External"/><Relationship Id="rId25" Type="http://schemas.openxmlformats.org/officeDocument/2006/relationships/hyperlink" Target="https://www.nice.org.uk/guidance/hst18" TargetMode="External"/><Relationship Id="rId33" Type="http://schemas.openxmlformats.org/officeDocument/2006/relationships/hyperlink" Target="https://www.nice.org.uk/guidance/indevelopment/gid-ta11221" TargetMode="External"/><Relationship Id="rId38" Type="http://schemas.openxmlformats.org/officeDocument/2006/relationships/hyperlink" Target="https://www.has-sante.fr/jcms/r_1499251/en/choices-in-methods-for-economic-evaluation" TargetMode="External"/><Relationship Id="rId46" Type="http://schemas.openxmlformats.org/officeDocument/2006/relationships/hyperlink" Target="https://pbac.pbs.gov.au/" TargetMode="External"/><Relationship Id="rId20" Type="http://schemas.openxmlformats.org/officeDocument/2006/relationships/hyperlink" Target="https://www.nice.org.uk/guidance/ta556" TargetMode="External"/><Relationship Id="rId41" Type="http://schemas.openxmlformats.org/officeDocument/2006/relationships/hyperlink" Target="https://www.hila.fi/en/updated-application-instructions-for-health-economic-evaluatio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ta934" TargetMode="External"/><Relationship Id="rId23" Type="http://schemas.openxmlformats.org/officeDocument/2006/relationships/hyperlink" Target="https://www.nice.org.uk/guidance/ta467" TargetMode="External"/><Relationship Id="rId28" Type="http://schemas.openxmlformats.org/officeDocument/2006/relationships/hyperlink" Target="https://www.nice.org.uk/guidance/hst7" TargetMode="External"/><Relationship Id="rId36" Type="http://schemas.openxmlformats.org/officeDocument/2006/relationships/hyperlink" Target="https://doi.org/10.1002/trc2.12295" TargetMode="External"/><Relationship Id="rId49" Type="http://schemas.openxmlformats.org/officeDocument/2006/relationships/hyperlink" Target="https://medicinraadet.d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ICEbrandtheme">
  <a:themeElements>
    <a:clrScheme name="NICE brand colours">
      <a:dk1>
        <a:srgbClr val="000000"/>
      </a:dk1>
      <a:lt1>
        <a:srgbClr val="FFFFFF"/>
      </a:lt1>
      <a:dk2>
        <a:srgbClr val="00436C"/>
      </a:dk2>
      <a:lt2>
        <a:srgbClr val="F7F3F1"/>
      </a:lt2>
      <a:accent1>
        <a:srgbClr val="228096"/>
      </a:accent1>
      <a:accent2>
        <a:srgbClr val="00436C"/>
      </a:accent2>
      <a:accent3>
        <a:srgbClr val="EAD054"/>
      </a:accent3>
      <a:accent4>
        <a:srgbClr val="EDD8CD"/>
      </a:accent4>
      <a:accent5>
        <a:srgbClr val="37916D"/>
      </a:accent5>
      <a:accent6>
        <a:srgbClr val="D07B4C"/>
      </a:accent6>
      <a:hlink>
        <a:srgbClr val="0000FF"/>
      </a:hlink>
      <a:folHlink>
        <a:srgbClr val="00436C"/>
      </a:folHlink>
    </a:clrScheme>
    <a:fontScheme name="NICE corporate fonts">
      <a:majorFont>
        <a:latin typeface="Lora SemiBold"/>
        <a:ea typeface=""/>
        <a:cs typeface=""/>
      </a:majorFont>
      <a:minorFont>
        <a:latin typeface="Int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BLANK">
      <a:srgbClr val="FFFFFF"/>
    </a:custClr>
    <a:custClr name="Black 100%">
      <a:srgbClr val="000000"/>
    </a:custClr>
    <a:custClr name="Soft cream 100%">
      <a:srgbClr val="DED5CA"/>
    </a:custClr>
    <a:custClr name="BLANK">
      <a:srgbClr val="FFFFFF"/>
    </a:custClr>
    <a:custClr name="Bold teal 100%">
      <a:srgbClr val="228096"/>
    </a:custClr>
    <a:custClr name="Deep blue 100%">
      <a:srgbClr val="00436C"/>
    </a:custClr>
    <a:custClr name="Positive yellow 100%">
      <a:srgbClr val="EAD054"/>
    </a:custClr>
    <a:custClr name="Warm pink 100%">
      <a:srgbClr val="EDD8CD"/>
    </a:custClr>
    <a:custClr name="Balanced green 100%">
      <a:srgbClr val="37906D"/>
    </a:custClr>
    <a:custClr name="Natural tan 100%">
      <a:srgbClr val="D07B4D"/>
    </a:custClr>
    <a:custClr name="BLANK">
      <a:srgbClr val="FFFFFF"/>
    </a:custClr>
    <a:custClr name="Black 75%">
      <a:srgbClr val="404040"/>
    </a:custClr>
    <a:custClr name="Soft cream 75%">
      <a:srgbClr val="E6E0D7"/>
    </a:custClr>
    <a:custClr name="BLANK">
      <a:srgbClr val="FFFFFF"/>
    </a:custClr>
    <a:custClr name="Bold teal 75%">
      <a:srgbClr val="59A0B0"/>
    </a:custClr>
    <a:custClr name="Deep blue 75%">
      <a:srgbClr val="407291"/>
    </a:custClr>
    <a:custClr name="Positive yellow 75%">
      <a:srgbClr val="EFDC7F"/>
    </a:custClr>
    <a:custClr name="Warm pink 75%">
      <a:srgbClr val="F2E2D9"/>
    </a:custClr>
    <a:custClr name="Balanced green 75%">
      <a:srgbClr val="69AC91"/>
    </a:custClr>
    <a:custClr name="Natural tan 75%">
      <a:srgbClr val="DC9C7A"/>
    </a:custClr>
    <a:custClr name="BLANK">
      <a:srgbClr val="FFFFFF"/>
    </a:custClr>
    <a:custClr name="Black 50%">
      <a:srgbClr val="808080"/>
    </a:custClr>
    <a:custClr name="Soft cream 50%">
      <a:srgbClr val="EEEAE4"/>
    </a:custClr>
    <a:custClr name="BLANK">
      <a:srgbClr val="FFFFFF"/>
    </a:custClr>
    <a:custClr name="Bold teal 50%">
      <a:srgbClr val="91C0CB"/>
    </a:custClr>
    <a:custClr name="Deep blue 50%">
      <a:srgbClr val="80A1B5"/>
    </a:custClr>
    <a:custClr name="Positive yellow 50%">
      <a:srgbClr val="F4E8AA"/>
    </a:custClr>
    <a:custClr name="Warm pink 50%">
      <a:srgbClr val="F6ECE6"/>
    </a:custClr>
    <a:custClr name="Balanced green 50%">
      <a:srgbClr val="9BC8B6"/>
    </a:custClr>
    <a:custClr name="Natural tan 50%">
      <a:srgbClr val="E7BDA6"/>
    </a:custClr>
    <a:custClr name="BLANK">
      <a:srgbClr val="FFFFFF"/>
    </a:custClr>
    <a:custClr name="Black 25%">
      <a:srgbClr val="BFBFBF"/>
    </a:custClr>
    <a:custClr name="Soft cream 25%">
      <a:srgbClr val="F7F4F1"/>
    </a:custClr>
    <a:custClr name="BLANK">
      <a:srgbClr val="FFFFFF"/>
    </a:custClr>
    <a:custClr name="Bold teal 25%">
      <a:srgbClr val="C8E0E6"/>
    </a:custClr>
    <a:custClr name="Deep blue 25%">
      <a:srgbClr val="BFD0DA"/>
    </a:custClr>
    <a:custClr name="Positive yellow 25%">
      <a:srgbClr val="FAF3D4"/>
    </a:custClr>
    <a:custClr name="Warm pink 25%">
      <a:srgbClr val="FBF5F2"/>
    </a:custClr>
    <a:custClr name="Balanced green 25%">
      <a:srgbClr val="CDE3DA"/>
    </a:custClr>
    <a:custClr name="Natural tan 25%">
      <a:srgbClr val="F3DED3"/>
    </a:custClr>
  </a:custClrLst>
  <a:extLst>
    <a:ext uri="{05A4C25C-085E-4340-85A3-A5531E510DB2}">
      <thm15:themeFamily xmlns:thm15="http://schemas.microsoft.com/office/thememl/2012/main" name="NICEbrandtheme" id="{70A84E3F-A4BC-4A98-8AB3-6E7B5E7EEE81}" vid="{E26A7FCB-9D51-409A-8054-7103D09F3D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569B-A6D4-4C59-9560-86013A558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3687</Words>
  <Characters>21022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2025-04-09T09:25:00Z</dcterms:created>
  <dcterms:modified xsi:type="dcterms:W3CDTF">2025-04-09T09:25:00Z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2025-04-09T09:25:39Z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4f2f5b5d-04a7-499e-8b71-2deca3690059</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