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07D15" w14:textId="5EAF6AB4" w:rsidR="00A43D9B" w:rsidRPr="006166F2" w:rsidRDefault="00A43D9B" w:rsidP="0047185F">
      <w:pPr>
        <w:spacing w:after="240"/>
        <w:rPr>
          <w:rFonts w:cs="Arial"/>
          <w:color w:val="FF0000"/>
          <w:sz w:val="22"/>
          <w:szCs w:val="22"/>
        </w:rPr>
      </w:pPr>
      <w:r w:rsidRPr="00A43D9B">
        <w:rPr>
          <w:rStyle w:val="TitleChar"/>
        </w:rPr>
        <w:t xml:space="preserve">NICE Implementation Strategy Group – </w:t>
      </w:r>
      <w:r w:rsidR="000B5A36">
        <w:rPr>
          <w:rStyle w:val="TitleChar"/>
        </w:rPr>
        <w:t>Members and r</w:t>
      </w:r>
      <w:r w:rsidRPr="00A43D9B">
        <w:rPr>
          <w:rStyle w:val="TitleChar"/>
        </w:rPr>
        <w:t xml:space="preserve">esearch </w:t>
      </w:r>
      <w:r w:rsidR="000B5A36">
        <w:rPr>
          <w:rStyle w:val="TitleChar"/>
        </w:rPr>
        <w:t>i</w:t>
      </w:r>
      <w:r w:rsidRPr="00A43D9B">
        <w:rPr>
          <w:rStyle w:val="TitleChar"/>
        </w:rPr>
        <w:t>nterests</w:t>
      </w:r>
      <w:r w:rsidRPr="00405322">
        <w:rPr>
          <w:rFonts w:cs="Arial"/>
          <w:sz w:val="22"/>
          <w:szCs w:val="22"/>
        </w:rPr>
        <w:br/>
      </w:r>
      <w:r w:rsidR="00333972">
        <w:rPr>
          <w:rFonts w:cs="Arial"/>
          <w:sz w:val="22"/>
          <w:szCs w:val="22"/>
        </w:rPr>
        <w:t>March</w:t>
      </w:r>
      <w:r w:rsidR="006166F2" w:rsidRPr="009D183C">
        <w:rPr>
          <w:rFonts w:cs="Arial"/>
          <w:sz w:val="22"/>
          <w:szCs w:val="22"/>
        </w:rPr>
        <w:t xml:space="preserve"> 202</w:t>
      </w:r>
      <w:r w:rsidR="009D183C">
        <w:rPr>
          <w:rFonts w:cs="Arial"/>
          <w:sz w:val="22"/>
          <w:szCs w:val="22"/>
        </w:rPr>
        <w:t>1</w:t>
      </w:r>
    </w:p>
    <w:tbl>
      <w:tblPr>
        <w:tblStyle w:val="TableGrid"/>
        <w:tblW w:w="0" w:type="auto"/>
        <w:tblInd w:w="-318" w:type="dxa"/>
        <w:tblLook w:val="0620" w:firstRow="1" w:lastRow="0" w:firstColumn="0" w:lastColumn="0" w:noHBand="1" w:noVBand="1"/>
      </w:tblPr>
      <w:tblGrid>
        <w:gridCol w:w="2127"/>
        <w:gridCol w:w="3543"/>
        <w:gridCol w:w="3544"/>
        <w:gridCol w:w="5813"/>
      </w:tblGrid>
      <w:tr w:rsidR="00A43D9B" w:rsidRPr="00676AB3" w14:paraId="7D3A978F" w14:textId="77777777" w:rsidTr="0047185F">
        <w:trPr>
          <w:cantSplit/>
          <w:trHeight w:val="467"/>
          <w:tblHeader/>
        </w:trPr>
        <w:tc>
          <w:tcPr>
            <w:tcW w:w="2127" w:type="dxa"/>
          </w:tcPr>
          <w:p w14:paraId="40D06529" w14:textId="739E05C9" w:rsidR="00A43D9B" w:rsidRPr="00676AB3" w:rsidRDefault="00A43D9B" w:rsidP="00A43D9B">
            <w:pPr>
              <w:rPr>
                <w:rFonts w:cs="Arial"/>
                <w:b/>
                <w:bCs/>
              </w:rPr>
            </w:pPr>
            <w:r w:rsidRPr="00676AB3">
              <w:rPr>
                <w:rFonts w:cs="Arial"/>
                <w:b/>
                <w:bCs/>
              </w:rPr>
              <w:t>Name</w:t>
            </w:r>
          </w:p>
        </w:tc>
        <w:tc>
          <w:tcPr>
            <w:tcW w:w="3543" w:type="dxa"/>
          </w:tcPr>
          <w:p w14:paraId="15C5A566" w14:textId="3EA9AF73" w:rsidR="00A43D9B" w:rsidRPr="00676AB3" w:rsidRDefault="00A43D9B" w:rsidP="00A43D9B">
            <w:pPr>
              <w:rPr>
                <w:rFonts w:cs="Arial"/>
                <w:b/>
                <w:bCs/>
              </w:rPr>
            </w:pPr>
            <w:r w:rsidRPr="00676AB3">
              <w:rPr>
                <w:rFonts w:cs="Arial"/>
                <w:b/>
                <w:bCs/>
              </w:rPr>
              <w:t>Main role</w:t>
            </w:r>
          </w:p>
        </w:tc>
        <w:tc>
          <w:tcPr>
            <w:tcW w:w="3544" w:type="dxa"/>
          </w:tcPr>
          <w:p w14:paraId="5A66EE47" w14:textId="6EC0AC91" w:rsidR="00A43D9B" w:rsidRPr="00676AB3" w:rsidRDefault="00A43D9B" w:rsidP="00A43D9B">
            <w:pPr>
              <w:rPr>
                <w:rFonts w:cs="Arial"/>
                <w:b/>
                <w:bCs/>
              </w:rPr>
            </w:pPr>
            <w:r w:rsidRPr="00676AB3">
              <w:rPr>
                <w:rFonts w:cs="Arial"/>
                <w:b/>
                <w:bCs/>
              </w:rPr>
              <w:t>Other professional roles</w:t>
            </w:r>
          </w:p>
        </w:tc>
        <w:tc>
          <w:tcPr>
            <w:tcW w:w="5813" w:type="dxa"/>
          </w:tcPr>
          <w:p w14:paraId="39D00AC9" w14:textId="15269848" w:rsidR="00A43D9B" w:rsidRPr="00676AB3" w:rsidRDefault="00A43D9B" w:rsidP="00A43D9B">
            <w:pPr>
              <w:rPr>
                <w:rFonts w:cs="Arial"/>
                <w:b/>
                <w:bCs/>
              </w:rPr>
            </w:pPr>
            <w:r w:rsidRPr="00676AB3">
              <w:rPr>
                <w:rFonts w:cs="Arial"/>
                <w:b/>
                <w:bCs/>
              </w:rPr>
              <w:t>Research interests</w:t>
            </w:r>
          </w:p>
        </w:tc>
      </w:tr>
      <w:tr w:rsidR="00A43D9B" w:rsidRPr="00676AB3" w14:paraId="08E40347" w14:textId="77777777" w:rsidTr="0047185F">
        <w:trPr>
          <w:cantSplit/>
          <w:trHeight w:val="907"/>
        </w:trPr>
        <w:tc>
          <w:tcPr>
            <w:tcW w:w="2127" w:type="dxa"/>
          </w:tcPr>
          <w:p w14:paraId="7BFD4327" w14:textId="77777777" w:rsidR="00A43D9B" w:rsidRPr="00676AB3" w:rsidRDefault="00A43D9B" w:rsidP="00A43D9B">
            <w:pPr>
              <w:rPr>
                <w:rFonts w:cs="Arial"/>
              </w:rPr>
            </w:pPr>
            <w:r w:rsidRPr="00676AB3">
              <w:rPr>
                <w:rFonts w:cs="Arial"/>
              </w:rPr>
              <w:t>Jo Rycroft-Malone (Chair)</w:t>
            </w:r>
          </w:p>
          <w:p w14:paraId="4BD54149" w14:textId="77777777" w:rsidR="00A43D9B" w:rsidRPr="00676AB3" w:rsidRDefault="00A43D9B" w:rsidP="00A43D9B">
            <w:pPr>
              <w:rPr>
                <w:rFonts w:cs="Arial"/>
              </w:rPr>
            </w:pPr>
          </w:p>
        </w:tc>
        <w:tc>
          <w:tcPr>
            <w:tcW w:w="3543" w:type="dxa"/>
          </w:tcPr>
          <w:p w14:paraId="4F365C91" w14:textId="43C9B1F3" w:rsidR="00A43D9B" w:rsidRPr="00676AB3" w:rsidRDefault="00A43D9B" w:rsidP="003F414C">
            <w:pPr>
              <w:spacing w:after="240"/>
              <w:rPr>
                <w:rFonts w:cs="Arial"/>
              </w:rPr>
            </w:pPr>
            <w:r w:rsidRPr="00676AB3">
              <w:rPr>
                <w:rFonts w:cs="Arial"/>
              </w:rPr>
              <w:t xml:space="preserve">Dean of Faculty of Health and Medicine (FHM) at Lancaster University </w:t>
            </w:r>
          </w:p>
        </w:tc>
        <w:tc>
          <w:tcPr>
            <w:tcW w:w="3544" w:type="dxa"/>
          </w:tcPr>
          <w:p w14:paraId="72906097" w14:textId="3269F668" w:rsidR="00A43D9B" w:rsidRPr="00676AB3" w:rsidRDefault="00A43D9B" w:rsidP="00A43D9B">
            <w:pPr>
              <w:spacing w:after="240"/>
              <w:rPr>
                <w:rFonts w:cs="Arial"/>
              </w:rPr>
            </w:pPr>
            <w:r w:rsidRPr="00676AB3">
              <w:rPr>
                <w:rFonts w:cs="Arial"/>
              </w:rPr>
              <w:t>Director, National Institute for Health Research’s Health Services &amp; Delivery Research Programme</w:t>
            </w:r>
          </w:p>
          <w:p w14:paraId="27D666C2" w14:textId="261EB87E" w:rsidR="00A43D9B" w:rsidRPr="00676AB3" w:rsidRDefault="00A43D9B" w:rsidP="00A43D9B">
            <w:pPr>
              <w:rPr>
                <w:rFonts w:cs="Arial"/>
              </w:rPr>
            </w:pPr>
            <w:r w:rsidRPr="00676AB3">
              <w:rPr>
                <w:rFonts w:cs="Arial"/>
              </w:rPr>
              <w:t>Senior Investigator Emeritus for Health and Care Research Wales</w:t>
            </w:r>
          </w:p>
          <w:p w14:paraId="738A18B7" w14:textId="77777777" w:rsidR="00A43D9B" w:rsidRPr="00676AB3" w:rsidRDefault="00A43D9B" w:rsidP="00A43D9B">
            <w:pPr>
              <w:rPr>
                <w:rFonts w:cs="Arial"/>
              </w:rPr>
            </w:pPr>
          </w:p>
        </w:tc>
        <w:tc>
          <w:tcPr>
            <w:tcW w:w="5813" w:type="dxa"/>
          </w:tcPr>
          <w:p w14:paraId="2EF4EDB6" w14:textId="77777777" w:rsidR="00A43D9B" w:rsidRPr="00676AB3" w:rsidRDefault="00A43D9B" w:rsidP="00A43D9B">
            <w:pPr>
              <w:numPr>
                <w:ilvl w:val="0"/>
                <w:numId w:val="23"/>
              </w:numPr>
              <w:rPr>
                <w:rFonts w:cs="Arial"/>
              </w:rPr>
            </w:pPr>
            <w:r w:rsidRPr="00676AB3">
              <w:rPr>
                <w:rFonts w:cs="Arial"/>
              </w:rPr>
              <w:t>Intervention development and testing</w:t>
            </w:r>
          </w:p>
          <w:p w14:paraId="05503656" w14:textId="77777777" w:rsidR="00A43D9B" w:rsidRPr="00676AB3" w:rsidRDefault="00A43D9B" w:rsidP="00A43D9B">
            <w:pPr>
              <w:numPr>
                <w:ilvl w:val="0"/>
                <w:numId w:val="23"/>
              </w:numPr>
              <w:rPr>
                <w:rFonts w:cs="Arial"/>
              </w:rPr>
            </w:pPr>
            <w:r w:rsidRPr="00676AB3">
              <w:rPr>
                <w:rFonts w:cs="Arial"/>
              </w:rPr>
              <w:t>Theory development and testing</w:t>
            </w:r>
          </w:p>
          <w:p w14:paraId="71414533" w14:textId="77777777" w:rsidR="00A43D9B" w:rsidRPr="00676AB3" w:rsidRDefault="00A43D9B" w:rsidP="00A43D9B">
            <w:pPr>
              <w:numPr>
                <w:ilvl w:val="0"/>
                <w:numId w:val="23"/>
              </w:numPr>
              <w:rPr>
                <w:rFonts w:cs="Arial"/>
              </w:rPr>
            </w:pPr>
            <w:r w:rsidRPr="00676AB3">
              <w:rPr>
                <w:rFonts w:cs="Arial"/>
              </w:rPr>
              <w:t>Process and outcome evaluation</w:t>
            </w:r>
          </w:p>
          <w:p w14:paraId="7008AC10" w14:textId="77777777" w:rsidR="00A43D9B" w:rsidRPr="00676AB3" w:rsidRDefault="00A43D9B" w:rsidP="00A43D9B">
            <w:pPr>
              <w:numPr>
                <w:ilvl w:val="0"/>
                <w:numId w:val="23"/>
              </w:numPr>
              <w:rPr>
                <w:rFonts w:cs="Arial"/>
              </w:rPr>
            </w:pPr>
            <w:r w:rsidRPr="00676AB3">
              <w:rPr>
                <w:rFonts w:cs="Arial"/>
              </w:rPr>
              <w:t>Realist synthesis and evaluation</w:t>
            </w:r>
          </w:p>
          <w:p w14:paraId="17BDC971" w14:textId="77777777" w:rsidR="00A43D9B" w:rsidRPr="00676AB3" w:rsidRDefault="00A43D9B" w:rsidP="00A43D9B">
            <w:pPr>
              <w:numPr>
                <w:ilvl w:val="0"/>
                <w:numId w:val="23"/>
              </w:numPr>
              <w:rPr>
                <w:rFonts w:cs="Arial"/>
              </w:rPr>
            </w:pPr>
            <w:r w:rsidRPr="00676AB3">
              <w:rPr>
                <w:rFonts w:cs="Arial"/>
              </w:rPr>
              <w:t>Innovation in knowledge sharing/mobilization activities</w:t>
            </w:r>
          </w:p>
          <w:p w14:paraId="13E30FDB" w14:textId="77777777" w:rsidR="00A43D9B" w:rsidRPr="00676AB3" w:rsidRDefault="00A43D9B" w:rsidP="00A43D9B">
            <w:pPr>
              <w:rPr>
                <w:rFonts w:cs="Arial"/>
              </w:rPr>
            </w:pPr>
          </w:p>
        </w:tc>
      </w:tr>
      <w:tr w:rsidR="00A43D9B" w:rsidRPr="00676AB3" w14:paraId="4D9E250B" w14:textId="77777777" w:rsidTr="0047185F">
        <w:trPr>
          <w:cantSplit/>
          <w:trHeight w:val="440"/>
        </w:trPr>
        <w:tc>
          <w:tcPr>
            <w:tcW w:w="2127" w:type="dxa"/>
          </w:tcPr>
          <w:p w14:paraId="2E5E6F8B" w14:textId="41DC1FF4" w:rsidR="00A43D9B" w:rsidRPr="00676AB3" w:rsidRDefault="00A43D9B" w:rsidP="00A43D9B">
            <w:pPr>
              <w:rPr>
                <w:rFonts w:cs="Arial"/>
              </w:rPr>
            </w:pPr>
            <w:r w:rsidRPr="00676AB3">
              <w:rPr>
                <w:rFonts w:cs="Arial"/>
              </w:rPr>
              <w:t>Stephen Chapman</w:t>
            </w:r>
          </w:p>
        </w:tc>
        <w:tc>
          <w:tcPr>
            <w:tcW w:w="3543" w:type="dxa"/>
          </w:tcPr>
          <w:p w14:paraId="77E9FC89" w14:textId="70442315" w:rsidR="00A43D9B" w:rsidRPr="00676AB3" w:rsidRDefault="00333972" w:rsidP="00A43D9B">
            <w:pPr>
              <w:rPr>
                <w:rFonts w:cs="Arial"/>
              </w:rPr>
            </w:pPr>
            <w:r w:rsidRPr="00333972">
              <w:rPr>
                <w:rFonts w:cs="Arial"/>
              </w:rPr>
              <w:t>Emeritus Professor of Medicines Optimisation</w:t>
            </w:r>
            <w:r>
              <w:rPr>
                <w:rFonts w:cs="Arial"/>
              </w:rPr>
              <w:t>,</w:t>
            </w:r>
            <w:r w:rsidR="00A43D9B" w:rsidRPr="00676AB3">
              <w:rPr>
                <w:rFonts w:cs="Arial"/>
              </w:rPr>
              <w:t xml:space="preserve"> School of Pharmacy,</w:t>
            </w:r>
            <w:r w:rsidR="00A43D9B" w:rsidRPr="00676AB3">
              <w:rPr>
                <w:rFonts w:cs="Arial"/>
              </w:rPr>
              <w:br/>
            </w:r>
            <w:proofErr w:type="spellStart"/>
            <w:r w:rsidR="00A43D9B" w:rsidRPr="00676AB3">
              <w:rPr>
                <w:rFonts w:cs="Arial"/>
              </w:rPr>
              <w:t>Keele</w:t>
            </w:r>
            <w:proofErr w:type="spellEnd"/>
            <w:r w:rsidR="00A43D9B" w:rsidRPr="00676AB3">
              <w:rPr>
                <w:rFonts w:cs="Arial"/>
              </w:rPr>
              <w:t xml:space="preserve"> University</w:t>
            </w:r>
          </w:p>
        </w:tc>
        <w:tc>
          <w:tcPr>
            <w:tcW w:w="3544" w:type="dxa"/>
          </w:tcPr>
          <w:p w14:paraId="668A1A30" w14:textId="0DCBD47B" w:rsidR="00A43D9B" w:rsidRPr="00676AB3" w:rsidRDefault="00A43D9B" w:rsidP="00A43D9B">
            <w:pPr>
              <w:rPr>
                <w:rFonts w:cs="Arial"/>
              </w:rPr>
            </w:pPr>
            <w:r w:rsidRPr="00676AB3">
              <w:rPr>
                <w:rFonts w:cs="Arial"/>
              </w:rPr>
              <w:t>Member of international editorial board of ‘Core Evidence’</w:t>
            </w:r>
          </w:p>
        </w:tc>
        <w:tc>
          <w:tcPr>
            <w:tcW w:w="5813" w:type="dxa"/>
          </w:tcPr>
          <w:p w14:paraId="016D0A07" w14:textId="77777777" w:rsidR="00A43D9B" w:rsidRPr="00676AB3" w:rsidRDefault="00A43D9B" w:rsidP="00A43D9B">
            <w:pPr>
              <w:numPr>
                <w:ilvl w:val="0"/>
                <w:numId w:val="24"/>
              </w:numPr>
              <w:rPr>
                <w:rFonts w:cs="Arial"/>
              </w:rPr>
            </w:pPr>
            <w:r w:rsidRPr="00676AB3">
              <w:rPr>
                <w:rFonts w:cs="Arial"/>
              </w:rPr>
              <w:t>Implementing evidence-based medicine</w:t>
            </w:r>
          </w:p>
          <w:p w14:paraId="4F266AA3" w14:textId="77777777" w:rsidR="00A43D9B" w:rsidRPr="00676AB3" w:rsidRDefault="00A43D9B" w:rsidP="00A43D9B">
            <w:pPr>
              <w:numPr>
                <w:ilvl w:val="0"/>
                <w:numId w:val="24"/>
              </w:numPr>
              <w:rPr>
                <w:rFonts w:cs="Arial"/>
              </w:rPr>
            </w:pPr>
            <w:r w:rsidRPr="00676AB3">
              <w:rPr>
                <w:rFonts w:cs="Arial"/>
              </w:rPr>
              <w:t>Prescribing databases</w:t>
            </w:r>
          </w:p>
          <w:p w14:paraId="0FD5BC9F" w14:textId="77777777" w:rsidR="00A43D9B" w:rsidRPr="00676AB3" w:rsidRDefault="00A43D9B" w:rsidP="00A43D9B">
            <w:pPr>
              <w:numPr>
                <w:ilvl w:val="0"/>
                <w:numId w:val="24"/>
              </w:numPr>
              <w:rPr>
                <w:rFonts w:cs="Arial"/>
              </w:rPr>
            </w:pPr>
            <w:r w:rsidRPr="00676AB3">
              <w:rPr>
                <w:rFonts w:cs="Arial"/>
              </w:rPr>
              <w:t>Health service prescribing policies</w:t>
            </w:r>
          </w:p>
          <w:p w14:paraId="15B1D0B1" w14:textId="77777777" w:rsidR="00A43D9B" w:rsidRPr="00676AB3" w:rsidRDefault="00A43D9B" w:rsidP="00A43D9B">
            <w:pPr>
              <w:numPr>
                <w:ilvl w:val="0"/>
                <w:numId w:val="24"/>
              </w:numPr>
              <w:rPr>
                <w:rFonts w:cs="Arial"/>
              </w:rPr>
            </w:pPr>
            <w:r w:rsidRPr="00676AB3">
              <w:rPr>
                <w:rFonts w:cs="Arial"/>
              </w:rPr>
              <w:t>Computerised decision support systems for prescribing</w:t>
            </w:r>
          </w:p>
          <w:p w14:paraId="5B1B9E8B" w14:textId="1CD2F357" w:rsidR="00A43D9B" w:rsidRPr="00676AB3" w:rsidRDefault="00A43D9B" w:rsidP="00A43D9B">
            <w:pPr>
              <w:numPr>
                <w:ilvl w:val="0"/>
                <w:numId w:val="24"/>
              </w:numPr>
              <w:rPr>
                <w:rFonts w:cs="Arial"/>
              </w:rPr>
            </w:pPr>
            <w:r w:rsidRPr="00676AB3">
              <w:rPr>
                <w:rFonts w:cs="Arial"/>
              </w:rPr>
              <w:t>Virtual patients and clinical avatars</w:t>
            </w:r>
          </w:p>
        </w:tc>
      </w:tr>
      <w:tr w:rsidR="00A43D9B" w:rsidRPr="00676AB3" w14:paraId="092C38C3" w14:textId="77777777" w:rsidTr="0047185F">
        <w:trPr>
          <w:cantSplit/>
          <w:trHeight w:val="467"/>
        </w:trPr>
        <w:tc>
          <w:tcPr>
            <w:tcW w:w="2127" w:type="dxa"/>
          </w:tcPr>
          <w:p w14:paraId="46FFFC13" w14:textId="5B756D7A" w:rsidR="00A43D9B" w:rsidRPr="00676AB3" w:rsidRDefault="00A43D9B" w:rsidP="00A43D9B">
            <w:pPr>
              <w:rPr>
                <w:rFonts w:cs="Arial"/>
              </w:rPr>
            </w:pPr>
            <w:r w:rsidRPr="00676AB3">
              <w:rPr>
                <w:rFonts w:cs="Arial"/>
              </w:rPr>
              <w:lastRenderedPageBreak/>
              <w:t>Jan Clarkson</w:t>
            </w:r>
          </w:p>
        </w:tc>
        <w:tc>
          <w:tcPr>
            <w:tcW w:w="3543" w:type="dxa"/>
          </w:tcPr>
          <w:p w14:paraId="14B0749F" w14:textId="77777777" w:rsidR="00A43D9B" w:rsidRPr="00676AB3" w:rsidRDefault="00A43D9B" w:rsidP="00A43D9B">
            <w:pPr>
              <w:spacing w:after="240"/>
              <w:rPr>
                <w:rFonts w:cs="Arial"/>
              </w:rPr>
            </w:pPr>
            <w:r w:rsidRPr="00676AB3">
              <w:rPr>
                <w:rFonts w:cs="Arial"/>
              </w:rPr>
              <w:t>Professor of Clinical Effectiveness,</w:t>
            </w:r>
            <w:r w:rsidRPr="00676AB3">
              <w:rPr>
                <w:rFonts w:cs="Arial"/>
              </w:rPr>
              <w:br/>
              <w:t>University of Dundee</w:t>
            </w:r>
          </w:p>
          <w:p w14:paraId="5076A9E3" w14:textId="77777777" w:rsidR="00A43D9B" w:rsidRPr="00676AB3" w:rsidRDefault="00A43D9B" w:rsidP="00A43D9B">
            <w:pPr>
              <w:rPr>
                <w:rFonts w:cs="Arial"/>
              </w:rPr>
            </w:pPr>
            <w:r w:rsidRPr="00676AB3">
              <w:rPr>
                <w:iCs/>
              </w:rPr>
              <w:t xml:space="preserve">Professor of Dental Research, </w:t>
            </w:r>
          </w:p>
          <w:p w14:paraId="73605728" w14:textId="77777777" w:rsidR="00A43D9B" w:rsidRPr="00676AB3" w:rsidRDefault="00A43D9B" w:rsidP="00A43D9B">
            <w:pPr>
              <w:spacing w:after="240"/>
              <w:rPr>
                <w:rFonts w:cs="Arial"/>
              </w:rPr>
            </w:pPr>
            <w:r w:rsidRPr="00676AB3">
              <w:rPr>
                <w:iCs/>
              </w:rPr>
              <w:t>University of Manchester </w:t>
            </w:r>
          </w:p>
          <w:p w14:paraId="51FC96BC" w14:textId="77777777" w:rsidR="00A43D9B" w:rsidRPr="00676AB3" w:rsidRDefault="00A43D9B" w:rsidP="00A43D9B">
            <w:pPr>
              <w:rPr>
                <w:rFonts w:cs="Arial"/>
              </w:rPr>
            </w:pPr>
            <w:r w:rsidRPr="00676AB3">
              <w:rPr>
                <w:iCs/>
              </w:rPr>
              <w:t xml:space="preserve">Associate Dental Dean, </w:t>
            </w:r>
          </w:p>
          <w:p w14:paraId="65764003" w14:textId="622F9837" w:rsidR="00A43D9B" w:rsidRPr="00676AB3" w:rsidRDefault="00A43D9B" w:rsidP="00A43D9B">
            <w:pPr>
              <w:rPr>
                <w:rFonts w:cs="Arial"/>
              </w:rPr>
            </w:pPr>
            <w:r w:rsidRPr="00676AB3">
              <w:rPr>
                <w:iCs/>
              </w:rPr>
              <w:t xml:space="preserve">NHS Education for </w:t>
            </w:r>
            <w:r w:rsidRPr="00676AB3">
              <w:rPr>
                <w:rFonts w:cs="Arial"/>
              </w:rPr>
              <w:t>Scotland</w:t>
            </w:r>
          </w:p>
        </w:tc>
        <w:tc>
          <w:tcPr>
            <w:tcW w:w="3544" w:type="dxa"/>
          </w:tcPr>
          <w:p w14:paraId="17905C33" w14:textId="77777777" w:rsidR="00A43D9B" w:rsidRPr="00676AB3" w:rsidRDefault="00A43D9B" w:rsidP="00A43D9B">
            <w:pPr>
              <w:spacing w:after="240"/>
              <w:rPr>
                <w:rFonts w:cs="Arial"/>
              </w:rPr>
            </w:pPr>
            <w:r w:rsidRPr="00676AB3">
              <w:rPr>
                <w:rFonts w:cs="Arial"/>
              </w:rPr>
              <w:t>Honorary Consultant in Paediatric Dentistry</w:t>
            </w:r>
          </w:p>
          <w:p w14:paraId="5C41A63F" w14:textId="4D44B0AA" w:rsidR="00A43D9B" w:rsidRPr="00676AB3" w:rsidRDefault="00A43D9B" w:rsidP="00A43D9B">
            <w:pPr>
              <w:spacing w:after="240"/>
              <w:rPr>
                <w:rFonts w:cs="Arial"/>
              </w:rPr>
            </w:pPr>
            <w:r w:rsidRPr="00676AB3">
              <w:rPr>
                <w:rFonts w:cs="Arial"/>
              </w:rPr>
              <w:t>Join</w:t>
            </w:r>
            <w:r w:rsidR="009D183C">
              <w:rPr>
                <w:rFonts w:cs="Arial"/>
              </w:rPr>
              <w:t>t</w:t>
            </w:r>
            <w:r w:rsidRPr="00676AB3">
              <w:rPr>
                <w:rFonts w:cs="Arial"/>
              </w:rPr>
              <w:t xml:space="preserve"> Co-Ed Cochrane Oral Health</w:t>
            </w:r>
          </w:p>
          <w:p w14:paraId="6E2DFD5B" w14:textId="755D7362" w:rsidR="00A43D9B" w:rsidRPr="00676AB3" w:rsidRDefault="00A43D9B" w:rsidP="00A43D9B">
            <w:pPr>
              <w:spacing w:after="240"/>
              <w:rPr>
                <w:rFonts w:cs="Arial"/>
              </w:rPr>
            </w:pPr>
            <w:r w:rsidRPr="00676AB3">
              <w:rPr>
                <w:rFonts w:cs="Arial"/>
              </w:rPr>
              <w:t>Director Scottish Dental Clinical Effectiveness Programme</w:t>
            </w:r>
          </w:p>
          <w:p w14:paraId="026268BB" w14:textId="77777777" w:rsidR="00A43D9B" w:rsidRPr="00676AB3" w:rsidRDefault="00A43D9B" w:rsidP="00A43D9B">
            <w:pPr>
              <w:rPr>
                <w:rFonts w:cs="Arial"/>
              </w:rPr>
            </w:pPr>
            <w:r w:rsidRPr="00676AB3">
              <w:rPr>
                <w:rFonts w:cs="Arial"/>
              </w:rPr>
              <w:t xml:space="preserve">Director Scottish Improvement Science Collaborating Centre </w:t>
            </w:r>
          </w:p>
          <w:p w14:paraId="0482AE80" w14:textId="77777777" w:rsidR="00A43D9B" w:rsidRPr="00676AB3" w:rsidRDefault="00A43D9B" w:rsidP="00A43D9B">
            <w:pPr>
              <w:rPr>
                <w:rFonts w:cs="Arial"/>
              </w:rPr>
            </w:pPr>
          </w:p>
        </w:tc>
        <w:tc>
          <w:tcPr>
            <w:tcW w:w="5813" w:type="dxa"/>
          </w:tcPr>
          <w:p w14:paraId="08484B76" w14:textId="77777777" w:rsidR="00A43D9B" w:rsidRPr="00676AB3" w:rsidRDefault="00A43D9B" w:rsidP="00A43D9B">
            <w:pPr>
              <w:numPr>
                <w:ilvl w:val="0"/>
                <w:numId w:val="26"/>
              </w:numPr>
              <w:rPr>
                <w:rFonts w:ascii="Calibri" w:hAnsi="Calibri"/>
                <w:lang w:eastAsia="en-US"/>
              </w:rPr>
            </w:pPr>
            <w:r w:rsidRPr="00676AB3">
              <w:rPr>
                <w:rFonts w:cs="Arial"/>
                <w:lang w:eastAsia="en-US"/>
              </w:rPr>
              <w:t>Service and education delivery</w:t>
            </w:r>
          </w:p>
          <w:p w14:paraId="58839E45" w14:textId="77777777" w:rsidR="00A43D9B" w:rsidRPr="00676AB3" w:rsidRDefault="00A43D9B" w:rsidP="00A43D9B">
            <w:pPr>
              <w:numPr>
                <w:ilvl w:val="0"/>
                <w:numId w:val="26"/>
              </w:numPr>
              <w:rPr>
                <w:rFonts w:ascii="Calibri" w:hAnsi="Calibri"/>
                <w:lang w:eastAsia="en-US"/>
              </w:rPr>
            </w:pPr>
            <w:r w:rsidRPr="00676AB3">
              <w:rPr>
                <w:rFonts w:cs="Arial"/>
                <w:lang w:eastAsia="en-US"/>
              </w:rPr>
              <w:t xml:space="preserve">Promote and develop research in dental primary care </w:t>
            </w:r>
          </w:p>
          <w:p w14:paraId="4C5BA3F1" w14:textId="77777777" w:rsidR="00A43D9B" w:rsidRPr="00676AB3" w:rsidRDefault="00A43D9B" w:rsidP="00A43D9B">
            <w:pPr>
              <w:numPr>
                <w:ilvl w:val="0"/>
                <w:numId w:val="26"/>
              </w:numPr>
              <w:rPr>
                <w:rFonts w:ascii="Calibri" w:hAnsi="Calibri"/>
                <w:lang w:eastAsia="en-US"/>
              </w:rPr>
            </w:pPr>
            <w:r w:rsidRPr="00676AB3">
              <w:rPr>
                <w:rFonts w:cs="Arial"/>
                <w:lang w:eastAsia="en-US"/>
              </w:rPr>
              <w:t>Incentives to implement research in primary care dentistry</w:t>
            </w:r>
          </w:p>
          <w:p w14:paraId="72AD3D73" w14:textId="77777777" w:rsidR="00A43D9B" w:rsidRPr="00676AB3" w:rsidRDefault="00A43D9B" w:rsidP="00A43D9B">
            <w:pPr>
              <w:numPr>
                <w:ilvl w:val="0"/>
                <w:numId w:val="26"/>
              </w:numPr>
              <w:rPr>
                <w:rFonts w:ascii="Calibri" w:hAnsi="Calibri"/>
                <w:lang w:eastAsia="en-US"/>
              </w:rPr>
            </w:pPr>
            <w:r w:rsidRPr="00676AB3">
              <w:rPr>
                <w:rFonts w:cs="Arial"/>
                <w:lang w:eastAsia="en-US"/>
              </w:rPr>
              <w:t>Implementation of evidence-based practice</w:t>
            </w:r>
          </w:p>
          <w:p w14:paraId="7B1B4A01" w14:textId="77777777" w:rsidR="00A43D9B" w:rsidRPr="00676AB3" w:rsidRDefault="00A43D9B" w:rsidP="00A43D9B">
            <w:pPr>
              <w:numPr>
                <w:ilvl w:val="0"/>
                <w:numId w:val="26"/>
              </w:numPr>
              <w:rPr>
                <w:rFonts w:ascii="Calibri" w:hAnsi="Calibri"/>
                <w:lang w:eastAsia="en-US"/>
              </w:rPr>
            </w:pPr>
            <w:r w:rsidRPr="00676AB3">
              <w:rPr>
                <w:rFonts w:cs="Arial"/>
                <w:lang w:eastAsia="en-US"/>
              </w:rPr>
              <w:t>Embedding implementation in guidance development</w:t>
            </w:r>
          </w:p>
          <w:p w14:paraId="60F2F17C" w14:textId="77777777" w:rsidR="00A43D9B" w:rsidRPr="00676AB3" w:rsidRDefault="00A43D9B" w:rsidP="00A43D9B">
            <w:pPr>
              <w:numPr>
                <w:ilvl w:val="0"/>
                <w:numId w:val="26"/>
              </w:numPr>
              <w:rPr>
                <w:rFonts w:ascii="Calibri" w:hAnsi="Calibri"/>
                <w:lang w:eastAsia="en-US"/>
              </w:rPr>
            </w:pPr>
            <w:r w:rsidRPr="00676AB3">
              <w:rPr>
                <w:rFonts w:cs="Arial"/>
                <w:lang w:eastAsia="en-US"/>
              </w:rPr>
              <w:t>Mixed methods to understand professional behaviour</w:t>
            </w:r>
          </w:p>
          <w:p w14:paraId="246D1E32" w14:textId="63271C41" w:rsidR="00A43D9B" w:rsidRPr="00676AB3" w:rsidRDefault="00A43D9B" w:rsidP="00A43D9B">
            <w:pPr>
              <w:pStyle w:val="ListParagraph"/>
              <w:numPr>
                <w:ilvl w:val="0"/>
                <w:numId w:val="26"/>
              </w:numPr>
              <w:rPr>
                <w:rFonts w:cs="Arial"/>
              </w:rPr>
            </w:pPr>
            <w:r w:rsidRPr="00676AB3">
              <w:rPr>
                <w:rFonts w:cs="Arial"/>
                <w:lang w:eastAsia="en-US"/>
              </w:rPr>
              <w:t>Developing and evaluating health care interventions</w:t>
            </w:r>
          </w:p>
        </w:tc>
      </w:tr>
      <w:tr w:rsidR="00A43D9B" w:rsidRPr="00676AB3" w14:paraId="744998B1" w14:textId="77777777" w:rsidTr="0047185F">
        <w:trPr>
          <w:cantSplit/>
          <w:trHeight w:val="467"/>
        </w:trPr>
        <w:tc>
          <w:tcPr>
            <w:tcW w:w="2127" w:type="dxa"/>
          </w:tcPr>
          <w:p w14:paraId="008A4718" w14:textId="3E55E3AE" w:rsidR="00A43D9B" w:rsidRPr="00676AB3" w:rsidRDefault="00A43D9B" w:rsidP="00A43D9B">
            <w:pPr>
              <w:rPr>
                <w:rFonts w:cs="Arial"/>
              </w:rPr>
            </w:pPr>
            <w:r w:rsidRPr="00676AB3">
              <w:rPr>
                <w:rFonts w:cs="Arial"/>
              </w:rPr>
              <w:t>Robbie Foy</w:t>
            </w:r>
          </w:p>
        </w:tc>
        <w:tc>
          <w:tcPr>
            <w:tcW w:w="3543" w:type="dxa"/>
          </w:tcPr>
          <w:p w14:paraId="7202E767" w14:textId="77777777" w:rsidR="00A43D9B" w:rsidRPr="00676AB3" w:rsidRDefault="00A43D9B" w:rsidP="00A43D9B">
            <w:pPr>
              <w:rPr>
                <w:rFonts w:cs="Arial"/>
              </w:rPr>
            </w:pPr>
            <w:r w:rsidRPr="00676AB3">
              <w:rPr>
                <w:rFonts w:cs="Arial"/>
              </w:rPr>
              <w:t>Professor of Primary Care,</w:t>
            </w:r>
            <w:r w:rsidRPr="00676AB3">
              <w:rPr>
                <w:rFonts w:cs="Arial"/>
              </w:rPr>
              <w:br/>
              <w:t>Leeds University</w:t>
            </w:r>
            <w:r w:rsidRPr="00676AB3">
              <w:rPr>
                <w:rFonts w:cs="Arial"/>
              </w:rPr>
              <w:br/>
              <w:t>Leeds Institute of Health Sciences</w:t>
            </w:r>
          </w:p>
          <w:p w14:paraId="53D60450" w14:textId="77777777" w:rsidR="00A43D9B" w:rsidRPr="00676AB3" w:rsidRDefault="00A43D9B" w:rsidP="00A43D9B">
            <w:pPr>
              <w:rPr>
                <w:rFonts w:cs="Arial"/>
              </w:rPr>
            </w:pPr>
          </w:p>
        </w:tc>
        <w:tc>
          <w:tcPr>
            <w:tcW w:w="3544" w:type="dxa"/>
          </w:tcPr>
          <w:p w14:paraId="10F5E70B" w14:textId="77777777" w:rsidR="00A43D9B" w:rsidRPr="00676AB3" w:rsidRDefault="00A43D9B" w:rsidP="00A43D9B">
            <w:pPr>
              <w:spacing w:after="240"/>
              <w:rPr>
                <w:rFonts w:cs="Arial"/>
              </w:rPr>
            </w:pPr>
            <w:r w:rsidRPr="00676AB3">
              <w:rPr>
                <w:rFonts w:cs="Arial"/>
              </w:rPr>
              <w:t>Founding editor of the journal ‘Implementation Science’</w:t>
            </w:r>
          </w:p>
          <w:p w14:paraId="00C439BD" w14:textId="77777777" w:rsidR="00A43D9B" w:rsidRPr="00676AB3" w:rsidRDefault="00A43D9B" w:rsidP="00A43D9B">
            <w:pPr>
              <w:spacing w:after="240"/>
              <w:rPr>
                <w:rFonts w:cs="Arial"/>
              </w:rPr>
            </w:pPr>
            <w:r w:rsidRPr="00676AB3">
              <w:rPr>
                <w:rFonts w:cs="Arial"/>
              </w:rPr>
              <w:t>Trained in General Practice and Public Health</w:t>
            </w:r>
          </w:p>
          <w:p w14:paraId="54704B6D" w14:textId="618685B4" w:rsidR="00A43D9B" w:rsidRPr="00676AB3" w:rsidRDefault="00A43D9B" w:rsidP="00A43D9B">
            <w:pPr>
              <w:rPr>
                <w:rFonts w:cs="Arial"/>
              </w:rPr>
            </w:pPr>
            <w:r w:rsidRPr="00676AB3">
              <w:rPr>
                <w:rFonts w:cs="Arial"/>
              </w:rPr>
              <w:t>Part-time GP</w:t>
            </w:r>
          </w:p>
        </w:tc>
        <w:tc>
          <w:tcPr>
            <w:tcW w:w="5813" w:type="dxa"/>
          </w:tcPr>
          <w:p w14:paraId="7322DC57" w14:textId="77777777" w:rsidR="00A43D9B" w:rsidRPr="00676AB3" w:rsidRDefault="00A43D9B" w:rsidP="00A43D9B">
            <w:pPr>
              <w:numPr>
                <w:ilvl w:val="0"/>
                <w:numId w:val="28"/>
              </w:numPr>
              <w:rPr>
                <w:rFonts w:cs="Arial"/>
              </w:rPr>
            </w:pPr>
            <w:r w:rsidRPr="00676AB3">
              <w:rPr>
                <w:rFonts w:cs="Arial"/>
              </w:rPr>
              <w:t>Understanding and closing the gap between best evidence and routine practice</w:t>
            </w:r>
          </w:p>
          <w:p w14:paraId="1B6BDE5C" w14:textId="77777777" w:rsidR="00A43D9B" w:rsidRPr="00676AB3" w:rsidRDefault="00A43D9B" w:rsidP="00A43D9B">
            <w:pPr>
              <w:numPr>
                <w:ilvl w:val="0"/>
                <w:numId w:val="28"/>
              </w:numPr>
              <w:rPr>
                <w:rFonts w:cs="Arial"/>
              </w:rPr>
            </w:pPr>
            <w:r w:rsidRPr="00676AB3">
              <w:rPr>
                <w:rFonts w:cs="Arial"/>
              </w:rPr>
              <w:t>Evidence based medicine</w:t>
            </w:r>
          </w:p>
          <w:p w14:paraId="143E2081" w14:textId="77777777" w:rsidR="00A43D9B" w:rsidRPr="00676AB3" w:rsidRDefault="00A43D9B" w:rsidP="00A43D9B">
            <w:pPr>
              <w:numPr>
                <w:ilvl w:val="0"/>
                <w:numId w:val="28"/>
              </w:numPr>
              <w:rPr>
                <w:rFonts w:cs="Arial"/>
              </w:rPr>
            </w:pPr>
            <w:r w:rsidRPr="00676AB3">
              <w:rPr>
                <w:rFonts w:cs="Arial"/>
              </w:rPr>
              <w:t xml:space="preserve">Theory driven evaluation </w:t>
            </w:r>
          </w:p>
          <w:p w14:paraId="2E71A75E" w14:textId="77777777" w:rsidR="00A43D9B" w:rsidRPr="00676AB3" w:rsidRDefault="00A43D9B" w:rsidP="00A43D9B">
            <w:pPr>
              <w:numPr>
                <w:ilvl w:val="0"/>
                <w:numId w:val="28"/>
              </w:numPr>
              <w:rPr>
                <w:rFonts w:cs="Arial"/>
              </w:rPr>
            </w:pPr>
            <w:r w:rsidRPr="00676AB3">
              <w:rPr>
                <w:rFonts w:cs="Arial"/>
              </w:rPr>
              <w:t>Quality improvement and patient safety</w:t>
            </w:r>
          </w:p>
          <w:p w14:paraId="730A7C25" w14:textId="6164CCF9" w:rsidR="00A43D9B" w:rsidRPr="00676AB3" w:rsidRDefault="00A43D9B" w:rsidP="00A43D9B">
            <w:pPr>
              <w:numPr>
                <w:ilvl w:val="0"/>
                <w:numId w:val="28"/>
              </w:numPr>
              <w:rPr>
                <w:rFonts w:cs="Arial"/>
              </w:rPr>
            </w:pPr>
            <w:r w:rsidRPr="00676AB3">
              <w:rPr>
                <w:rFonts w:cs="Arial"/>
              </w:rPr>
              <w:t>Evaluating approaches to changing professional and organisational behaviour to improve uptake of research</w:t>
            </w:r>
          </w:p>
        </w:tc>
      </w:tr>
      <w:tr w:rsidR="00A43D9B" w:rsidRPr="00676AB3" w14:paraId="07855519" w14:textId="77777777" w:rsidTr="0047185F">
        <w:trPr>
          <w:cantSplit/>
          <w:trHeight w:val="440"/>
        </w:trPr>
        <w:tc>
          <w:tcPr>
            <w:tcW w:w="2127" w:type="dxa"/>
          </w:tcPr>
          <w:p w14:paraId="4673A4E1" w14:textId="4E12A0C4" w:rsidR="00A43D9B" w:rsidRPr="00676AB3" w:rsidRDefault="00A43D9B" w:rsidP="00A43D9B">
            <w:pPr>
              <w:rPr>
                <w:rFonts w:cs="Arial"/>
              </w:rPr>
            </w:pPr>
            <w:r w:rsidRPr="00676AB3">
              <w:rPr>
                <w:rFonts w:cs="Arial"/>
              </w:rPr>
              <w:t>Kevin Gormley</w:t>
            </w:r>
          </w:p>
        </w:tc>
        <w:tc>
          <w:tcPr>
            <w:tcW w:w="3543" w:type="dxa"/>
          </w:tcPr>
          <w:p w14:paraId="77B80588" w14:textId="77777777" w:rsidR="00A43D9B" w:rsidRPr="00676AB3" w:rsidRDefault="00A43D9B" w:rsidP="00A43D9B">
            <w:pPr>
              <w:pStyle w:val="PlainText"/>
              <w:jc w:val="both"/>
              <w:rPr>
                <w:rFonts w:ascii="Arial" w:hAnsi="Arial" w:cs="Arial"/>
                <w:sz w:val="24"/>
                <w:szCs w:val="24"/>
              </w:rPr>
            </w:pPr>
            <w:r w:rsidRPr="00676AB3">
              <w:rPr>
                <w:rFonts w:ascii="Arial" w:hAnsi="Arial" w:cs="Arial"/>
                <w:sz w:val="24"/>
                <w:szCs w:val="24"/>
              </w:rPr>
              <w:t>Professor of Nursing</w:t>
            </w:r>
          </w:p>
          <w:p w14:paraId="69B9299D" w14:textId="77777777" w:rsidR="00A43D9B" w:rsidRPr="00676AB3" w:rsidRDefault="00A43D9B" w:rsidP="00A43D9B">
            <w:pPr>
              <w:framePr w:hSpace="180" w:wrap="around" w:vAnchor="page" w:hAnchor="margin" w:y="1861"/>
              <w:rPr>
                <w:rFonts w:cs="Arial"/>
              </w:rPr>
            </w:pPr>
            <w:r w:rsidRPr="00676AB3">
              <w:rPr>
                <w:rFonts w:cs="Arial"/>
              </w:rPr>
              <w:t>School of Nursing and Midwifery</w:t>
            </w:r>
          </w:p>
          <w:p w14:paraId="5D8918D7" w14:textId="1D507FB9" w:rsidR="00A43D9B" w:rsidRPr="00676AB3" w:rsidRDefault="00A43D9B" w:rsidP="00A43D9B">
            <w:pPr>
              <w:rPr>
                <w:rFonts w:cs="Arial"/>
              </w:rPr>
            </w:pPr>
            <w:r w:rsidRPr="00676AB3">
              <w:rPr>
                <w:rFonts w:cs="Arial"/>
              </w:rPr>
              <w:t>Queen's University of Belfast</w:t>
            </w:r>
          </w:p>
        </w:tc>
        <w:tc>
          <w:tcPr>
            <w:tcW w:w="3544" w:type="dxa"/>
          </w:tcPr>
          <w:p w14:paraId="6F8AC66C" w14:textId="11897EE4" w:rsidR="00A43D9B" w:rsidRPr="00676AB3" w:rsidRDefault="00A43D9B" w:rsidP="00A43D9B">
            <w:pPr>
              <w:rPr>
                <w:rFonts w:cs="Arial"/>
              </w:rPr>
            </w:pPr>
            <w:r w:rsidRPr="00676AB3">
              <w:rPr>
                <w:rFonts w:cs="Arial"/>
              </w:rPr>
              <w:t>Director of Internationalisation, School of Nursing and Midwifery, Queen's University of Belfast</w:t>
            </w:r>
          </w:p>
        </w:tc>
        <w:tc>
          <w:tcPr>
            <w:tcW w:w="5813" w:type="dxa"/>
          </w:tcPr>
          <w:p w14:paraId="69FFCC09" w14:textId="77777777" w:rsidR="00A43D9B" w:rsidRPr="00676AB3" w:rsidRDefault="004055CF" w:rsidP="00A43D9B">
            <w:pPr>
              <w:numPr>
                <w:ilvl w:val="0"/>
                <w:numId w:val="29"/>
              </w:numPr>
              <w:rPr>
                <w:rFonts w:cs="Arial"/>
              </w:rPr>
            </w:pPr>
            <w:hyperlink r:id="rId7" w:history="1">
              <w:r w:rsidR="00A43D9B" w:rsidRPr="00676AB3">
                <w:rPr>
                  <w:rFonts w:cs="Arial"/>
                </w:rPr>
                <w:t>Social policy and ageing</w:t>
              </w:r>
            </w:hyperlink>
          </w:p>
          <w:p w14:paraId="127328BE" w14:textId="77777777" w:rsidR="00A43D9B" w:rsidRDefault="004055CF" w:rsidP="00A43D9B">
            <w:pPr>
              <w:pStyle w:val="ListParagraph"/>
              <w:numPr>
                <w:ilvl w:val="0"/>
                <w:numId w:val="29"/>
              </w:numPr>
              <w:rPr>
                <w:rFonts w:cs="Arial"/>
              </w:rPr>
            </w:pPr>
            <w:hyperlink r:id="rId8" w:history="1">
              <w:r w:rsidR="00A43D9B" w:rsidRPr="00676AB3">
                <w:rPr>
                  <w:rFonts w:cs="Arial"/>
                </w:rPr>
                <w:t>Life course changes and vulnerability with growing old</w:t>
              </w:r>
            </w:hyperlink>
          </w:p>
          <w:p w14:paraId="39EB00AA" w14:textId="48924EC2" w:rsidR="00575AA2" w:rsidRPr="00676AB3" w:rsidRDefault="00575AA2" w:rsidP="00A43D9B">
            <w:pPr>
              <w:pStyle w:val="ListParagraph"/>
              <w:numPr>
                <w:ilvl w:val="0"/>
                <w:numId w:val="29"/>
              </w:numPr>
              <w:rPr>
                <w:rFonts w:cs="Arial"/>
              </w:rPr>
            </w:pPr>
            <w:r w:rsidRPr="00575AA2">
              <w:rPr>
                <w:rFonts w:cs="Arial"/>
              </w:rPr>
              <w:t>Loneliness, Disability, Polypharmacy</w:t>
            </w:r>
          </w:p>
        </w:tc>
      </w:tr>
      <w:tr w:rsidR="00A43D9B" w:rsidRPr="00676AB3" w14:paraId="1029EFDB" w14:textId="77777777" w:rsidTr="0047185F">
        <w:trPr>
          <w:cantSplit/>
          <w:trHeight w:val="467"/>
        </w:trPr>
        <w:tc>
          <w:tcPr>
            <w:tcW w:w="2127" w:type="dxa"/>
          </w:tcPr>
          <w:p w14:paraId="211E63AB" w14:textId="1677B0A6" w:rsidR="00A43D9B" w:rsidRPr="00676AB3" w:rsidRDefault="00A43D9B" w:rsidP="00A43D9B">
            <w:pPr>
              <w:rPr>
                <w:rFonts w:cs="Arial"/>
              </w:rPr>
            </w:pPr>
            <w:r w:rsidRPr="00676AB3">
              <w:rPr>
                <w:rFonts w:cs="Arial"/>
              </w:rPr>
              <w:lastRenderedPageBreak/>
              <w:t>Jane Sandall</w:t>
            </w:r>
          </w:p>
        </w:tc>
        <w:tc>
          <w:tcPr>
            <w:tcW w:w="3543" w:type="dxa"/>
          </w:tcPr>
          <w:p w14:paraId="7FDE1CB8" w14:textId="77777777" w:rsidR="00A43D9B" w:rsidRDefault="00A43D9B" w:rsidP="00A43D9B">
            <w:pPr>
              <w:rPr>
                <w:rFonts w:cs="Arial"/>
              </w:rPr>
            </w:pPr>
            <w:r w:rsidRPr="00676AB3">
              <w:rPr>
                <w:rFonts w:cs="Arial"/>
              </w:rPr>
              <w:t>Professor of Social Science and Women’s Health, King’s College, London</w:t>
            </w:r>
          </w:p>
          <w:p w14:paraId="42B98097" w14:textId="77777777" w:rsidR="008F528A" w:rsidRDefault="008F528A" w:rsidP="00A43D9B">
            <w:pPr>
              <w:rPr>
                <w:rFonts w:cs="Arial"/>
              </w:rPr>
            </w:pPr>
          </w:p>
          <w:p w14:paraId="542FFC6F" w14:textId="62643BC7" w:rsidR="008F528A" w:rsidRDefault="008F528A" w:rsidP="008F528A">
            <w:pPr>
              <w:pStyle w:val="Title"/>
              <w:jc w:val="left"/>
              <w:rPr>
                <w:b w:val="0"/>
                <w:bCs w:val="0"/>
                <w:sz w:val="24"/>
                <w:szCs w:val="24"/>
              </w:rPr>
            </w:pPr>
            <w:r>
              <w:rPr>
                <w:b w:val="0"/>
                <w:bCs w:val="0"/>
                <w:sz w:val="24"/>
                <w:szCs w:val="24"/>
              </w:rPr>
              <w:t>Seconded Head of Midwifery Research</w:t>
            </w:r>
            <w:r>
              <w:rPr>
                <w:b w:val="0"/>
                <w:bCs w:val="0"/>
                <w:sz w:val="24"/>
                <w:szCs w:val="24"/>
              </w:rPr>
              <w:t>,</w:t>
            </w:r>
            <w:r>
              <w:rPr>
                <w:b w:val="0"/>
                <w:bCs w:val="0"/>
                <w:sz w:val="24"/>
                <w:szCs w:val="24"/>
              </w:rPr>
              <w:t xml:space="preserve"> NHS </w:t>
            </w:r>
            <w:proofErr w:type="gramStart"/>
            <w:r>
              <w:rPr>
                <w:b w:val="0"/>
                <w:bCs w:val="0"/>
                <w:sz w:val="24"/>
                <w:szCs w:val="24"/>
              </w:rPr>
              <w:t>England</w:t>
            </w:r>
            <w:proofErr w:type="gramEnd"/>
            <w:r>
              <w:rPr>
                <w:b w:val="0"/>
                <w:bCs w:val="0"/>
                <w:sz w:val="24"/>
                <w:szCs w:val="24"/>
              </w:rPr>
              <w:t xml:space="preserve"> and Improvement</w:t>
            </w:r>
          </w:p>
          <w:p w14:paraId="25E26AD1" w14:textId="0700BF59" w:rsidR="008F528A" w:rsidRPr="00676AB3" w:rsidRDefault="008F528A" w:rsidP="00A43D9B">
            <w:pPr>
              <w:rPr>
                <w:rFonts w:cs="Arial"/>
              </w:rPr>
            </w:pPr>
          </w:p>
        </w:tc>
        <w:tc>
          <w:tcPr>
            <w:tcW w:w="3544" w:type="dxa"/>
          </w:tcPr>
          <w:p w14:paraId="6EB7A70E" w14:textId="244190DD" w:rsidR="00CC29D1" w:rsidRDefault="00CC29D1" w:rsidP="008F528A">
            <w:pPr>
              <w:rPr>
                <w:rFonts w:cs="Arial"/>
              </w:rPr>
            </w:pPr>
            <w:r w:rsidRPr="00CC29D1">
              <w:rPr>
                <w:rFonts w:cs="Arial"/>
              </w:rPr>
              <w:t>NIHR Senior Investigator</w:t>
            </w:r>
          </w:p>
          <w:p w14:paraId="0A79FE22" w14:textId="77777777" w:rsidR="00AF185E" w:rsidRPr="00CC29D1" w:rsidRDefault="00AF185E" w:rsidP="00CC29D1">
            <w:pPr>
              <w:rPr>
                <w:rFonts w:cs="Arial"/>
              </w:rPr>
            </w:pPr>
          </w:p>
          <w:p w14:paraId="1690B827" w14:textId="63E2635B" w:rsidR="00CC29D1" w:rsidRPr="00CC29D1" w:rsidRDefault="00CC29D1" w:rsidP="00CC29D1">
            <w:pPr>
              <w:rPr>
                <w:rFonts w:cs="Arial"/>
              </w:rPr>
            </w:pPr>
            <w:r w:rsidRPr="00CC29D1">
              <w:rPr>
                <w:rFonts w:cs="Arial"/>
              </w:rPr>
              <w:t>NIHR ARC South London Lead maternity and perinatal mental health theme</w:t>
            </w:r>
          </w:p>
          <w:p w14:paraId="2ACA3CA0" w14:textId="77777777" w:rsidR="00AF185E" w:rsidRDefault="00AF185E" w:rsidP="00CC29D1">
            <w:pPr>
              <w:rPr>
                <w:rFonts w:cs="Arial"/>
              </w:rPr>
            </w:pPr>
          </w:p>
          <w:p w14:paraId="48F57195" w14:textId="0DE87B2E" w:rsidR="00CC29D1" w:rsidRPr="00CC29D1" w:rsidRDefault="00CC29D1" w:rsidP="00CC29D1">
            <w:pPr>
              <w:rPr>
                <w:rFonts w:cs="Arial"/>
              </w:rPr>
            </w:pPr>
            <w:r w:rsidRPr="00CC29D1">
              <w:rPr>
                <w:rFonts w:cs="Arial"/>
              </w:rPr>
              <w:t>Tommy’s National Centre for Improving Maternity Care</w:t>
            </w:r>
          </w:p>
          <w:p w14:paraId="0B132A90" w14:textId="77777777" w:rsidR="00CC29D1" w:rsidRPr="00CC29D1" w:rsidRDefault="00CC29D1" w:rsidP="00CC29D1">
            <w:pPr>
              <w:rPr>
                <w:rFonts w:cs="Arial"/>
              </w:rPr>
            </w:pPr>
            <w:r w:rsidRPr="00CC29D1">
              <w:rPr>
                <w:rFonts w:cs="Arial"/>
              </w:rPr>
              <w:t>Lead for Implementation research theme</w:t>
            </w:r>
          </w:p>
          <w:p w14:paraId="4F45F2F2" w14:textId="77777777" w:rsidR="00AF185E" w:rsidRDefault="00AF185E" w:rsidP="00CC29D1">
            <w:pPr>
              <w:rPr>
                <w:rFonts w:cs="Arial"/>
              </w:rPr>
            </w:pPr>
          </w:p>
          <w:p w14:paraId="79548A16" w14:textId="153C8EFB" w:rsidR="00CC29D1" w:rsidRPr="00CC29D1" w:rsidRDefault="00CC29D1" w:rsidP="00CC29D1">
            <w:pPr>
              <w:rPr>
                <w:rFonts w:cs="Arial"/>
              </w:rPr>
            </w:pPr>
            <w:r w:rsidRPr="00CC29D1">
              <w:rPr>
                <w:rFonts w:cs="Arial"/>
              </w:rPr>
              <w:t>Adjunct Professor University Technology, Sydney</w:t>
            </w:r>
          </w:p>
          <w:p w14:paraId="24ED2628" w14:textId="77777777" w:rsidR="00AF185E" w:rsidRDefault="00AF185E" w:rsidP="00CC29D1">
            <w:pPr>
              <w:rPr>
                <w:rFonts w:cs="Arial"/>
              </w:rPr>
            </w:pPr>
          </w:p>
          <w:p w14:paraId="3B425B8A" w14:textId="393442A2" w:rsidR="00CC29D1" w:rsidRPr="00CC29D1" w:rsidRDefault="00CC29D1" w:rsidP="00CC29D1">
            <w:pPr>
              <w:rPr>
                <w:rFonts w:cs="Arial"/>
              </w:rPr>
            </w:pPr>
            <w:r w:rsidRPr="00CC29D1">
              <w:rPr>
                <w:rFonts w:cs="Arial"/>
              </w:rPr>
              <w:t>Member NHSE Continuity of Carer Expert Group</w:t>
            </w:r>
          </w:p>
          <w:p w14:paraId="686507A8" w14:textId="77777777" w:rsidR="00AF185E" w:rsidRDefault="00AF185E" w:rsidP="00CC29D1">
            <w:pPr>
              <w:rPr>
                <w:rFonts w:cs="Arial"/>
              </w:rPr>
            </w:pPr>
          </w:p>
          <w:p w14:paraId="7A28A9A4" w14:textId="1027F815" w:rsidR="00A43D9B" w:rsidRPr="00676AB3" w:rsidRDefault="00CC29D1" w:rsidP="00CC29D1">
            <w:pPr>
              <w:rPr>
                <w:rFonts w:cs="Arial"/>
              </w:rPr>
            </w:pPr>
            <w:r w:rsidRPr="00CC29D1">
              <w:rPr>
                <w:rFonts w:cs="Arial"/>
              </w:rPr>
              <w:t xml:space="preserve">Member WHO Strategic and Technical Advisory Group of Experts (STAGE) for maternal, </w:t>
            </w:r>
            <w:proofErr w:type="spellStart"/>
            <w:r w:rsidRPr="00CC29D1">
              <w:rPr>
                <w:rFonts w:cs="Arial"/>
              </w:rPr>
              <w:t>newborn</w:t>
            </w:r>
            <w:proofErr w:type="spellEnd"/>
            <w:r w:rsidRPr="00CC29D1">
              <w:rPr>
                <w:rFonts w:cs="Arial"/>
              </w:rPr>
              <w:t>, child, adolescent health and nutrition – implementation sub-group</w:t>
            </w:r>
          </w:p>
        </w:tc>
        <w:tc>
          <w:tcPr>
            <w:tcW w:w="5813" w:type="dxa"/>
          </w:tcPr>
          <w:p w14:paraId="4D3F1657" w14:textId="2335DB6B" w:rsidR="00CC29D1" w:rsidRDefault="00CC29D1" w:rsidP="00CC29D1">
            <w:pPr>
              <w:pStyle w:val="ListParagraph"/>
              <w:numPr>
                <w:ilvl w:val="0"/>
                <w:numId w:val="30"/>
              </w:numPr>
              <w:rPr>
                <w:rFonts w:cs="Arial"/>
              </w:rPr>
            </w:pPr>
            <w:r w:rsidRPr="00CC29D1">
              <w:rPr>
                <w:rFonts w:cs="Arial"/>
              </w:rPr>
              <w:t xml:space="preserve">Implementation of maternal health policy and effective solutions at a health system and service delivery level, and the impact on health outcomes and women's experiences, to improve quality and safety of care. </w:t>
            </w:r>
          </w:p>
          <w:p w14:paraId="642F7022" w14:textId="77777777" w:rsidR="00CC29D1" w:rsidRPr="00CC29D1" w:rsidRDefault="00CC29D1" w:rsidP="00CC29D1">
            <w:pPr>
              <w:pStyle w:val="ListParagraph"/>
              <w:rPr>
                <w:rFonts w:cs="Arial"/>
              </w:rPr>
            </w:pPr>
          </w:p>
          <w:p w14:paraId="0500F0FE" w14:textId="2B1A18CB" w:rsidR="00A43D9B" w:rsidRPr="00676AB3" w:rsidRDefault="00CC29D1" w:rsidP="00CC29D1">
            <w:pPr>
              <w:pStyle w:val="ListParagraph"/>
              <w:numPr>
                <w:ilvl w:val="0"/>
                <w:numId w:val="30"/>
              </w:numPr>
              <w:rPr>
                <w:rFonts w:cs="Arial"/>
              </w:rPr>
            </w:pPr>
            <w:r w:rsidRPr="00CC29D1">
              <w:rPr>
                <w:rFonts w:cs="Arial"/>
              </w:rPr>
              <w:t>Social and organisational implications of the translation of novel safety technologies into health care, engagement by patients and families in their own safety.</w:t>
            </w:r>
          </w:p>
        </w:tc>
      </w:tr>
      <w:tr w:rsidR="00A43D9B" w:rsidRPr="00676AB3" w14:paraId="5AEE069E" w14:textId="77777777" w:rsidTr="0047185F">
        <w:trPr>
          <w:cantSplit/>
          <w:trHeight w:val="440"/>
        </w:trPr>
        <w:tc>
          <w:tcPr>
            <w:tcW w:w="2127" w:type="dxa"/>
          </w:tcPr>
          <w:p w14:paraId="33E36526" w14:textId="6E932BB4" w:rsidR="00A43D9B" w:rsidRPr="00676AB3" w:rsidRDefault="00A43D9B" w:rsidP="00A43D9B">
            <w:pPr>
              <w:rPr>
                <w:rFonts w:cs="Arial"/>
              </w:rPr>
            </w:pPr>
            <w:r w:rsidRPr="00676AB3">
              <w:rPr>
                <w:rFonts w:cs="Arial"/>
              </w:rPr>
              <w:lastRenderedPageBreak/>
              <w:t>Ruth Boaden</w:t>
            </w:r>
          </w:p>
        </w:tc>
        <w:tc>
          <w:tcPr>
            <w:tcW w:w="3543" w:type="dxa"/>
          </w:tcPr>
          <w:p w14:paraId="51BADFD3" w14:textId="77777777" w:rsidR="00A43D9B" w:rsidRDefault="00BC4028" w:rsidP="00A43D9B">
            <w:pPr>
              <w:rPr>
                <w:rFonts w:cs="Arial"/>
              </w:rPr>
            </w:pPr>
            <w:r>
              <w:rPr>
                <w:rFonts w:cs="Arial"/>
              </w:rPr>
              <w:t xml:space="preserve">Honorary </w:t>
            </w:r>
            <w:r w:rsidR="00592D84" w:rsidRPr="00592D84">
              <w:rPr>
                <w:rFonts w:cs="Arial"/>
              </w:rPr>
              <w:t>Professor, Alliance Manchester Business School, University of Manchester</w:t>
            </w:r>
          </w:p>
          <w:p w14:paraId="17E09D89" w14:textId="77777777" w:rsidR="008F528A" w:rsidRDefault="008F528A" w:rsidP="00A43D9B">
            <w:pPr>
              <w:rPr>
                <w:rFonts w:cs="Arial"/>
              </w:rPr>
            </w:pPr>
          </w:p>
          <w:p w14:paraId="35AC2C4F" w14:textId="712C4136" w:rsidR="008F528A" w:rsidRPr="00676AB3" w:rsidRDefault="008F528A" w:rsidP="00A43D9B">
            <w:pPr>
              <w:rPr>
                <w:rFonts w:cs="Arial"/>
              </w:rPr>
            </w:pPr>
            <w:r w:rsidRPr="008F528A">
              <w:rPr>
                <w:rFonts w:cs="Arial"/>
              </w:rPr>
              <w:t>External Advisor on Evaluation, Greater Manchester Health and Social Care Partnership</w:t>
            </w:r>
          </w:p>
        </w:tc>
        <w:tc>
          <w:tcPr>
            <w:tcW w:w="3544" w:type="dxa"/>
          </w:tcPr>
          <w:p w14:paraId="38D596A7" w14:textId="570D8B42" w:rsidR="00592D84" w:rsidRDefault="00592D84" w:rsidP="00592D84">
            <w:pPr>
              <w:rPr>
                <w:rFonts w:cs="Arial"/>
              </w:rPr>
            </w:pPr>
            <w:r w:rsidRPr="00592D84">
              <w:rPr>
                <w:rFonts w:cs="Arial"/>
              </w:rPr>
              <w:t>Chair, Care, Implementation and Public Health Funding Board, Alzheimer’s Society</w:t>
            </w:r>
          </w:p>
          <w:p w14:paraId="3DA44A4E" w14:textId="77777777" w:rsidR="00AC5836" w:rsidRPr="00592D84" w:rsidRDefault="00AC5836" w:rsidP="00592D84">
            <w:pPr>
              <w:rPr>
                <w:rFonts w:cs="Arial"/>
              </w:rPr>
            </w:pPr>
          </w:p>
          <w:p w14:paraId="75015C8E" w14:textId="5EA9E5CA" w:rsidR="00592D84" w:rsidRDefault="00592D84" w:rsidP="00592D84">
            <w:pPr>
              <w:rPr>
                <w:rFonts w:cs="Arial"/>
              </w:rPr>
            </w:pPr>
            <w:r w:rsidRPr="00592D84">
              <w:rPr>
                <w:rFonts w:cs="Arial"/>
              </w:rPr>
              <w:t>Member of the Research Strategy Council, Alzheimer’s Society</w:t>
            </w:r>
          </w:p>
          <w:p w14:paraId="36E169FF" w14:textId="77777777" w:rsidR="00592D84" w:rsidRPr="00592D84" w:rsidRDefault="00592D84" w:rsidP="00592D84">
            <w:pPr>
              <w:rPr>
                <w:rFonts w:cs="Arial"/>
              </w:rPr>
            </w:pPr>
          </w:p>
          <w:p w14:paraId="5048B643" w14:textId="1679C21F" w:rsidR="00592D84" w:rsidRDefault="00592D84" w:rsidP="00592D84">
            <w:pPr>
              <w:rPr>
                <w:rFonts w:cs="Arial"/>
              </w:rPr>
            </w:pPr>
            <w:r w:rsidRPr="00592D84">
              <w:rPr>
                <w:rFonts w:cs="Arial"/>
              </w:rPr>
              <w:t>Member NIHR Academy Advanced Fellowships Panel</w:t>
            </w:r>
          </w:p>
          <w:p w14:paraId="292CB3CF" w14:textId="49CEAA1B" w:rsidR="00A43D9B" w:rsidRPr="00676AB3" w:rsidRDefault="00A43D9B" w:rsidP="00592D84">
            <w:pPr>
              <w:rPr>
                <w:rFonts w:cs="Arial"/>
              </w:rPr>
            </w:pPr>
          </w:p>
        </w:tc>
        <w:tc>
          <w:tcPr>
            <w:tcW w:w="5813" w:type="dxa"/>
          </w:tcPr>
          <w:p w14:paraId="08695A9C" w14:textId="77777777" w:rsidR="00A43D9B" w:rsidRPr="00676AB3" w:rsidRDefault="00A43D9B" w:rsidP="00A43D9B">
            <w:pPr>
              <w:numPr>
                <w:ilvl w:val="0"/>
                <w:numId w:val="32"/>
              </w:numPr>
              <w:spacing w:before="100" w:beforeAutospacing="1" w:after="100" w:afterAutospacing="1"/>
              <w:rPr>
                <w:rFonts w:cs="Arial"/>
                <w:color w:val="000000"/>
              </w:rPr>
            </w:pPr>
            <w:r w:rsidRPr="00676AB3">
              <w:rPr>
                <w:rFonts w:cs="Arial"/>
                <w:color w:val="000000"/>
              </w:rPr>
              <w:t>Improvement and improvement science</w:t>
            </w:r>
          </w:p>
          <w:p w14:paraId="4CC5B956" w14:textId="77777777" w:rsidR="00A43D9B" w:rsidRPr="00676AB3" w:rsidRDefault="00A43D9B" w:rsidP="00A43D9B">
            <w:pPr>
              <w:numPr>
                <w:ilvl w:val="0"/>
                <w:numId w:val="32"/>
              </w:numPr>
              <w:spacing w:before="100" w:beforeAutospacing="1" w:after="100" w:afterAutospacing="1"/>
              <w:rPr>
                <w:rFonts w:cs="Arial"/>
                <w:color w:val="000000"/>
              </w:rPr>
            </w:pPr>
            <w:r w:rsidRPr="00676AB3">
              <w:rPr>
                <w:rFonts w:cs="Arial"/>
                <w:color w:val="000000"/>
              </w:rPr>
              <w:t>Implementation science/knowledge mobilisation</w:t>
            </w:r>
          </w:p>
          <w:p w14:paraId="5863E797" w14:textId="77777777" w:rsidR="00A43D9B" w:rsidRPr="00676AB3" w:rsidRDefault="00A43D9B" w:rsidP="00A43D9B">
            <w:pPr>
              <w:numPr>
                <w:ilvl w:val="0"/>
                <w:numId w:val="32"/>
              </w:numPr>
              <w:spacing w:before="100" w:beforeAutospacing="1" w:after="100" w:afterAutospacing="1"/>
              <w:rPr>
                <w:rFonts w:cs="Arial"/>
                <w:color w:val="000000"/>
              </w:rPr>
            </w:pPr>
            <w:r w:rsidRPr="00676AB3">
              <w:rPr>
                <w:rFonts w:cs="Arial"/>
                <w:color w:val="000000"/>
              </w:rPr>
              <w:t>Knowledge brokering</w:t>
            </w:r>
          </w:p>
          <w:p w14:paraId="32FACF43" w14:textId="0BB87369" w:rsidR="00A43D9B" w:rsidRPr="00676AB3" w:rsidRDefault="00A43D9B" w:rsidP="00A43D9B">
            <w:pPr>
              <w:pStyle w:val="ListParagraph"/>
              <w:numPr>
                <w:ilvl w:val="0"/>
                <w:numId w:val="32"/>
              </w:numPr>
              <w:rPr>
                <w:rFonts w:cs="Arial"/>
              </w:rPr>
            </w:pPr>
            <w:r w:rsidRPr="00676AB3">
              <w:rPr>
                <w:rFonts w:cs="Arial"/>
                <w:color w:val="000000"/>
              </w:rPr>
              <w:t>Evaluation of service changes including mixed method approaches</w:t>
            </w:r>
          </w:p>
        </w:tc>
      </w:tr>
      <w:tr w:rsidR="00A43D9B" w:rsidRPr="00676AB3" w14:paraId="2D899E73" w14:textId="77777777" w:rsidTr="0047185F">
        <w:trPr>
          <w:cantSplit/>
          <w:trHeight w:val="440"/>
        </w:trPr>
        <w:tc>
          <w:tcPr>
            <w:tcW w:w="2127" w:type="dxa"/>
          </w:tcPr>
          <w:p w14:paraId="1AA5E295" w14:textId="79E84E92" w:rsidR="00A43D9B" w:rsidRPr="00676AB3" w:rsidRDefault="00A43D9B" w:rsidP="00A43D9B">
            <w:pPr>
              <w:rPr>
                <w:rFonts w:cs="Arial"/>
              </w:rPr>
            </w:pPr>
            <w:r w:rsidRPr="00676AB3">
              <w:rPr>
                <w:rFonts w:cs="Arial"/>
              </w:rPr>
              <w:t>Sue Dopson</w:t>
            </w:r>
          </w:p>
        </w:tc>
        <w:tc>
          <w:tcPr>
            <w:tcW w:w="3543" w:type="dxa"/>
          </w:tcPr>
          <w:p w14:paraId="68F21CBB" w14:textId="472626F6" w:rsidR="00A43D9B" w:rsidRPr="00676AB3" w:rsidRDefault="00A2637F" w:rsidP="00A43D9B">
            <w:pPr>
              <w:rPr>
                <w:rFonts w:cs="Arial"/>
              </w:rPr>
            </w:pPr>
            <w:r w:rsidRPr="00A2637F">
              <w:rPr>
                <w:rFonts w:cs="Arial"/>
              </w:rPr>
              <w:t>Professor of Organisational Behaviour, Saïd Business School, University of Oxford</w:t>
            </w:r>
          </w:p>
        </w:tc>
        <w:tc>
          <w:tcPr>
            <w:tcW w:w="3544" w:type="dxa"/>
          </w:tcPr>
          <w:p w14:paraId="797426B3" w14:textId="5F5FC1B0" w:rsidR="00A2637F" w:rsidRPr="00A2637F" w:rsidRDefault="00A2637F" w:rsidP="00A2637F">
            <w:pPr>
              <w:rPr>
                <w:rFonts w:cs="Arial"/>
              </w:rPr>
            </w:pPr>
            <w:r w:rsidRPr="00A2637F">
              <w:rPr>
                <w:rFonts w:cs="Arial"/>
              </w:rPr>
              <w:t>Deputy Dean of Saïd Business School &amp; a Fellow of Green Templeton College, Oxford</w:t>
            </w:r>
            <w:r>
              <w:rPr>
                <w:rFonts w:cs="Arial"/>
              </w:rPr>
              <w:t>.</w:t>
            </w:r>
          </w:p>
          <w:p w14:paraId="77FD9E3B" w14:textId="77777777" w:rsidR="00A2637F" w:rsidRPr="00A2637F" w:rsidRDefault="00A2637F" w:rsidP="00A2637F">
            <w:pPr>
              <w:rPr>
                <w:rFonts w:cs="Arial"/>
              </w:rPr>
            </w:pPr>
          </w:p>
          <w:p w14:paraId="2B453163" w14:textId="57AC2B5A" w:rsidR="00A43D9B" w:rsidRPr="00676AB3" w:rsidRDefault="00A2637F" w:rsidP="00A2637F">
            <w:pPr>
              <w:rPr>
                <w:rFonts w:cs="Arial"/>
              </w:rPr>
            </w:pPr>
            <w:r w:rsidRPr="00A2637F">
              <w:rPr>
                <w:rFonts w:cs="Arial"/>
              </w:rPr>
              <w:t>Currently represents the University of Oxford as Non-Executive Director of the Oxford Health NHS Foundation Trust.</w:t>
            </w:r>
          </w:p>
        </w:tc>
        <w:tc>
          <w:tcPr>
            <w:tcW w:w="5813" w:type="dxa"/>
          </w:tcPr>
          <w:p w14:paraId="6F90B064" w14:textId="178A1736" w:rsidR="00A2637F" w:rsidRPr="00A2637F" w:rsidRDefault="00A2637F" w:rsidP="00A2637F">
            <w:pPr>
              <w:pStyle w:val="ListParagraph"/>
              <w:numPr>
                <w:ilvl w:val="0"/>
                <w:numId w:val="33"/>
              </w:numPr>
              <w:rPr>
                <w:rFonts w:cs="Arial"/>
              </w:rPr>
            </w:pPr>
            <w:r w:rsidRPr="00A2637F">
              <w:rPr>
                <w:rFonts w:cs="Arial"/>
              </w:rPr>
              <w:t>Transformational change and knowledge exchange in the public and healthcare sectors</w:t>
            </w:r>
          </w:p>
          <w:p w14:paraId="18847BAF" w14:textId="1E300384" w:rsidR="00A43D9B" w:rsidRPr="00676AB3" w:rsidRDefault="00A2637F" w:rsidP="00A2637F">
            <w:pPr>
              <w:pStyle w:val="ListParagraph"/>
              <w:numPr>
                <w:ilvl w:val="0"/>
                <w:numId w:val="33"/>
              </w:numPr>
              <w:rPr>
                <w:rFonts w:cs="Arial"/>
              </w:rPr>
            </w:pPr>
            <w:r w:rsidRPr="00A2637F">
              <w:rPr>
                <w:rFonts w:cs="Arial"/>
              </w:rPr>
              <w:t>Written and edited many major works on this topic; research has informed and influenced government bodies such as the Department of Health and the National Institute for Health and Care Excellence (NICE) in their thinking on areas such as the dissemination of clinical evidence into practice, medical leadership and the role of the support worker in the NHS.</w:t>
            </w:r>
          </w:p>
        </w:tc>
      </w:tr>
      <w:tr w:rsidR="00A43D9B" w:rsidRPr="00676AB3" w14:paraId="2C063821" w14:textId="77777777" w:rsidTr="0047185F">
        <w:trPr>
          <w:cantSplit/>
          <w:trHeight w:val="440"/>
        </w:trPr>
        <w:tc>
          <w:tcPr>
            <w:tcW w:w="2127" w:type="dxa"/>
          </w:tcPr>
          <w:p w14:paraId="7EF9560B" w14:textId="5B646EF0" w:rsidR="00A43D9B" w:rsidRPr="00676AB3" w:rsidRDefault="00A43D9B" w:rsidP="00A43D9B">
            <w:pPr>
              <w:rPr>
                <w:rFonts w:cs="Arial"/>
              </w:rPr>
            </w:pPr>
            <w:r w:rsidRPr="00676AB3">
              <w:rPr>
                <w:rFonts w:cs="Arial"/>
              </w:rPr>
              <w:lastRenderedPageBreak/>
              <w:t>Sophie Staniszewska</w:t>
            </w:r>
          </w:p>
        </w:tc>
        <w:tc>
          <w:tcPr>
            <w:tcW w:w="3543" w:type="dxa"/>
          </w:tcPr>
          <w:p w14:paraId="3E66DA75" w14:textId="1EE3C18D" w:rsidR="00A43D9B" w:rsidRPr="00676AB3" w:rsidRDefault="00A43D9B" w:rsidP="00A43D9B">
            <w:pPr>
              <w:rPr>
                <w:rFonts w:cs="Arial"/>
              </w:rPr>
            </w:pPr>
            <w:r w:rsidRPr="00676AB3">
              <w:rPr>
                <w:rFonts w:cs="Arial"/>
              </w:rPr>
              <w:t>Professor of Patient and Public Involvement and Experiences of Care at Warwick Medical School</w:t>
            </w:r>
          </w:p>
        </w:tc>
        <w:tc>
          <w:tcPr>
            <w:tcW w:w="3544" w:type="dxa"/>
          </w:tcPr>
          <w:p w14:paraId="570B17EE" w14:textId="77777777" w:rsidR="00A43D9B" w:rsidRPr="00676AB3" w:rsidRDefault="00A43D9B" w:rsidP="00A43D9B">
            <w:pPr>
              <w:rPr>
                <w:rFonts w:cs="Arial"/>
              </w:rPr>
            </w:pPr>
            <w:r w:rsidRPr="00676AB3">
              <w:rPr>
                <w:rFonts w:cs="Arial"/>
              </w:rPr>
              <w:t>Member of the NIHR PPI Impact Strategy Group</w:t>
            </w:r>
          </w:p>
          <w:p w14:paraId="1F2134E3" w14:textId="77777777" w:rsidR="00A43D9B" w:rsidRPr="00676AB3" w:rsidRDefault="00A43D9B" w:rsidP="00A43D9B">
            <w:pPr>
              <w:spacing w:before="240"/>
              <w:rPr>
                <w:rFonts w:cs="Arial"/>
              </w:rPr>
            </w:pPr>
            <w:r w:rsidRPr="00676AB3">
              <w:rPr>
                <w:rFonts w:cs="Arial"/>
              </w:rPr>
              <w:t xml:space="preserve">Member of the NIHR PPI in Global Health Virtual Advisory Group </w:t>
            </w:r>
          </w:p>
          <w:p w14:paraId="73625163" w14:textId="77777777" w:rsidR="00A43D9B" w:rsidRPr="00676AB3" w:rsidRDefault="00A43D9B" w:rsidP="00A43D9B">
            <w:pPr>
              <w:spacing w:before="240"/>
              <w:rPr>
                <w:rFonts w:cs="Arial"/>
              </w:rPr>
            </w:pPr>
            <w:r w:rsidRPr="00676AB3">
              <w:rPr>
                <w:rFonts w:cs="Arial"/>
              </w:rPr>
              <w:t>Founding member of the International PPI Network</w:t>
            </w:r>
          </w:p>
          <w:p w14:paraId="510EDD70" w14:textId="4251F7E4" w:rsidR="00A43D9B" w:rsidRPr="00676AB3" w:rsidRDefault="00A43D9B" w:rsidP="00A43D9B">
            <w:pPr>
              <w:spacing w:before="240"/>
              <w:rPr>
                <w:rFonts w:cs="Arial"/>
              </w:rPr>
            </w:pPr>
            <w:r w:rsidRPr="00676AB3">
              <w:rPr>
                <w:rFonts w:cs="Arial"/>
              </w:rPr>
              <w:t xml:space="preserve">Member of </w:t>
            </w:r>
            <w:proofErr w:type="spellStart"/>
            <w:r w:rsidRPr="00676AB3">
              <w:rPr>
                <w:rFonts w:cs="Arial"/>
              </w:rPr>
              <w:t>PiViN</w:t>
            </w:r>
            <w:proofErr w:type="spellEnd"/>
            <w:r w:rsidRPr="00676AB3">
              <w:rPr>
                <w:rFonts w:cs="Arial"/>
              </w:rPr>
              <w:t>, NIHR NETSCC Public Panel</w:t>
            </w:r>
          </w:p>
          <w:p w14:paraId="0AD79B17" w14:textId="0E70B67A" w:rsidR="00A43D9B" w:rsidRPr="00676AB3" w:rsidRDefault="00A43D9B" w:rsidP="00A43D9B">
            <w:pPr>
              <w:spacing w:before="240"/>
              <w:rPr>
                <w:rFonts w:cs="Arial"/>
              </w:rPr>
            </w:pPr>
            <w:r w:rsidRPr="00676AB3">
              <w:rPr>
                <w:rFonts w:cs="Arial"/>
              </w:rPr>
              <w:t>Founding Editor and Co-Editor in Chief: Research Involvement and Engagement (Springer Nature, BioMed Central)</w:t>
            </w:r>
          </w:p>
        </w:tc>
        <w:tc>
          <w:tcPr>
            <w:tcW w:w="5813" w:type="dxa"/>
          </w:tcPr>
          <w:p w14:paraId="55F19CF1" w14:textId="77777777" w:rsidR="00A43D9B" w:rsidRPr="00676AB3" w:rsidRDefault="00A43D9B" w:rsidP="00A43D9B">
            <w:pPr>
              <w:numPr>
                <w:ilvl w:val="0"/>
                <w:numId w:val="34"/>
              </w:numPr>
              <w:rPr>
                <w:rFonts w:cs="Arial"/>
              </w:rPr>
            </w:pPr>
            <w:r w:rsidRPr="00676AB3">
              <w:rPr>
                <w:rFonts w:cs="Arial"/>
              </w:rPr>
              <w:t xml:space="preserve">Patient and public involvement in research </w:t>
            </w:r>
          </w:p>
          <w:p w14:paraId="311EA8C9" w14:textId="77777777" w:rsidR="00A43D9B" w:rsidRPr="00676AB3" w:rsidRDefault="00A43D9B" w:rsidP="00A43D9B">
            <w:pPr>
              <w:numPr>
                <w:ilvl w:val="0"/>
                <w:numId w:val="34"/>
              </w:numPr>
              <w:rPr>
                <w:rFonts w:cs="Arial"/>
              </w:rPr>
            </w:pPr>
            <w:r w:rsidRPr="00676AB3">
              <w:rPr>
                <w:rFonts w:cs="Arial"/>
              </w:rPr>
              <w:t xml:space="preserve">Measuring impact of public involvement in research </w:t>
            </w:r>
          </w:p>
          <w:p w14:paraId="003DFBB1" w14:textId="77777777" w:rsidR="00A43D9B" w:rsidRPr="00676AB3" w:rsidRDefault="00A43D9B" w:rsidP="00A43D9B">
            <w:pPr>
              <w:numPr>
                <w:ilvl w:val="0"/>
                <w:numId w:val="34"/>
              </w:numPr>
              <w:rPr>
                <w:rFonts w:cs="Arial"/>
              </w:rPr>
            </w:pPr>
            <w:r w:rsidRPr="00676AB3">
              <w:rPr>
                <w:rFonts w:cs="Arial"/>
              </w:rPr>
              <w:t>PPI in complex areas</w:t>
            </w:r>
          </w:p>
          <w:p w14:paraId="64ED7284" w14:textId="77777777" w:rsidR="00A43D9B" w:rsidRPr="00676AB3" w:rsidRDefault="00A43D9B" w:rsidP="00A43D9B">
            <w:pPr>
              <w:numPr>
                <w:ilvl w:val="0"/>
                <w:numId w:val="34"/>
              </w:numPr>
              <w:rPr>
                <w:rFonts w:cs="Arial"/>
              </w:rPr>
            </w:pPr>
            <w:r w:rsidRPr="00676AB3">
              <w:rPr>
                <w:rFonts w:cs="Arial"/>
              </w:rPr>
              <w:t xml:space="preserve">PPI in implementation </w:t>
            </w:r>
          </w:p>
          <w:p w14:paraId="044F1B28" w14:textId="77777777" w:rsidR="00A43D9B" w:rsidRPr="00676AB3" w:rsidRDefault="00A43D9B" w:rsidP="00A43D9B">
            <w:pPr>
              <w:numPr>
                <w:ilvl w:val="0"/>
                <w:numId w:val="34"/>
              </w:numPr>
              <w:rPr>
                <w:rFonts w:cs="Arial"/>
              </w:rPr>
            </w:pPr>
            <w:r w:rsidRPr="00676AB3">
              <w:rPr>
                <w:rFonts w:cs="Arial"/>
              </w:rPr>
              <w:t xml:space="preserve">Experiences of care </w:t>
            </w:r>
          </w:p>
          <w:p w14:paraId="0C657A01" w14:textId="77777777" w:rsidR="00A43D9B" w:rsidRPr="00676AB3" w:rsidRDefault="00A43D9B" w:rsidP="00A43D9B">
            <w:pPr>
              <w:rPr>
                <w:rFonts w:cs="Arial"/>
              </w:rPr>
            </w:pPr>
          </w:p>
        </w:tc>
      </w:tr>
      <w:tr w:rsidR="00A43D9B" w:rsidRPr="00676AB3" w14:paraId="655A88C6" w14:textId="77777777" w:rsidTr="0047185F">
        <w:trPr>
          <w:cantSplit/>
          <w:trHeight w:val="440"/>
        </w:trPr>
        <w:tc>
          <w:tcPr>
            <w:tcW w:w="2127" w:type="dxa"/>
          </w:tcPr>
          <w:p w14:paraId="6BE962B4" w14:textId="51E5C13F" w:rsidR="00A43D9B" w:rsidRPr="00676AB3" w:rsidRDefault="00A43D9B" w:rsidP="00A43D9B">
            <w:pPr>
              <w:rPr>
                <w:rFonts w:cs="Arial"/>
              </w:rPr>
            </w:pPr>
            <w:r w:rsidRPr="00676AB3">
              <w:rPr>
                <w:rFonts w:cs="Arial"/>
              </w:rPr>
              <w:lastRenderedPageBreak/>
              <w:t>Dez Holmes</w:t>
            </w:r>
          </w:p>
        </w:tc>
        <w:tc>
          <w:tcPr>
            <w:tcW w:w="3543" w:type="dxa"/>
          </w:tcPr>
          <w:p w14:paraId="737C91DE" w14:textId="1274C4A6" w:rsidR="00A43D9B" w:rsidRPr="00676AB3" w:rsidRDefault="00A43D9B" w:rsidP="00A43D9B">
            <w:pPr>
              <w:rPr>
                <w:rFonts w:cs="Arial"/>
              </w:rPr>
            </w:pPr>
            <w:r w:rsidRPr="00676AB3">
              <w:rPr>
                <w:rFonts w:cs="Arial"/>
              </w:rPr>
              <w:t xml:space="preserve">Director, Research in Practice </w:t>
            </w:r>
          </w:p>
        </w:tc>
        <w:tc>
          <w:tcPr>
            <w:tcW w:w="3544" w:type="dxa"/>
          </w:tcPr>
          <w:p w14:paraId="0C33318F" w14:textId="77777777" w:rsidR="000E3719" w:rsidRPr="000E3719" w:rsidRDefault="000E3719" w:rsidP="000E3719">
            <w:pPr>
              <w:rPr>
                <w:rFonts w:cs="Arial"/>
              </w:rPr>
            </w:pPr>
            <w:r w:rsidRPr="000E3719">
              <w:rPr>
                <w:rFonts w:cs="Arial"/>
              </w:rPr>
              <w:t>Chair of National Contextual Safeguarding Advisory Board</w:t>
            </w:r>
          </w:p>
          <w:p w14:paraId="5224B339" w14:textId="77777777" w:rsidR="000E3719" w:rsidRDefault="000E3719" w:rsidP="000E3719">
            <w:pPr>
              <w:rPr>
                <w:rFonts w:cs="Arial"/>
              </w:rPr>
            </w:pPr>
          </w:p>
          <w:p w14:paraId="2300E97B" w14:textId="5AADA1CA" w:rsidR="000E3719" w:rsidRPr="000E3719" w:rsidRDefault="000E3719" w:rsidP="000E3719">
            <w:pPr>
              <w:rPr>
                <w:rFonts w:cs="Arial"/>
              </w:rPr>
            </w:pPr>
            <w:r w:rsidRPr="000E3719">
              <w:rPr>
                <w:rFonts w:cs="Arial"/>
              </w:rPr>
              <w:t>Trustee of Family Action</w:t>
            </w:r>
          </w:p>
          <w:p w14:paraId="59950E83" w14:textId="77777777" w:rsidR="000E3719" w:rsidRDefault="000E3719" w:rsidP="000E3719">
            <w:pPr>
              <w:rPr>
                <w:rFonts w:cs="Arial"/>
              </w:rPr>
            </w:pPr>
          </w:p>
          <w:p w14:paraId="7509E5CD" w14:textId="6E6FFEF6" w:rsidR="000E3719" w:rsidRPr="000E3719" w:rsidRDefault="000E3719" w:rsidP="000E3719">
            <w:pPr>
              <w:rPr>
                <w:rFonts w:cs="Arial"/>
              </w:rPr>
            </w:pPr>
            <w:r w:rsidRPr="000E3719">
              <w:rPr>
                <w:rFonts w:cs="Arial"/>
              </w:rPr>
              <w:t>Board member of the Staff College</w:t>
            </w:r>
          </w:p>
          <w:p w14:paraId="03804C7A" w14:textId="77777777" w:rsidR="000E3719" w:rsidRDefault="000E3719" w:rsidP="000E3719">
            <w:pPr>
              <w:rPr>
                <w:rFonts w:cs="Arial"/>
              </w:rPr>
            </w:pPr>
          </w:p>
          <w:p w14:paraId="17C1ECAD" w14:textId="43648CF4" w:rsidR="000E3719" w:rsidRPr="000E3719" w:rsidRDefault="000E3719" w:rsidP="000E3719">
            <w:pPr>
              <w:rPr>
                <w:rFonts w:cs="Arial"/>
              </w:rPr>
            </w:pPr>
            <w:r w:rsidRPr="000E3719">
              <w:rPr>
                <w:rFonts w:cs="Arial"/>
              </w:rPr>
              <w:t>Committee member of ADCS policy groups</w:t>
            </w:r>
          </w:p>
          <w:p w14:paraId="3F8F8382" w14:textId="77777777" w:rsidR="000E3719" w:rsidRDefault="000E3719" w:rsidP="000E3719">
            <w:pPr>
              <w:rPr>
                <w:rFonts w:cs="Arial"/>
              </w:rPr>
            </w:pPr>
          </w:p>
          <w:p w14:paraId="05A15E6D" w14:textId="7FB4DB48" w:rsidR="000E3719" w:rsidRDefault="000E3719" w:rsidP="000E3719">
            <w:pPr>
              <w:rPr>
                <w:rFonts w:cs="Arial"/>
              </w:rPr>
            </w:pPr>
            <w:r w:rsidRPr="000E3719">
              <w:rPr>
                <w:rFonts w:cs="Arial"/>
              </w:rPr>
              <w:t>Director of the Tackling Child Exploitation Programme</w:t>
            </w:r>
          </w:p>
          <w:p w14:paraId="584D4DD2" w14:textId="77777777" w:rsidR="000E3719" w:rsidRPr="000E3719" w:rsidRDefault="000E3719" w:rsidP="000E3719">
            <w:pPr>
              <w:rPr>
                <w:rFonts w:cs="Arial"/>
              </w:rPr>
            </w:pPr>
          </w:p>
          <w:p w14:paraId="0CF4E2DE" w14:textId="66D3CED1" w:rsidR="00A43D9B" w:rsidRPr="00676AB3" w:rsidRDefault="000E3719" w:rsidP="000E3719">
            <w:pPr>
              <w:rPr>
                <w:rFonts w:cs="Arial"/>
              </w:rPr>
            </w:pPr>
            <w:r w:rsidRPr="000E3719">
              <w:rPr>
                <w:rFonts w:cs="Arial"/>
              </w:rPr>
              <w:t>Advisory Group member – LSE Innovations in ASC</w:t>
            </w:r>
          </w:p>
        </w:tc>
        <w:tc>
          <w:tcPr>
            <w:tcW w:w="5813" w:type="dxa"/>
          </w:tcPr>
          <w:p w14:paraId="0EF4FCFA" w14:textId="18628204" w:rsidR="00A43D9B" w:rsidRPr="00676AB3" w:rsidRDefault="00A43D9B" w:rsidP="00A43D9B">
            <w:pPr>
              <w:numPr>
                <w:ilvl w:val="0"/>
                <w:numId w:val="35"/>
              </w:numPr>
              <w:rPr>
                <w:rFonts w:cs="Arial"/>
              </w:rPr>
            </w:pPr>
            <w:r w:rsidRPr="00676AB3">
              <w:rPr>
                <w:rFonts w:cs="Arial"/>
              </w:rPr>
              <w:t>Adolescent risk and safeguarding, inc</w:t>
            </w:r>
            <w:r w:rsidR="009D183C">
              <w:rPr>
                <w:rFonts w:cs="Arial"/>
              </w:rPr>
              <w:t>luding</w:t>
            </w:r>
            <w:r w:rsidRPr="00676AB3">
              <w:rPr>
                <w:rFonts w:cs="Arial"/>
              </w:rPr>
              <w:t xml:space="preserve"> transitions</w:t>
            </w:r>
          </w:p>
          <w:p w14:paraId="6799BBB0" w14:textId="77777777" w:rsidR="00A43D9B" w:rsidRPr="00676AB3" w:rsidRDefault="00A43D9B" w:rsidP="00A43D9B">
            <w:pPr>
              <w:numPr>
                <w:ilvl w:val="0"/>
                <w:numId w:val="35"/>
              </w:numPr>
              <w:rPr>
                <w:rFonts w:cs="Arial"/>
              </w:rPr>
            </w:pPr>
            <w:r w:rsidRPr="00676AB3">
              <w:rPr>
                <w:rFonts w:cs="Arial"/>
              </w:rPr>
              <w:t>Child sexual exploitation and abuse; harmful sexual behaviour; child criminal exploitation</w:t>
            </w:r>
          </w:p>
          <w:p w14:paraId="29B023CF" w14:textId="0FC249F9" w:rsidR="00A43D9B" w:rsidRPr="00676AB3" w:rsidRDefault="00A43D9B" w:rsidP="00A43D9B">
            <w:pPr>
              <w:pStyle w:val="ListParagraph"/>
              <w:numPr>
                <w:ilvl w:val="0"/>
                <w:numId w:val="35"/>
              </w:numPr>
              <w:rPr>
                <w:rFonts w:cs="Arial"/>
              </w:rPr>
            </w:pPr>
            <w:r w:rsidRPr="00676AB3">
              <w:rPr>
                <w:rFonts w:cs="Arial"/>
              </w:rPr>
              <w:t>Professional resilience, reflective supervision</w:t>
            </w:r>
          </w:p>
        </w:tc>
      </w:tr>
      <w:tr w:rsidR="00A43D9B" w:rsidRPr="00676AB3" w14:paraId="6DF8E617" w14:textId="77777777" w:rsidTr="0047185F">
        <w:trPr>
          <w:cantSplit/>
          <w:trHeight w:val="440"/>
        </w:trPr>
        <w:tc>
          <w:tcPr>
            <w:tcW w:w="2127" w:type="dxa"/>
          </w:tcPr>
          <w:p w14:paraId="2E7FF1F9" w14:textId="79D65B51" w:rsidR="00A43D9B" w:rsidRPr="00676AB3" w:rsidRDefault="00A43D9B" w:rsidP="00A43D9B">
            <w:pPr>
              <w:rPr>
                <w:rFonts w:cs="Arial"/>
              </w:rPr>
            </w:pPr>
            <w:r w:rsidRPr="00676AB3">
              <w:rPr>
                <w:rFonts w:cs="Arial"/>
              </w:rPr>
              <w:t>Falko Sniehotta</w:t>
            </w:r>
          </w:p>
        </w:tc>
        <w:tc>
          <w:tcPr>
            <w:tcW w:w="3543" w:type="dxa"/>
          </w:tcPr>
          <w:p w14:paraId="7D72B3B2" w14:textId="7EEAD890" w:rsidR="00A43D9B" w:rsidRPr="00676AB3" w:rsidRDefault="00A43D9B" w:rsidP="00A43D9B">
            <w:pPr>
              <w:rPr>
                <w:rFonts w:cs="Arial"/>
              </w:rPr>
            </w:pPr>
            <w:r w:rsidRPr="00676AB3">
              <w:rPr>
                <w:rFonts w:cs="Arial"/>
              </w:rPr>
              <w:t>Professor of Behavioural Medicine and Health Psychology at Newcastle University</w:t>
            </w:r>
            <w:r w:rsidR="00446443">
              <w:rPr>
                <w:color w:val="FF0000"/>
              </w:rPr>
              <w:t xml:space="preserve"> </w:t>
            </w:r>
            <w:r w:rsidR="00446443" w:rsidRPr="004055CF">
              <w:t>and Twente University, Netherlands</w:t>
            </w:r>
          </w:p>
        </w:tc>
        <w:tc>
          <w:tcPr>
            <w:tcW w:w="3544" w:type="dxa"/>
          </w:tcPr>
          <w:p w14:paraId="455946A7" w14:textId="77777777" w:rsidR="00A43D9B" w:rsidRDefault="00A43D9B" w:rsidP="00A43D9B">
            <w:pPr>
              <w:rPr>
                <w:rFonts w:cs="Arial"/>
              </w:rPr>
            </w:pPr>
            <w:r w:rsidRPr="00676AB3">
              <w:rPr>
                <w:rFonts w:cs="Arial"/>
              </w:rPr>
              <w:t>Director NIHR Policy Research Unit Behavioural Science</w:t>
            </w:r>
          </w:p>
          <w:p w14:paraId="419D91B7" w14:textId="77777777" w:rsidR="00446443" w:rsidRDefault="00446443" w:rsidP="00A43D9B">
            <w:pPr>
              <w:rPr>
                <w:color w:val="FF0000"/>
              </w:rPr>
            </w:pPr>
          </w:p>
          <w:p w14:paraId="3464B67D" w14:textId="1A40C3A0" w:rsidR="00446443" w:rsidRPr="00676AB3" w:rsidRDefault="00446443" w:rsidP="00A43D9B">
            <w:pPr>
              <w:rPr>
                <w:rFonts w:cs="Arial"/>
              </w:rPr>
            </w:pPr>
            <w:r w:rsidRPr="004055CF">
              <w:t>Associate Editor of Health Psychology Review</w:t>
            </w:r>
          </w:p>
        </w:tc>
        <w:tc>
          <w:tcPr>
            <w:tcW w:w="5813" w:type="dxa"/>
          </w:tcPr>
          <w:p w14:paraId="54871DF3" w14:textId="77777777" w:rsidR="00A43D9B" w:rsidRPr="00676AB3" w:rsidRDefault="00A43D9B" w:rsidP="00A43D9B">
            <w:pPr>
              <w:numPr>
                <w:ilvl w:val="0"/>
                <w:numId w:val="36"/>
              </w:numPr>
              <w:rPr>
                <w:rFonts w:cs="Arial"/>
              </w:rPr>
            </w:pPr>
            <w:r w:rsidRPr="00676AB3">
              <w:rPr>
                <w:rFonts w:cs="Arial"/>
              </w:rPr>
              <w:t xml:space="preserve">Behavioural change </w:t>
            </w:r>
          </w:p>
          <w:p w14:paraId="5E94D7AE" w14:textId="77777777" w:rsidR="00A43D9B" w:rsidRPr="00676AB3" w:rsidRDefault="00A43D9B" w:rsidP="00A43D9B">
            <w:pPr>
              <w:numPr>
                <w:ilvl w:val="0"/>
                <w:numId w:val="36"/>
              </w:numPr>
              <w:rPr>
                <w:rFonts w:cs="Arial"/>
              </w:rPr>
            </w:pPr>
            <w:r w:rsidRPr="00676AB3">
              <w:rPr>
                <w:rFonts w:cs="Arial"/>
              </w:rPr>
              <w:t>Development and evaluation of intervention</w:t>
            </w:r>
          </w:p>
          <w:p w14:paraId="0F231757" w14:textId="77777777" w:rsidR="00A43D9B" w:rsidRPr="00676AB3" w:rsidRDefault="00A43D9B" w:rsidP="00A43D9B">
            <w:pPr>
              <w:numPr>
                <w:ilvl w:val="0"/>
                <w:numId w:val="36"/>
              </w:numPr>
              <w:rPr>
                <w:rFonts w:cs="Arial"/>
              </w:rPr>
            </w:pPr>
            <w:r w:rsidRPr="00676AB3">
              <w:rPr>
                <w:rFonts w:cs="Arial"/>
              </w:rPr>
              <w:t>Theory development and testing</w:t>
            </w:r>
          </w:p>
          <w:p w14:paraId="50431203" w14:textId="77777777" w:rsidR="00A43D9B" w:rsidRPr="00676AB3" w:rsidRDefault="00A43D9B" w:rsidP="00A43D9B">
            <w:pPr>
              <w:numPr>
                <w:ilvl w:val="0"/>
                <w:numId w:val="36"/>
              </w:numPr>
              <w:rPr>
                <w:rFonts w:cs="Arial"/>
              </w:rPr>
            </w:pPr>
            <w:r w:rsidRPr="00676AB3">
              <w:rPr>
                <w:rFonts w:cs="Arial"/>
              </w:rPr>
              <w:t>Process and outcome evaluation</w:t>
            </w:r>
          </w:p>
          <w:p w14:paraId="3816D9C7" w14:textId="77777777" w:rsidR="00A43D9B" w:rsidRPr="00676AB3" w:rsidRDefault="00A43D9B" w:rsidP="00A43D9B">
            <w:pPr>
              <w:numPr>
                <w:ilvl w:val="0"/>
                <w:numId w:val="36"/>
              </w:numPr>
              <w:rPr>
                <w:rFonts w:cs="Arial"/>
              </w:rPr>
            </w:pPr>
            <w:r w:rsidRPr="00676AB3">
              <w:rPr>
                <w:rFonts w:cs="Arial"/>
              </w:rPr>
              <w:t xml:space="preserve">Behavioural implementation science </w:t>
            </w:r>
          </w:p>
          <w:p w14:paraId="786FBEA7" w14:textId="77777777" w:rsidR="00A43D9B" w:rsidRDefault="00A43D9B" w:rsidP="00A43D9B">
            <w:pPr>
              <w:pStyle w:val="ListParagraph"/>
              <w:numPr>
                <w:ilvl w:val="0"/>
                <w:numId w:val="36"/>
              </w:numPr>
              <w:rPr>
                <w:rFonts w:cs="Arial"/>
              </w:rPr>
            </w:pPr>
            <w:r w:rsidRPr="00676AB3">
              <w:rPr>
                <w:rFonts w:cs="Arial"/>
              </w:rPr>
              <w:t>Public health</w:t>
            </w:r>
          </w:p>
          <w:p w14:paraId="16B9B8F2" w14:textId="12707E1C" w:rsidR="00446443" w:rsidRPr="00676AB3" w:rsidRDefault="00446443" w:rsidP="00A43D9B">
            <w:pPr>
              <w:pStyle w:val="ListParagraph"/>
              <w:numPr>
                <w:ilvl w:val="0"/>
                <w:numId w:val="36"/>
              </w:numPr>
              <w:rPr>
                <w:rFonts w:cs="Arial"/>
              </w:rPr>
            </w:pPr>
            <w:r w:rsidRPr="004055CF">
              <w:t>Policy research</w:t>
            </w:r>
          </w:p>
        </w:tc>
      </w:tr>
      <w:tr w:rsidR="000E3719" w:rsidRPr="00676AB3" w14:paraId="57B6D615" w14:textId="77777777" w:rsidTr="0047185F">
        <w:trPr>
          <w:cantSplit/>
          <w:trHeight w:val="440"/>
        </w:trPr>
        <w:tc>
          <w:tcPr>
            <w:tcW w:w="2127" w:type="dxa"/>
          </w:tcPr>
          <w:p w14:paraId="60E45ACD" w14:textId="31738C80" w:rsidR="000E3719" w:rsidRPr="000E3719" w:rsidRDefault="000E3719" w:rsidP="000E3719">
            <w:pPr>
              <w:rPr>
                <w:rFonts w:cs="Arial"/>
              </w:rPr>
            </w:pPr>
            <w:r w:rsidRPr="000E3719">
              <w:rPr>
                <w:rFonts w:cs="Arial"/>
              </w:rPr>
              <w:t>Graham Martin</w:t>
            </w:r>
          </w:p>
        </w:tc>
        <w:tc>
          <w:tcPr>
            <w:tcW w:w="3543" w:type="dxa"/>
          </w:tcPr>
          <w:p w14:paraId="337C57DE" w14:textId="359EBEE0" w:rsidR="000E3719" w:rsidRPr="000E3719" w:rsidRDefault="000E3719" w:rsidP="000E3719">
            <w:pPr>
              <w:rPr>
                <w:rFonts w:cs="Arial"/>
              </w:rPr>
            </w:pPr>
            <w:r w:rsidRPr="000E3719">
              <w:rPr>
                <w:rFonts w:cs="Arial"/>
              </w:rPr>
              <w:t>Director of Research, The Healthcare Improvement Studies Institute, University of Cambridge</w:t>
            </w:r>
            <w:r w:rsidR="004863AD">
              <w:rPr>
                <w:rFonts w:cs="Arial"/>
              </w:rPr>
              <w:t xml:space="preserve"> </w:t>
            </w:r>
          </w:p>
        </w:tc>
        <w:tc>
          <w:tcPr>
            <w:tcW w:w="3544" w:type="dxa"/>
          </w:tcPr>
          <w:p w14:paraId="49C014C8" w14:textId="77777777" w:rsidR="000E3719" w:rsidRPr="000E3719" w:rsidRDefault="000E3719" w:rsidP="000E3719">
            <w:pPr>
              <w:rPr>
                <w:rFonts w:cs="Arial"/>
              </w:rPr>
            </w:pPr>
            <w:r w:rsidRPr="000E3719">
              <w:rPr>
                <w:rFonts w:cs="Arial"/>
              </w:rPr>
              <w:t>NIHR National Stakeholder Advisory Group member</w:t>
            </w:r>
          </w:p>
          <w:p w14:paraId="1128B792" w14:textId="77777777" w:rsidR="000E3719" w:rsidRDefault="000E3719" w:rsidP="000E3719">
            <w:pPr>
              <w:rPr>
                <w:rFonts w:cs="Arial"/>
              </w:rPr>
            </w:pPr>
          </w:p>
          <w:p w14:paraId="4443C0FB" w14:textId="0038768D" w:rsidR="000E3719" w:rsidRPr="000E3719" w:rsidRDefault="000E3719" w:rsidP="000E3719">
            <w:pPr>
              <w:rPr>
                <w:rFonts w:cs="Arial"/>
              </w:rPr>
            </w:pPr>
            <w:r w:rsidRPr="000E3719">
              <w:rPr>
                <w:rFonts w:cs="Arial"/>
              </w:rPr>
              <w:t xml:space="preserve">Trustee, Foundation for the Sociology of </w:t>
            </w:r>
            <w:proofErr w:type="gramStart"/>
            <w:r w:rsidRPr="000E3719">
              <w:rPr>
                <w:rFonts w:cs="Arial"/>
              </w:rPr>
              <w:t>Health</w:t>
            </w:r>
            <w:proofErr w:type="gramEnd"/>
            <w:r w:rsidRPr="000E3719">
              <w:rPr>
                <w:rFonts w:cs="Arial"/>
              </w:rPr>
              <w:t xml:space="preserve"> and Illness</w:t>
            </w:r>
          </w:p>
        </w:tc>
        <w:tc>
          <w:tcPr>
            <w:tcW w:w="5813" w:type="dxa"/>
          </w:tcPr>
          <w:p w14:paraId="783CCE7E" w14:textId="77777777" w:rsidR="000E3719" w:rsidRPr="000E3719" w:rsidRDefault="000E3719" w:rsidP="000E3719">
            <w:pPr>
              <w:numPr>
                <w:ilvl w:val="0"/>
                <w:numId w:val="36"/>
              </w:numPr>
              <w:rPr>
                <w:rFonts w:cs="Arial"/>
              </w:rPr>
            </w:pPr>
            <w:r w:rsidRPr="000E3719">
              <w:rPr>
                <w:rFonts w:cs="Arial"/>
              </w:rPr>
              <w:t>Organisation and delivery of healthcare</w:t>
            </w:r>
          </w:p>
          <w:p w14:paraId="4FCAC1B7" w14:textId="77777777" w:rsidR="000E3719" w:rsidRPr="000E3719" w:rsidRDefault="000E3719" w:rsidP="000E3719">
            <w:pPr>
              <w:numPr>
                <w:ilvl w:val="0"/>
                <w:numId w:val="36"/>
              </w:numPr>
              <w:rPr>
                <w:rFonts w:cs="Arial"/>
              </w:rPr>
            </w:pPr>
            <w:r w:rsidRPr="000E3719">
              <w:rPr>
                <w:rFonts w:cs="Arial"/>
              </w:rPr>
              <w:t>Role of professionals, managers and patients and the public in organisational change.</w:t>
            </w:r>
          </w:p>
          <w:p w14:paraId="307672C2" w14:textId="77777777" w:rsidR="000E3719" w:rsidRPr="000E3719" w:rsidRDefault="000E3719" w:rsidP="000E3719">
            <w:pPr>
              <w:numPr>
                <w:ilvl w:val="0"/>
                <w:numId w:val="36"/>
              </w:numPr>
              <w:rPr>
                <w:rFonts w:cs="Arial"/>
              </w:rPr>
            </w:pPr>
            <w:r w:rsidRPr="000E3719">
              <w:rPr>
                <w:rFonts w:cs="Arial"/>
              </w:rPr>
              <w:t>Qualitative research methods</w:t>
            </w:r>
          </w:p>
          <w:p w14:paraId="4B1D37D2" w14:textId="77777777" w:rsidR="000E3719" w:rsidRPr="000E3719" w:rsidRDefault="000E3719" w:rsidP="000E3719">
            <w:pPr>
              <w:numPr>
                <w:ilvl w:val="0"/>
                <w:numId w:val="36"/>
              </w:numPr>
              <w:rPr>
                <w:rFonts w:cs="Arial"/>
              </w:rPr>
            </w:pPr>
            <w:r w:rsidRPr="000E3719">
              <w:rPr>
                <w:rFonts w:cs="Arial"/>
              </w:rPr>
              <w:t>Quality and safety in healthcare</w:t>
            </w:r>
          </w:p>
          <w:p w14:paraId="3AF347BC" w14:textId="77777777" w:rsidR="000E3719" w:rsidRPr="000E3719" w:rsidRDefault="000E3719" w:rsidP="000E3719">
            <w:pPr>
              <w:numPr>
                <w:ilvl w:val="0"/>
                <w:numId w:val="36"/>
              </w:numPr>
              <w:rPr>
                <w:rFonts w:cs="Arial"/>
              </w:rPr>
            </w:pPr>
            <w:r w:rsidRPr="000E3719">
              <w:rPr>
                <w:rFonts w:cs="Arial"/>
              </w:rPr>
              <w:t>Healthcare improvement</w:t>
            </w:r>
          </w:p>
          <w:p w14:paraId="764F3525" w14:textId="2213C5F9" w:rsidR="000E3719" w:rsidRPr="000E3719" w:rsidRDefault="000E3719" w:rsidP="000E3719">
            <w:pPr>
              <w:numPr>
                <w:ilvl w:val="0"/>
                <w:numId w:val="36"/>
              </w:numPr>
              <w:rPr>
                <w:rFonts w:cs="Arial"/>
              </w:rPr>
            </w:pPr>
            <w:r w:rsidRPr="000E3719">
              <w:rPr>
                <w:rFonts w:cs="Arial"/>
              </w:rPr>
              <w:t>Evaluation</w:t>
            </w:r>
          </w:p>
        </w:tc>
      </w:tr>
      <w:tr w:rsidR="000E3719" w:rsidRPr="00676AB3" w14:paraId="3FDA5CE8" w14:textId="77777777" w:rsidTr="0047185F">
        <w:trPr>
          <w:cantSplit/>
          <w:trHeight w:val="440"/>
        </w:trPr>
        <w:tc>
          <w:tcPr>
            <w:tcW w:w="2127" w:type="dxa"/>
          </w:tcPr>
          <w:p w14:paraId="75FC5B56" w14:textId="20FF748F" w:rsidR="000E3719" w:rsidRPr="000E3719" w:rsidRDefault="000E3719" w:rsidP="000E3719">
            <w:pPr>
              <w:rPr>
                <w:rFonts w:cs="Arial"/>
              </w:rPr>
            </w:pPr>
            <w:r w:rsidRPr="000E3719">
              <w:rPr>
                <w:rFonts w:cs="Arial"/>
              </w:rPr>
              <w:lastRenderedPageBreak/>
              <w:t>Matthew Sutton</w:t>
            </w:r>
          </w:p>
        </w:tc>
        <w:tc>
          <w:tcPr>
            <w:tcW w:w="3543" w:type="dxa"/>
          </w:tcPr>
          <w:p w14:paraId="6D48EACD" w14:textId="03274C06" w:rsidR="000E3719" w:rsidRPr="000E3719" w:rsidRDefault="000E3719" w:rsidP="000E3719">
            <w:pPr>
              <w:rPr>
                <w:rFonts w:cs="Arial"/>
              </w:rPr>
            </w:pPr>
            <w:r w:rsidRPr="000E3719">
              <w:rPr>
                <w:rFonts w:cs="Arial"/>
              </w:rPr>
              <w:t>Professor of Health Economics and Domain Director for Applied Health Research, University of Manchester</w:t>
            </w:r>
          </w:p>
        </w:tc>
        <w:tc>
          <w:tcPr>
            <w:tcW w:w="3544" w:type="dxa"/>
          </w:tcPr>
          <w:p w14:paraId="159C2CE4" w14:textId="77777777" w:rsidR="000E3719" w:rsidRPr="000E3719" w:rsidRDefault="000E3719" w:rsidP="000E3719">
            <w:pPr>
              <w:rPr>
                <w:rFonts w:cs="Arial"/>
              </w:rPr>
            </w:pPr>
            <w:r w:rsidRPr="000E3719">
              <w:rPr>
                <w:rFonts w:cs="Arial"/>
              </w:rPr>
              <w:t>NIHR Senior Investigator</w:t>
            </w:r>
          </w:p>
          <w:p w14:paraId="5A00B87F" w14:textId="77777777" w:rsidR="000E3719" w:rsidRDefault="000E3719" w:rsidP="000E3719">
            <w:pPr>
              <w:rPr>
                <w:rFonts w:cs="Arial"/>
              </w:rPr>
            </w:pPr>
          </w:p>
          <w:p w14:paraId="2372EED7" w14:textId="71295722" w:rsidR="000E3719" w:rsidRPr="000E3719" w:rsidRDefault="000E3719" w:rsidP="000E3719">
            <w:pPr>
              <w:rPr>
                <w:rFonts w:cs="Arial"/>
              </w:rPr>
            </w:pPr>
            <w:r w:rsidRPr="000E3719">
              <w:rPr>
                <w:rFonts w:cs="Arial"/>
              </w:rPr>
              <w:t>Member of the Advisory Committee on Resource Allocation</w:t>
            </w:r>
          </w:p>
          <w:p w14:paraId="300D8A06" w14:textId="77777777" w:rsidR="000E3719" w:rsidRDefault="000E3719" w:rsidP="000E3719">
            <w:pPr>
              <w:rPr>
                <w:rFonts w:cs="Arial"/>
              </w:rPr>
            </w:pPr>
          </w:p>
          <w:p w14:paraId="21649E5B" w14:textId="68B2D7CC" w:rsidR="000E3719" w:rsidRPr="000E3719" w:rsidRDefault="000E3719" w:rsidP="000E3719">
            <w:pPr>
              <w:rPr>
                <w:rFonts w:cs="Arial"/>
              </w:rPr>
            </w:pPr>
            <w:r w:rsidRPr="000E3719">
              <w:rPr>
                <w:rFonts w:cs="Arial"/>
              </w:rPr>
              <w:t>Associate Editor of Health Economics</w:t>
            </w:r>
          </w:p>
        </w:tc>
        <w:tc>
          <w:tcPr>
            <w:tcW w:w="5813" w:type="dxa"/>
          </w:tcPr>
          <w:p w14:paraId="672F5874" w14:textId="77777777" w:rsidR="000E3719" w:rsidRPr="000E3719" w:rsidRDefault="000E3719" w:rsidP="000E3719">
            <w:pPr>
              <w:numPr>
                <w:ilvl w:val="0"/>
                <w:numId w:val="36"/>
              </w:numPr>
              <w:rPr>
                <w:rFonts w:cs="Arial"/>
              </w:rPr>
            </w:pPr>
            <w:r w:rsidRPr="000E3719">
              <w:rPr>
                <w:rFonts w:cs="Arial"/>
              </w:rPr>
              <w:t>Health economics</w:t>
            </w:r>
          </w:p>
          <w:p w14:paraId="1E61431E" w14:textId="77777777" w:rsidR="000E3719" w:rsidRPr="000E3719" w:rsidRDefault="000E3719" w:rsidP="000E3719">
            <w:pPr>
              <w:numPr>
                <w:ilvl w:val="0"/>
                <w:numId w:val="36"/>
              </w:numPr>
              <w:rPr>
                <w:rFonts w:cs="Arial"/>
              </w:rPr>
            </w:pPr>
            <w:r w:rsidRPr="000E3719">
              <w:rPr>
                <w:rFonts w:cs="Arial"/>
              </w:rPr>
              <w:t>Financing</w:t>
            </w:r>
          </w:p>
          <w:p w14:paraId="14589BBC" w14:textId="77777777" w:rsidR="000E3719" w:rsidRPr="000E3719" w:rsidRDefault="000E3719" w:rsidP="000E3719">
            <w:pPr>
              <w:numPr>
                <w:ilvl w:val="0"/>
                <w:numId w:val="36"/>
              </w:numPr>
              <w:rPr>
                <w:rFonts w:cs="Arial"/>
              </w:rPr>
            </w:pPr>
            <w:r w:rsidRPr="000E3719">
              <w:rPr>
                <w:rFonts w:cs="Arial"/>
              </w:rPr>
              <w:t>Resource allocation</w:t>
            </w:r>
          </w:p>
          <w:p w14:paraId="265B39DD" w14:textId="77777777" w:rsidR="000E3719" w:rsidRPr="000E3719" w:rsidRDefault="000E3719" w:rsidP="000E3719">
            <w:pPr>
              <w:numPr>
                <w:ilvl w:val="0"/>
                <w:numId w:val="36"/>
              </w:numPr>
              <w:rPr>
                <w:rFonts w:cs="Arial"/>
              </w:rPr>
            </w:pPr>
            <w:r w:rsidRPr="000E3719">
              <w:rPr>
                <w:rFonts w:cs="Arial"/>
              </w:rPr>
              <w:t>Workforce</w:t>
            </w:r>
          </w:p>
          <w:p w14:paraId="14C7A077" w14:textId="77777777" w:rsidR="000E3719" w:rsidRPr="000E3719" w:rsidRDefault="000E3719" w:rsidP="000E3719">
            <w:pPr>
              <w:numPr>
                <w:ilvl w:val="0"/>
                <w:numId w:val="36"/>
              </w:numPr>
              <w:rPr>
                <w:rFonts w:cs="Arial"/>
              </w:rPr>
            </w:pPr>
            <w:r w:rsidRPr="000E3719">
              <w:rPr>
                <w:rFonts w:cs="Arial"/>
              </w:rPr>
              <w:t>Organisation of care</w:t>
            </w:r>
          </w:p>
          <w:p w14:paraId="2C1BC17B" w14:textId="4963AC27" w:rsidR="000E3719" w:rsidRPr="000E3719" w:rsidRDefault="000E3719" w:rsidP="000E3719">
            <w:pPr>
              <w:numPr>
                <w:ilvl w:val="0"/>
                <w:numId w:val="36"/>
              </w:numPr>
              <w:rPr>
                <w:rFonts w:cs="Arial"/>
              </w:rPr>
            </w:pPr>
            <w:r w:rsidRPr="000E3719">
              <w:rPr>
                <w:rFonts w:cs="Arial"/>
              </w:rPr>
              <w:t>Health policy</w:t>
            </w:r>
          </w:p>
        </w:tc>
      </w:tr>
    </w:tbl>
    <w:p w14:paraId="1A488DEA" w14:textId="77777777" w:rsidR="00A43D9B" w:rsidRPr="00676AB3" w:rsidRDefault="00A43D9B" w:rsidP="00A43D9B">
      <w:pPr>
        <w:rPr>
          <w:rFonts w:cs="Arial"/>
        </w:rPr>
      </w:pPr>
    </w:p>
    <w:p w14:paraId="1825364D" w14:textId="77777777" w:rsidR="00443081" w:rsidRPr="00676AB3" w:rsidRDefault="00443081" w:rsidP="00181A4A">
      <w:pPr>
        <w:pStyle w:val="Title"/>
        <w:rPr>
          <w:sz w:val="24"/>
          <w:szCs w:val="24"/>
        </w:rPr>
      </w:pPr>
    </w:p>
    <w:sectPr w:rsidR="00443081" w:rsidRPr="00676AB3" w:rsidSect="00A43D9B">
      <w:footerReference w:type="default" r:id="rId9"/>
      <w:pgSz w:w="16838" w:h="11906" w:orient="landscape"/>
      <w:pgMar w:top="1440" w:right="678"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F85A93" w14:textId="77777777" w:rsidR="00A43D9B" w:rsidRDefault="00A43D9B" w:rsidP="00446BEE">
      <w:r>
        <w:separator/>
      </w:r>
    </w:p>
  </w:endnote>
  <w:endnote w:type="continuationSeparator" w:id="0">
    <w:p w14:paraId="608AA65F" w14:textId="77777777" w:rsidR="00A43D9B" w:rsidRDefault="00A43D9B"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49BF3" w14:textId="77777777" w:rsidR="00446BEE" w:rsidRDefault="00446BEE">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1C1593" w14:textId="77777777" w:rsidR="00A43D9B" w:rsidRDefault="00A43D9B" w:rsidP="00446BEE">
      <w:r>
        <w:separator/>
      </w:r>
    </w:p>
  </w:footnote>
  <w:footnote w:type="continuationSeparator" w:id="0">
    <w:p w14:paraId="053B9692" w14:textId="77777777" w:rsidR="00A43D9B" w:rsidRDefault="00A43D9B"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22C4A"/>
    <w:multiLevelType w:val="hybridMultilevel"/>
    <w:tmpl w:val="7D98AE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AA25C6"/>
    <w:multiLevelType w:val="multilevel"/>
    <w:tmpl w:val="CA5A6BA0"/>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21D2807"/>
    <w:multiLevelType w:val="hybridMultilevel"/>
    <w:tmpl w:val="9DA2B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BA1609"/>
    <w:multiLevelType w:val="hybridMultilevel"/>
    <w:tmpl w:val="30B267D4"/>
    <w:lvl w:ilvl="0" w:tplc="08090001">
      <w:start w:val="1"/>
      <w:numFmt w:val="bullet"/>
      <w:lvlText w:val=""/>
      <w:lvlJc w:val="left"/>
      <w:pPr>
        <w:tabs>
          <w:tab w:val="num" w:pos="720"/>
        </w:tabs>
        <w:ind w:left="720" w:hanging="360"/>
      </w:pPr>
      <w:rPr>
        <w:rFonts w:ascii="Symbol" w:hAnsi="Symbol" w:hint="default"/>
        <w:lang w:val="en-US"/>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393991"/>
    <w:multiLevelType w:val="hybridMultilevel"/>
    <w:tmpl w:val="6C30D9D2"/>
    <w:lvl w:ilvl="0" w:tplc="08090001">
      <w:start w:val="1"/>
      <w:numFmt w:val="bullet"/>
      <w:lvlText w:val=""/>
      <w:lvlJc w:val="left"/>
      <w:pPr>
        <w:tabs>
          <w:tab w:val="num" w:pos="720"/>
        </w:tabs>
        <w:ind w:left="720" w:hanging="360"/>
      </w:pPr>
      <w:rPr>
        <w:rFonts w:ascii="Symbol" w:hAnsi="Symbol" w:hint="default"/>
        <w:lang w:val="en-US"/>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DE6C6C"/>
    <w:multiLevelType w:val="hybridMultilevel"/>
    <w:tmpl w:val="981E3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327B3D"/>
    <w:multiLevelType w:val="hybridMultilevel"/>
    <w:tmpl w:val="24D08C8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135348"/>
    <w:multiLevelType w:val="hybridMultilevel"/>
    <w:tmpl w:val="96D27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5C1F59"/>
    <w:multiLevelType w:val="hybridMultilevel"/>
    <w:tmpl w:val="BF1C3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5F0FC0"/>
    <w:multiLevelType w:val="hybridMultilevel"/>
    <w:tmpl w:val="CA407E70"/>
    <w:lvl w:ilvl="0" w:tplc="08090001">
      <w:start w:val="1"/>
      <w:numFmt w:val="bullet"/>
      <w:lvlText w:val=""/>
      <w:lvlJc w:val="left"/>
      <w:pPr>
        <w:tabs>
          <w:tab w:val="num" w:pos="720"/>
        </w:tabs>
        <w:ind w:left="720" w:hanging="360"/>
      </w:pPr>
      <w:rPr>
        <w:rFonts w:ascii="Symbol" w:hAnsi="Symbol" w:hint="default"/>
        <w:lang w:val="en-US"/>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4E1551"/>
    <w:multiLevelType w:val="hybridMultilevel"/>
    <w:tmpl w:val="097A0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CE19D7"/>
    <w:multiLevelType w:val="hybridMultilevel"/>
    <w:tmpl w:val="F46C8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5C1F9C"/>
    <w:multiLevelType w:val="hybridMultilevel"/>
    <w:tmpl w:val="8A8E014A"/>
    <w:lvl w:ilvl="0" w:tplc="32868ECA">
      <w:start w:val="1"/>
      <w:numFmt w:val="bullet"/>
      <w:lvlText w:val="o"/>
      <w:lvlJc w:val="left"/>
      <w:pPr>
        <w:tabs>
          <w:tab w:val="num" w:pos="720"/>
        </w:tabs>
        <w:ind w:left="720" w:hanging="360"/>
      </w:pPr>
      <w:rPr>
        <w:rFonts w:ascii="Courier New" w:hAnsi="Courier New" w:cs="Courier New" w:hint="default"/>
        <w:lang w:val="en-US"/>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D03C1B"/>
    <w:multiLevelType w:val="multilevel"/>
    <w:tmpl w:val="476A06C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8" w15:restartNumberingAfterBreak="0">
    <w:nsid w:val="79E638F3"/>
    <w:multiLevelType w:val="hybridMultilevel"/>
    <w:tmpl w:val="228A6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26"/>
  </w:num>
  <w:num w:numId="3">
    <w:abstractNumId w:val="26"/>
    <w:lvlOverride w:ilvl="0">
      <w:startOverride w:val="1"/>
    </w:lvlOverride>
  </w:num>
  <w:num w:numId="4">
    <w:abstractNumId w:val="26"/>
    <w:lvlOverride w:ilvl="0">
      <w:startOverride w:val="1"/>
    </w:lvlOverride>
  </w:num>
  <w:num w:numId="5">
    <w:abstractNumId w:val="26"/>
    <w:lvlOverride w:ilvl="0">
      <w:startOverride w:val="1"/>
    </w:lvlOverride>
  </w:num>
  <w:num w:numId="6">
    <w:abstractNumId w:val="26"/>
    <w:lvlOverride w:ilvl="0">
      <w:startOverride w:val="1"/>
    </w:lvlOverride>
  </w:num>
  <w:num w:numId="7">
    <w:abstractNumId w:val="26"/>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6"/>
    <w:lvlOverride w:ilvl="0">
      <w:startOverride w:val="1"/>
    </w:lvlOverride>
  </w:num>
  <w:num w:numId="20">
    <w:abstractNumId w:val="12"/>
  </w:num>
  <w:num w:numId="21">
    <w:abstractNumId w:val="25"/>
  </w:num>
  <w:num w:numId="22">
    <w:abstractNumId w:val="25"/>
  </w:num>
  <w:num w:numId="23">
    <w:abstractNumId w:val="14"/>
  </w:num>
  <w:num w:numId="24">
    <w:abstractNumId w:val="15"/>
  </w:num>
  <w:num w:numId="25">
    <w:abstractNumId w:val="27"/>
  </w:num>
  <w:num w:numId="26">
    <w:abstractNumId w:val="17"/>
  </w:num>
  <w:num w:numId="27">
    <w:abstractNumId w:val="18"/>
  </w:num>
  <w:num w:numId="28">
    <w:abstractNumId w:val="10"/>
  </w:num>
  <w:num w:numId="29">
    <w:abstractNumId w:val="13"/>
  </w:num>
  <w:num w:numId="30">
    <w:abstractNumId w:val="23"/>
  </w:num>
  <w:num w:numId="31">
    <w:abstractNumId w:val="11"/>
  </w:num>
  <w:num w:numId="32">
    <w:abstractNumId w:val="22"/>
  </w:num>
  <w:num w:numId="33">
    <w:abstractNumId w:val="20"/>
  </w:num>
  <w:num w:numId="34">
    <w:abstractNumId w:val="21"/>
  </w:num>
  <w:num w:numId="35">
    <w:abstractNumId w:val="28"/>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D9B"/>
    <w:rsid w:val="000053F8"/>
    <w:rsid w:val="00024D0A"/>
    <w:rsid w:val="000400AA"/>
    <w:rsid w:val="000472DC"/>
    <w:rsid w:val="00070065"/>
    <w:rsid w:val="000A4FEE"/>
    <w:rsid w:val="000B5939"/>
    <w:rsid w:val="000B5A36"/>
    <w:rsid w:val="000E3719"/>
    <w:rsid w:val="00111CCE"/>
    <w:rsid w:val="001134E7"/>
    <w:rsid w:val="00165EEB"/>
    <w:rsid w:val="0017149E"/>
    <w:rsid w:val="0017169E"/>
    <w:rsid w:val="00181A4A"/>
    <w:rsid w:val="001B0EE9"/>
    <w:rsid w:val="001B65B3"/>
    <w:rsid w:val="002029A6"/>
    <w:rsid w:val="002408EA"/>
    <w:rsid w:val="002819D7"/>
    <w:rsid w:val="002C1A7E"/>
    <w:rsid w:val="002D3376"/>
    <w:rsid w:val="00311ED0"/>
    <w:rsid w:val="00333972"/>
    <w:rsid w:val="003648C5"/>
    <w:rsid w:val="003722FA"/>
    <w:rsid w:val="003C7AAF"/>
    <w:rsid w:val="003F414C"/>
    <w:rsid w:val="004055CF"/>
    <w:rsid w:val="004075B6"/>
    <w:rsid w:val="00420952"/>
    <w:rsid w:val="00433EFF"/>
    <w:rsid w:val="00443081"/>
    <w:rsid w:val="00446443"/>
    <w:rsid w:val="00446BEE"/>
    <w:rsid w:val="0047185F"/>
    <w:rsid w:val="004863AD"/>
    <w:rsid w:val="005025A1"/>
    <w:rsid w:val="00575AA2"/>
    <w:rsid w:val="00592D84"/>
    <w:rsid w:val="006166F2"/>
    <w:rsid w:val="00676AB3"/>
    <w:rsid w:val="006921E1"/>
    <w:rsid w:val="006F4B25"/>
    <w:rsid w:val="006F6496"/>
    <w:rsid w:val="00736348"/>
    <w:rsid w:val="00760908"/>
    <w:rsid w:val="007F238D"/>
    <w:rsid w:val="00861B92"/>
    <w:rsid w:val="008814FB"/>
    <w:rsid w:val="008F528A"/>
    <w:rsid w:val="008F5E30"/>
    <w:rsid w:val="00914D7F"/>
    <w:rsid w:val="009B0A57"/>
    <w:rsid w:val="009D183C"/>
    <w:rsid w:val="009E680B"/>
    <w:rsid w:val="00A15A1F"/>
    <w:rsid w:val="00A2637F"/>
    <w:rsid w:val="00A3325A"/>
    <w:rsid w:val="00A43013"/>
    <w:rsid w:val="00A43D9B"/>
    <w:rsid w:val="00A85D23"/>
    <w:rsid w:val="00AC5836"/>
    <w:rsid w:val="00AF108A"/>
    <w:rsid w:val="00AF185E"/>
    <w:rsid w:val="00B02E55"/>
    <w:rsid w:val="00B036C1"/>
    <w:rsid w:val="00B5431F"/>
    <w:rsid w:val="00BC4028"/>
    <w:rsid w:val="00BF7FE0"/>
    <w:rsid w:val="00C81104"/>
    <w:rsid w:val="00C96411"/>
    <w:rsid w:val="00CB5671"/>
    <w:rsid w:val="00CC29D1"/>
    <w:rsid w:val="00CF080F"/>
    <w:rsid w:val="00CF58B7"/>
    <w:rsid w:val="00D351C1"/>
    <w:rsid w:val="00D35EFB"/>
    <w:rsid w:val="00D504B3"/>
    <w:rsid w:val="00D86BF0"/>
    <w:rsid w:val="00DD3B2F"/>
    <w:rsid w:val="00E271EF"/>
    <w:rsid w:val="00E51920"/>
    <w:rsid w:val="00E64120"/>
    <w:rsid w:val="00E660A1"/>
    <w:rsid w:val="00EA3CCF"/>
    <w:rsid w:val="00F055F1"/>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CE5D84"/>
  <w15:chartTrackingRefBased/>
  <w15:docId w15:val="{D65D0BF9-0AE8-4A89-8745-401E65CB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3D9B"/>
    <w:rPr>
      <w:rFonts w:ascii="Arial" w:hAnsi="Arial"/>
      <w:sz w:val="24"/>
      <w:szCs w:val="24"/>
    </w:rPr>
  </w:style>
  <w:style w:type="paragraph" w:styleId="Heading1">
    <w:name w:val="heading 1"/>
    <w:basedOn w:val="Normal"/>
    <w:next w:val="Paragraphnonumbers"/>
    <w:link w:val="Heading1Char"/>
    <w:uiPriority w:val="1"/>
    <w:qFormat/>
    <w:rsid w:val="00CB5671"/>
    <w:pPr>
      <w:keepNext/>
      <w:spacing w:after="120"/>
      <w:outlineLvl w:val="0"/>
    </w:pPr>
    <w:rPr>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style>
  <w:style w:type="paragraph" w:styleId="Header">
    <w:name w:val="header"/>
    <w:basedOn w:val="Normal"/>
    <w:link w:val="HeaderChar"/>
    <w:uiPriority w:val="99"/>
    <w:semiHidden/>
    <w:rsid w:val="0017169E"/>
    <w:pPr>
      <w:tabs>
        <w:tab w:val="center" w:pos="4513"/>
        <w:tab w:val="right" w:pos="9026"/>
      </w:tabs>
    </w:p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style>
  <w:style w:type="paragraph" w:customStyle="1" w:styleId="Paragraphnonumbers">
    <w:name w:val="Paragraph no numbers"/>
    <w:basedOn w:val="Normal"/>
    <w:uiPriority w:val="99"/>
    <w:qFormat/>
    <w:rsid w:val="00CB5671"/>
    <w:pPr>
      <w:spacing w:after="240" w:line="276" w:lineRule="auto"/>
    </w:pPr>
  </w:style>
  <w:style w:type="paragraph" w:styleId="TOC1">
    <w:name w:val="toc 1"/>
    <w:basedOn w:val="Normal"/>
    <w:next w:val="Normal"/>
    <w:autoRedefine/>
    <w:semiHidden/>
    <w:rsid w:val="00F610AF"/>
  </w:style>
  <w:style w:type="paragraph" w:styleId="TOC2">
    <w:name w:val="toc 2"/>
    <w:basedOn w:val="Normal"/>
    <w:next w:val="Normal"/>
    <w:autoRedefine/>
    <w:semiHidden/>
    <w:rsid w:val="00F610AF"/>
    <w:pPr>
      <w:ind w:left="240"/>
    </w:pPr>
  </w:style>
  <w:style w:type="paragraph" w:styleId="TOC3">
    <w:name w:val="toc 3"/>
    <w:basedOn w:val="Normal"/>
    <w:next w:val="Normal"/>
    <w:autoRedefine/>
    <w:semiHidden/>
    <w:rsid w:val="00F610AF"/>
    <w:pPr>
      <w:ind w:left="480"/>
    </w:pPr>
  </w:style>
  <w:style w:type="paragraph" w:styleId="TOC4">
    <w:name w:val="toc 4"/>
    <w:basedOn w:val="Normal"/>
    <w:next w:val="Normal"/>
    <w:autoRedefine/>
    <w:semiHidden/>
    <w:rsid w:val="00F610AF"/>
    <w:pPr>
      <w:ind w:left="720"/>
    </w:pPr>
  </w:style>
  <w:style w:type="paragraph" w:styleId="TOAHeading">
    <w:name w:val="toa heading"/>
    <w:basedOn w:val="Normal"/>
    <w:next w:val="Normal"/>
    <w:semiHidden/>
    <w:rsid w:val="00F610AF"/>
    <w:pPr>
      <w:spacing w:before="120"/>
    </w:pPr>
    <w:rPr>
      <w:b/>
      <w:bCs/>
    </w:rPr>
  </w:style>
  <w:style w:type="table" w:styleId="TableGrid">
    <w:name w:val="Table Grid"/>
    <w:basedOn w:val="TableNormal"/>
    <w:rsid w:val="00A43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qFormat/>
    <w:rsid w:val="00A43D9B"/>
    <w:pPr>
      <w:ind w:left="720"/>
      <w:contextualSpacing/>
    </w:pPr>
  </w:style>
  <w:style w:type="paragraph" w:styleId="PlainText">
    <w:name w:val="Plain Text"/>
    <w:basedOn w:val="Normal"/>
    <w:link w:val="PlainTextChar"/>
    <w:uiPriority w:val="99"/>
    <w:unhideWhenUsed/>
    <w:rsid w:val="00A43D9B"/>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A43D9B"/>
    <w:rPr>
      <w:rFonts w:ascii="Consolas" w:eastAsia="Calibri"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472203">
      <w:bodyDiv w:val="1"/>
      <w:marLeft w:val="0"/>
      <w:marRight w:val="0"/>
      <w:marTop w:val="0"/>
      <w:marBottom w:val="0"/>
      <w:divBdr>
        <w:top w:val="none" w:sz="0" w:space="0" w:color="auto"/>
        <w:left w:val="none" w:sz="0" w:space="0" w:color="auto"/>
        <w:bottom w:val="none" w:sz="0" w:space="0" w:color="auto"/>
        <w:right w:val="none" w:sz="0" w:space="0" w:color="auto"/>
      </w:divBdr>
    </w:div>
    <w:div w:id="997732498">
      <w:bodyDiv w:val="1"/>
      <w:marLeft w:val="0"/>
      <w:marRight w:val="0"/>
      <w:marTop w:val="0"/>
      <w:marBottom w:val="0"/>
      <w:divBdr>
        <w:top w:val="none" w:sz="0" w:space="0" w:color="auto"/>
        <w:left w:val="none" w:sz="0" w:space="0" w:color="auto"/>
        <w:bottom w:val="none" w:sz="0" w:space="0" w:color="auto"/>
        <w:right w:val="none" w:sz="0" w:space="0" w:color="auto"/>
      </w:divBdr>
    </w:div>
    <w:div w:id="1088959427">
      <w:bodyDiv w:val="1"/>
      <w:marLeft w:val="0"/>
      <w:marRight w:val="0"/>
      <w:marTop w:val="0"/>
      <w:marBottom w:val="0"/>
      <w:divBdr>
        <w:top w:val="none" w:sz="0" w:space="0" w:color="auto"/>
        <w:left w:val="none" w:sz="0" w:space="0" w:color="auto"/>
        <w:bottom w:val="none" w:sz="0" w:space="0" w:color="auto"/>
        <w:right w:val="none" w:sz="0" w:space="0" w:color="auto"/>
      </w:divBdr>
    </w:div>
    <w:div w:id="137318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ademia.edu/People/Life_Course_Changes_with_Growing_Old" TargetMode="External"/><Relationship Id="rId3" Type="http://schemas.openxmlformats.org/officeDocument/2006/relationships/settings" Target="settings.xml"/><Relationship Id="rId7" Type="http://schemas.openxmlformats.org/officeDocument/2006/relationships/hyperlink" Target="http://www.academia.edu/People/Social_Policy_and_Age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7</Pages>
  <Words>913</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Gaynor Clarkson</dc:creator>
  <cp:keywords/>
  <dc:description/>
  <cp:lastModifiedBy>Sally Jones</cp:lastModifiedBy>
  <cp:revision>5</cp:revision>
  <dcterms:created xsi:type="dcterms:W3CDTF">2021-02-24T16:25:00Z</dcterms:created>
  <dcterms:modified xsi:type="dcterms:W3CDTF">2021-03-03T17:10:00Z</dcterms:modified>
</cp:coreProperties>
</file>