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DD7B" w14:textId="715BEAF8" w:rsidR="000F48EC" w:rsidRPr="00097548" w:rsidRDefault="000F48EC" w:rsidP="0093671F">
      <w:pPr>
        <w:pStyle w:val="Title2"/>
      </w:pPr>
      <w:r w:rsidRPr="00097548">
        <w:t>NATIONAL INSTITUTE FOR HEALTH AND C</w:t>
      </w:r>
      <w:r w:rsidR="00CC63EB" w:rsidRPr="00097548">
        <w:t>ARE</w:t>
      </w:r>
      <w:r w:rsidRPr="00097548">
        <w:t xml:space="preserve"> EXCELLENCE</w:t>
      </w:r>
    </w:p>
    <w:p w14:paraId="3FAC01E0" w14:textId="44D0CF55" w:rsidR="00AB6C7A" w:rsidRPr="00097548" w:rsidRDefault="00AB6C7A" w:rsidP="00034110">
      <w:pPr>
        <w:pStyle w:val="Title1"/>
        <w:rPr>
          <w:sz w:val="32"/>
        </w:rPr>
      </w:pPr>
      <w:r w:rsidRPr="00097548">
        <w:rPr>
          <w:sz w:val="32"/>
        </w:rPr>
        <w:t>Antimicrobial health technology evaluation</w:t>
      </w:r>
    </w:p>
    <w:p w14:paraId="19AECB5E" w14:textId="6CB6F9D0" w:rsidR="00AB6C7A" w:rsidRPr="00097548" w:rsidRDefault="00E44F4F" w:rsidP="00034110">
      <w:pPr>
        <w:pStyle w:val="Title1"/>
        <w:rPr>
          <w:sz w:val="32"/>
        </w:rPr>
      </w:pPr>
      <w:r>
        <w:rPr>
          <w:sz w:val="32"/>
        </w:rPr>
        <w:t>Final</w:t>
      </w:r>
      <w:r w:rsidRPr="00097548">
        <w:rPr>
          <w:sz w:val="32"/>
        </w:rPr>
        <w:t xml:space="preserve"> </w:t>
      </w:r>
      <w:r w:rsidR="000609FA" w:rsidRPr="00097548">
        <w:rPr>
          <w:sz w:val="32"/>
        </w:rPr>
        <w:t>guidance</w:t>
      </w:r>
    </w:p>
    <w:p w14:paraId="2B78C003" w14:textId="2B8D258F" w:rsidR="000F48EC" w:rsidRPr="00097548" w:rsidRDefault="00F925E3" w:rsidP="00034110">
      <w:pPr>
        <w:pStyle w:val="Title1"/>
      </w:pPr>
      <w:proofErr w:type="spellStart"/>
      <w:r w:rsidRPr="00097548">
        <w:t>Cefiderocol</w:t>
      </w:r>
      <w:proofErr w:type="spellEnd"/>
      <w:r w:rsidR="00227CED" w:rsidRPr="00097548">
        <w:t xml:space="preserve"> for treating severe</w:t>
      </w:r>
      <w:bookmarkStart w:id="0" w:name="_Hlk97128344"/>
      <w:r w:rsidR="00D63620" w:rsidRPr="00097548">
        <w:t xml:space="preserve"> drug-resistant</w:t>
      </w:r>
      <w:r w:rsidR="00227CED" w:rsidRPr="00097548">
        <w:t xml:space="preserve"> </w:t>
      </w:r>
      <w:bookmarkEnd w:id="0"/>
      <w:r w:rsidR="00C81D4C" w:rsidRPr="00097548">
        <w:t>g</w:t>
      </w:r>
      <w:r w:rsidR="00946DA4" w:rsidRPr="00097548">
        <w:t>ram</w:t>
      </w:r>
      <w:r w:rsidR="00227CED" w:rsidRPr="00097548">
        <w:t>-negative bacterial infections</w:t>
      </w:r>
    </w:p>
    <w:p w14:paraId="0AF31CFB" w14:textId="77B09FA5" w:rsidR="009E6561" w:rsidRPr="00097548" w:rsidRDefault="00E44F4F" w:rsidP="009E6561">
      <w:pPr>
        <w:pStyle w:val="Numberedheading1"/>
      </w:pPr>
      <w:r>
        <w:t>Recommendations</w:t>
      </w:r>
    </w:p>
    <w:p w14:paraId="01545C6A" w14:textId="2B8648A4" w:rsidR="00C40592" w:rsidRDefault="00AE400F" w:rsidP="00C40592">
      <w:pPr>
        <w:pStyle w:val="Numberedlevel2text"/>
        <w:rPr>
          <w:lang w:val="en-GB"/>
        </w:rPr>
      </w:pPr>
      <w:bookmarkStart w:id="1" w:name="_Hlk97128216"/>
      <w:bookmarkStart w:id="2" w:name="_Hlk97128231"/>
      <w:proofErr w:type="spellStart"/>
      <w:r w:rsidRPr="00097548">
        <w:rPr>
          <w:lang w:val="en-GB"/>
        </w:rPr>
        <w:t>Cefiderocol</w:t>
      </w:r>
      <w:bookmarkEnd w:id="1"/>
      <w:proofErr w:type="spellEnd"/>
      <w:r w:rsidR="00C40592" w:rsidRPr="00097548">
        <w:rPr>
          <w:lang w:val="en-GB"/>
        </w:rPr>
        <w:t xml:space="preserve"> </w:t>
      </w:r>
      <w:r w:rsidR="00167A75" w:rsidRPr="00097548">
        <w:rPr>
          <w:lang w:val="en-GB"/>
        </w:rPr>
        <w:t>is recommended</w:t>
      </w:r>
      <w:r w:rsidR="005A5136" w:rsidRPr="00097548">
        <w:rPr>
          <w:lang w:val="en-GB"/>
        </w:rPr>
        <w:t>, within its marketing authorisation,</w:t>
      </w:r>
      <w:r w:rsidR="00AF202F" w:rsidRPr="00097548">
        <w:rPr>
          <w:lang w:val="en-GB"/>
        </w:rPr>
        <w:t xml:space="preserve"> </w:t>
      </w:r>
      <w:r w:rsidR="00167A75" w:rsidRPr="00097548">
        <w:rPr>
          <w:lang w:val="en-GB"/>
        </w:rPr>
        <w:t xml:space="preserve">as an option </w:t>
      </w:r>
      <w:bookmarkEnd w:id="2"/>
      <w:r w:rsidR="00C40592" w:rsidRPr="00097548">
        <w:rPr>
          <w:lang w:val="en-GB"/>
        </w:rPr>
        <w:t xml:space="preserve">for treating severe drug-resistant infections caused by </w:t>
      </w:r>
      <w:r w:rsidR="00C81D4C" w:rsidRPr="00097548">
        <w:rPr>
          <w:lang w:val="en-GB"/>
        </w:rPr>
        <w:t>g</w:t>
      </w:r>
      <w:r w:rsidR="00946DA4" w:rsidRPr="00097548">
        <w:rPr>
          <w:lang w:val="en-GB"/>
        </w:rPr>
        <w:t>ram</w:t>
      </w:r>
      <w:r w:rsidR="00C40592" w:rsidRPr="00097548">
        <w:rPr>
          <w:lang w:val="en-GB"/>
        </w:rPr>
        <w:t xml:space="preserve">-negative bacteria. </w:t>
      </w:r>
      <w:bookmarkStart w:id="3" w:name="_Hlk97128312"/>
      <w:r w:rsidR="00A0469D" w:rsidRPr="00097548">
        <w:rPr>
          <w:lang w:val="en-GB"/>
        </w:rPr>
        <w:t xml:space="preserve">This includes, but is not limited to, infections caused by metallo-beta-lactamase-producing </w:t>
      </w:r>
      <w:proofErr w:type="spellStart"/>
      <w:r w:rsidR="00A0469D" w:rsidRPr="00E0061B">
        <w:rPr>
          <w:i/>
          <w:iCs w:val="0"/>
          <w:lang w:val="en-GB"/>
        </w:rPr>
        <w:t>Enterobacterales</w:t>
      </w:r>
      <w:proofErr w:type="spellEnd"/>
      <w:r w:rsidR="00A0469D" w:rsidRPr="00097548">
        <w:rPr>
          <w:lang w:val="en-GB"/>
        </w:rPr>
        <w:t xml:space="preserve">, </w:t>
      </w:r>
      <w:r w:rsidR="00A0469D" w:rsidRPr="00E0061B">
        <w:rPr>
          <w:i/>
          <w:iCs w:val="0"/>
          <w:lang w:val="en-GB"/>
        </w:rPr>
        <w:t>Pseudomonas aeruginosa</w:t>
      </w:r>
      <w:r w:rsidR="00A0469D" w:rsidRPr="00097548">
        <w:rPr>
          <w:lang w:val="en-GB"/>
        </w:rPr>
        <w:t xml:space="preserve"> and </w:t>
      </w:r>
      <w:r w:rsidR="00A0469D" w:rsidRPr="00E0061B">
        <w:rPr>
          <w:i/>
          <w:iCs w:val="0"/>
          <w:lang w:val="en-GB"/>
        </w:rPr>
        <w:t xml:space="preserve">Stenotrophomonas </w:t>
      </w:r>
      <w:proofErr w:type="spellStart"/>
      <w:r w:rsidR="00A0469D" w:rsidRPr="00E0061B">
        <w:rPr>
          <w:i/>
          <w:iCs w:val="0"/>
          <w:lang w:val="en-GB"/>
        </w:rPr>
        <w:t>maltophilia</w:t>
      </w:r>
      <w:proofErr w:type="spellEnd"/>
      <w:r w:rsidR="00A0469D">
        <w:rPr>
          <w:i/>
          <w:iCs w:val="0"/>
          <w:lang w:val="en-GB"/>
        </w:rPr>
        <w:t xml:space="preserve">. </w:t>
      </w:r>
      <w:r w:rsidR="00B4772E">
        <w:rPr>
          <w:lang w:val="en-GB"/>
        </w:rPr>
        <w:t>Clinicians should follow</w:t>
      </w:r>
      <w:r w:rsidR="000D699E" w:rsidRPr="00097548">
        <w:rPr>
          <w:lang w:val="en-GB"/>
        </w:rPr>
        <w:t xml:space="preserve"> advice from </w:t>
      </w:r>
      <w:r w:rsidR="000D699E" w:rsidRPr="00097548">
        <w:rPr>
          <w:lang w:val="en-GB" w:eastAsia="en-GB"/>
        </w:rPr>
        <w:t>specialists in microbiology or infectious disease</w:t>
      </w:r>
      <w:r w:rsidR="00B4772E">
        <w:rPr>
          <w:lang w:val="en-GB" w:eastAsia="en-GB"/>
        </w:rPr>
        <w:t xml:space="preserve"> and </w:t>
      </w:r>
      <w:r w:rsidR="000D699E" w:rsidRPr="00097548">
        <w:rPr>
          <w:lang w:val="en-GB"/>
        </w:rPr>
        <w:t xml:space="preserve">offer </w:t>
      </w:r>
      <w:proofErr w:type="spellStart"/>
      <w:r w:rsidR="000D699E" w:rsidRPr="00097548">
        <w:rPr>
          <w:lang w:val="en-GB"/>
        </w:rPr>
        <w:t>cefiderocol</w:t>
      </w:r>
      <w:proofErr w:type="spellEnd"/>
      <w:r w:rsidR="000D699E" w:rsidRPr="00097548">
        <w:rPr>
          <w:lang w:val="en-GB"/>
        </w:rPr>
        <w:t xml:space="preserve"> only </w:t>
      </w:r>
      <w:r w:rsidR="004D5CDE" w:rsidRPr="00097548">
        <w:rPr>
          <w:lang w:val="en-GB"/>
        </w:rPr>
        <w:t>if there are</w:t>
      </w:r>
      <w:r w:rsidR="000D699E" w:rsidRPr="00097548">
        <w:rPr>
          <w:lang w:val="en-GB"/>
        </w:rPr>
        <w:t xml:space="preserve"> </w:t>
      </w:r>
      <w:r w:rsidR="00E9401C">
        <w:rPr>
          <w:lang w:val="en-GB"/>
        </w:rPr>
        <w:t>no suitable</w:t>
      </w:r>
      <w:r w:rsidR="00E9401C" w:rsidRPr="00097548">
        <w:rPr>
          <w:lang w:val="en-GB"/>
        </w:rPr>
        <w:t xml:space="preserve"> </w:t>
      </w:r>
      <w:r w:rsidR="000D699E" w:rsidRPr="00097548">
        <w:rPr>
          <w:lang w:val="en-GB"/>
        </w:rPr>
        <w:t>alternative treatment options</w:t>
      </w:r>
      <w:bookmarkEnd w:id="3"/>
      <w:r w:rsidR="00155378" w:rsidRPr="00097548">
        <w:rPr>
          <w:lang w:val="en-GB"/>
        </w:rPr>
        <w:t xml:space="preserve">. </w:t>
      </w:r>
    </w:p>
    <w:p w14:paraId="2B5F00C3" w14:textId="0EA94FFB" w:rsidR="00C40592" w:rsidRPr="00097548" w:rsidRDefault="00B4772E" w:rsidP="0026119B">
      <w:pPr>
        <w:pStyle w:val="Numberedlevel2text"/>
        <w:numPr>
          <w:ilvl w:val="0"/>
          <w:numId w:val="0"/>
        </w:numPr>
        <w:ind w:left="1134"/>
      </w:pPr>
      <w:r w:rsidRPr="00DA3C76">
        <w:rPr>
          <w:lang w:val="en-GB"/>
        </w:rPr>
        <w:t xml:space="preserve">The decision to offer </w:t>
      </w:r>
      <w:proofErr w:type="spellStart"/>
      <w:r w:rsidR="00E44F4F">
        <w:rPr>
          <w:lang w:val="en-GB"/>
        </w:rPr>
        <w:t>cefiderocol</w:t>
      </w:r>
      <w:proofErr w:type="spellEnd"/>
      <w:r w:rsidR="00E44F4F">
        <w:rPr>
          <w:lang w:val="en-GB"/>
        </w:rPr>
        <w:t xml:space="preserve"> should be guided by results from </w:t>
      </w:r>
      <w:r>
        <w:rPr>
          <w:lang w:val="en-GB"/>
        </w:rPr>
        <w:t xml:space="preserve">tests for </w:t>
      </w:r>
      <w:r w:rsidR="00FE2D12" w:rsidRPr="00097548">
        <w:t>m</w:t>
      </w:r>
      <w:r w:rsidR="00C40592" w:rsidRPr="00097548">
        <w:t xml:space="preserve">icrobiological susceptibility </w:t>
      </w:r>
      <w:r w:rsidR="00E44F4F">
        <w:rPr>
          <w:lang w:val="en-GB"/>
        </w:rPr>
        <w:t>and mechanisms of resistance that</w:t>
      </w:r>
      <w:r w:rsidR="00C40592" w:rsidRPr="00097548">
        <w:t xml:space="preserve"> confirm</w:t>
      </w:r>
      <w:r w:rsidR="0026119B">
        <w:rPr>
          <w:lang w:val="en-GB"/>
        </w:rPr>
        <w:t xml:space="preserve"> that</w:t>
      </w:r>
      <w:r w:rsidR="00C40592" w:rsidRPr="00097548">
        <w:t xml:space="preserve"> the infection is susceptible to </w:t>
      </w:r>
      <w:proofErr w:type="spellStart"/>
      <w:r w:rsidR="00FC01D2" w:rsidRPr="00097548">
        <w:t>cefiderocol</w:t>
      </w:r>
      <w:proofErr w:type="spellEnd"/>
      <w:r w:rsidR="00FE2D12" w:rsidRPr="00097548">
        <w:t>,</w:t>
      </w:r>
      <w:r w:rsidR="00E44F4F">
        <w:rPr>
          <w:lang w:val="en-GB"/>
        </w:rPr>
        <w:t xml:space="preserve"> </w:t>
      </w:r>
      <w:r w:rsidR="0026119B">
        <w:rPr>
          <w:lang w:val="en-GB"/>
        </w:rPr>
        <w:t xml:space="preserve">and </w:t>
      </w:r>
      <w:r w:rsidR="00E44F4F">
        <w:rPr>
          <w:lang w:val="en-GB"/>
        </w:rPr>
        <w:t xml:space="preserve">not susceptible to other suitable antibiotics. If these results are not yet available, </w:t>
      </w:r>
      <w:proofErr w:type="spellStart"/>
      <w:r w:rsidR="00E44F4F">
        <w:rPr>
          <w:lang w:val="en-GB"/>
        </w:rPr>
        <w:t>cefiderocol</w:t>
      </w:r>
      <w:proofErr w:type="spellEnd"/>
      <w:r w:rsidR="00E44F4F">
        <w:rPr>
          <w:lang w:val="en-GB"/>
        </w:rPr>
        <w:t xml:space="preserve"> may be offered</w:t>
      </w:r>
      <w:r w:rsidR="0026119B">
        <w:rPr>
          <w:lang w:val="en-GB"/>
        </w:rPr>
        <w:t>,</w:t>
      </w:r>
      <w:r w:rsidR="00E44F4F">
        <w:rPr>
          <w:lang w:val="en-GB"/>
        </w:rPr>
        <w:t xml:space="preserve"> but only if</w:t>
      </w:r>
      <w:r>
        <w:rPr>
          <w:lang w:val="en-GB"/>
        </w:rPr>
        <w:t xml:space="preserve"> the infection:</w:t>
      </w:r>
    </w:p>
    <w:p w14:paraId="55EB93E8" w14:textId="267CF7C1" w:rsidR="00E44F4F" w:rsidRDefault="00B4772E" w:rsidP="00B4772E">
      <w:pPr>
        <w:pStyle w:val="Bulletindent1"/>
        <w:numPr>
          <w:ilvl w:val="0"/>
          <w:numId w:val="9"/>
        </w:numPr>
      </w:pPr>
      <w:r>
        <w:t>needs urgent treatment</w:t>
      </w:r>
      <w:r w:rsidR="0026119B">
        <w:t>,</w:t>
      </w:r>
      <w:r w:rsidR="00C40592" w:rsidRPr="00097548">
        <w:t xml:space="preserve"> </w:t>
      </w:r>
      <w:r w:rsidR="00E44F4F">
        <w:t xml:space="preserve">and </w:t>
      </w:r>
    </w:p>
    <w:p w14:paraId="76AD0A79" w14:textId="16DFD6C6" w:rsidR="00C40592" w:rsidRPr="00097548" w:rsidRDefault="00E44F4F" w:rsidP="00B4772E">
      <w:pPr>
        <w:pStyle w:val="Bulletindent1"/>
        <w:numPr>
          <w:ilvl w:val="0"/>
          <w:numId w:val="9"/>
        </w:numPr>
        <w:spacing w:after="240"/>
      </w:pPr>
      <w:r>
        <w:t xml:space="preserve">is </w:t>
      </w:r>
      <w:r w:rsidR="00FC01D2" w:rsidRPr="00097548">
        <w:t>expected to be</w:t>
      </w:r>
      <w:r w:rsidR="00C40592" w:rsidRPr="00097548">
        <w:t xml:space="preserve"> susceptible to </w:t>
      </w:r>
      <w:proofErr w:type="spellStart"/>
      <w:r w:rsidR="00FC01D2" w:rsidRPr="00097548">
        <w:t>cefiderocol</w:t>
      </w:r>
      <w:proofErr w:type="spellEnd"/>
      <w:r w:rsidR="00E9401C">
        <w:t xml:space="preserve"> and not to other suitable antibiotics</w:t>
      </w:r>
      <w:r w:rsidR="00C40592" w:rsidRPr="00097548">
        <w:t>.</w:t>
      </w:r>
    </w:p>
    <w:p w14:paraId="7C034350" w14:textId="0DC100BF" w:rsidR="00B4772E" w:rsidRPr="00DA3C76" w:rsidRDefault="00B4772E" w:rsidP="00B4772E">
      <w:pPr>
        <w:pStyle w:val="Bulletindent1last"/>
        <w:ind w:left="1134"/>
        <w:rPr>
          <w:sz w:val="22"/>
          <w:szCs w:val="22"/>
          <w:lang w:eastAsia="en-GB"/>
        </w:rPr>
      </w:pPr>
      <w:bookmarkStart w:id="4" w:name="_Hlk108441984"/>
      <w:r w:rsidRPr="00DA3C76">
        <w:t xml:space="preserve">As well as considering susceptibility, judgements about whether an alternative treatment is suitable may take account of concerns about its toxicity, availability or interactions with other drugs, and </w:t>
      </w:r>
      <w:r w:rsidR="00170752">
        <w:t>its spectrum of activity</w:t>
      </w:r>
      <w:r w:rsidRPr="00DA3C76">
        <w:t>.</w:t>
      </w:r>
    </w:p>
    <w:bookmarkEnd w:id="4"/>
    <w:p w14:paraId="6237EB68" w14:textId="243A4D86" w:rsidR="00E44F4F" w:rsidRDefault="00E44F4F" w:rsidP="0026119B">
      <w:pPr>
        <w:pStyle w:val="Bulletindent1last"/>
        <w:ind w:left="1134"/>
        <w:rPr>
          <w:sz w:val="22"/>
          <w:szCs w:val="22"/>
          <w:lang w:eastAsia="en-GB"/>
        </w:rPr>
      </w:pPr>
    </w:p>
    <w:p w14:paraId="1CE79AD6" w14:textId="6DED906A" w:rsidR="00261FD2" w:rsidRPr="00097548" w:rsidRDefault="00C40592" w:rsidP="00427409">
      <w:pPr>
        <w:pStyle w:val="Numberedlevel2text"/>
        <w:numPr>
          <w:ilvl w:val="0"/>
          <w:numId w:val="0"/>
        </w:numPr>
        <w:ind w:left="1134"/>
        <w:rPr>
          <w:lang w:val="en-GB"/>
        </w:rPr>
      </w:pPr>
      <w:r w:rsidRPr="00097548">
        <w:rPr>
          <w:lang w:val="en-GB"/>
        </w:rPr>
        <w:lastRenderedPageBreak/>
        <w:t xml:space="preserve">Prescribers should follow </w:t>
      </w:r>
      <w:r w:rsidR="000B134D" w:rsidRPr="00097548">
        <w:rPr>
          <w:lang w:val="en-GB"/>
        </w:rPr>
        <w:t xml:space="preserve">the </w:t>
      </w:r>
      <w:hyperlink r:id="rId8" w:anchor="new-antimicrobials" w:history="1">
        <w:r w:rsidR="00573866" w:rsidRPr="00097548">
          <w:rPr>
            <w:rStyle w:val="Hyperlink"/>
            <w:lang w:val="en-GB"/>
          </w:rPr>
          <w:t>recommendations on new antimicrobials in the NICE guideline on antimicrobial stewardship</w:t>
        </w:r>
      </w:hyperlink>
      <w:r w:rsidRPr="00097548">
        <w:rPr>
          <w:lang w:val="en-GB"/>
        </w:rPr>
        <w:t>.</w:t>
      </w:r>
    </w:p>
    <w:p w14:paraId="58F39B63" w14:textId="424F29E4" w:rsidR="00EB0FA1" w:rsidRPr="00097548" w:rsidRDefault="0032687B" w:rsidP="00115521">
      <w:pPr>
        <w:pStyle w:val="Numberedlevel2text"/>
        <w:rPr>
          <w:lang w:val="en-GB"/>
        </w:rPr>
      </w:pPr>
      <w:r w:rsidRPr="00097548">
        <w:rPr>
          <w:lang w:val="en-GB"/>
        </w:rPr>
        <w:t xml:space="preserve">Because of </w:t>
      </w:r>
      <w:r w:rsidR="00EB0FA1" w:rsidRPr="00097548">
        <w:rPr>
          <w:lang w:val="en-GB"/>
        </w:rPr>
        <w:t xml:space="preserve">the uncertainty in the estimates of the value of </w:t>
      </w:r>
      <w:proofErr w:type="spellStart"/>
      <w:r w:rsidR="009218C0" w:rsidRPr="00097548">
        <w:rPr>
          <w:lang w:val="en-GB"/>
        </w:rPr>
        <w:t>cefiderocol</w:t>
      </w:r>
      <w:proofErr w:type="spellEnd"/>
      <w:r w:rsidR="00EB0FA1" w:rsidRPr="00097548">
        <w:rPr>
          <w:lang w:val="en-GB"/>
        </w:rPr>
        <w:t xml:space="preserve"> to the NHS in England, NICE encourages research</w:t>
      </w:r>
      <w:r w:rsidR="0052309F" w:rsidRPr="00097548">
        <w:rPr>
          <w:lang w:val="en-GB"/>
        </w:rPr>
        <w:t> </w:t>
      </w:r>
      <w:r w:rsidR="00EB0FA1" w:rsidRPr="00097548">
        <w:rPr>
          <w:lang w:val="en-GB"/>
        </w:rPr>
        <w:t xml:space="preserve">to </w:t>
      </w:r>
      <w:r w:rsidR="000C1FE8" w:rsidRPr="00097548">
        <w:rPr>
          <w:lang w:val="en-GB"/>
        </w:rPr>
        <w:t xml:space="preserve">further </w:t>
      </w:r>
      <w:r w:rsidR="00EB0FA1" w:rsidRPr="00097548">
        <w:rPr>
          <w:lang w:val="en-GB"/>
        </w:rPr>
        <w:t>develop best practice in the health economic evaluation of antimicrobials</w:t>
      </w:r>
      <w:r w:rsidR="000B134D" w:rsidRPr="00097548">
        <w:rPr>
          <w:lang w:val="en-GB"/>
        </w:rPr>
        <w:t xml:space="preserve"> (see sections </w:t>
      </w:r>
      <w:r w:rsidR="009B5DCA">
        <w:rPr>
          <w:lang w:val="en-GB"/>
        </w:rPr>
        <w:t>5</w:t>
      </w:r>
      <w:r w:rsidR="000B134D" w:rsidRPr="00097548">
        <w:rPr>
          <w:lang w:val="en-GB"/>
        </w:rPr>
        <w:t xml:space="preserve"> and </w:t>
      </w:r>
      <w:r w:rsidR="009B5DCA">
        <w:rPr>
          <w:lang w:val="en-GB"/>
        </w:rPr>
        <w:t>6</w:t>
      </w:r>
      <w:r w:rsidR="000B134D" w:rsidRPr="00097548">
        <w:rPr>
          <w:lang w:val="en-GB"/>
        </w:rPr>
        <w:t>)</w:t>
      </w:r>
      <w:r w:rsidR="00EB0FA1" w:rsidRPr="00097548">
        <w:rPr>
          <w:lang w:val="en-GB"/>
        </w:rPr>
        <w:t>.</w:t>
      </w:r>
    </w:p>
    <w:p w14:paraId="719F3E33" w14:textId="1F268C1E" w:rsidR="00E44F4F" w:rsidRDefault="00E44F4F" w:rsidP="00E44F4F">
      <w:pPr>
        <w:pStyle w:val="Numberedheading1"/>
        <w:keepLines/>
      </w:pPr>
      <w:r>
        <w:t>Commerc</w:t>
      </w:r>
      <w:r w:rsidR="00A741D5">
        <w:t>i</w:t>
      </w:r>
      <w:r>
        <w:t>al arrangement</w:t>
      </w:r>
    </w:p>
    <w:p w14:paraId="46653F0F" w14:textId="0B2F405B" w:rsidR="00E44F4F" w:rsidRDefault="00E44F4F" w:rsidP="00E44F4F">
      <w:pPr>
        <w:pStyle w:val="Numberedlevel2text"/>
      </w:pPr>
      <w:r>
        <w:t xml:space="preserve">Under its </w:t>
      </w:r>
      <w:hyperlink r:id="rId9" w:history="1">
        <w:r w:rsidRPr="00FA356A">
          <w:rPr>
            <w:rStyle w:val="Hyperlink"/>
          </w:rPr>
          <w:t>contract</w:t>
        </w:r>
      </w:hyperlink>
      <w:r w:rsidRPr="00FA356A">
        <w:t xml:space="preserve"> </w:t>
      </w:r>
      <w:r>
        <w:t>with NHS</w:t>
      </w:r>
      <w:r>
        <w:rPr>
          <w:lang w:val="en-GB"/>
        </w:rPr>
        <w:t xml:space="preserve"> England</w:t>
      </w:r>
      <w:r>
        <w:t xml:space="preserve">, </w:t>
      </w:r>
      <w:r w:rsidRPr="004B49F9">
        <w:t xml:space="preserve">the company </w:t>
      </w:r>
      <w:r>
        <w:rPr>
          <w:lang w:val="en-GB"/>
        </w:rPr>
        <w:t xml:space="preserve">will </w:t>
      </w:r>
      <w:r w:rsidRPr="004B49F9">
        <w:t xml:space="preserve">receive </w:t>
      </w:r>
      <w:r>
        <w:t>quarterly</w:t>
      </w:r>
      <w:r w:rsidRPr="004B49F9">
        <w:t xml:space="preserve"> payment</w:t>
      </w:r>
      <w:r>
        <w:t>s</w:t>
      </w:r>
      <w:r>
        <w:rPr>
          <w:lang w:val="en-GB"/>
        </w:rPr>
        <w:t xml:space="preserve"> that are </w:t>
      </w:r>
      <w:r w:rsidRPr="004B49F9">
        <w:t xml:space="preserve">not linked to the volume of </w:t>
      </w:r>
      <w:proofErr w:type="spellStart"/>
      <w:r>
        <w:rPr>
          <w:lang w:val="en-GB"/>
        </w:rPr>
        <w:t>cefiderocol</w:t>
      </w:r>
      <w:proofErr w:type="spellEnd"/>
      <w:r w:rsidRPr="004B49F9">
        <w:t xml:space="preserve"> supplied</w:t>
      </w:r>
      <w:r w:rsidR="00A741D5">
        <w:rPr>
          <w:lang w:val="en-GB"/>
        </w:rPr>
        <w:t xml:space="preserve"> to the NHS</w:t>
      </w:r>
      <w:r w:rsidRPr="004B49F9">
        <w:t>.</w:t>
      </w:r>
      <w:r>
        <w:t xml:space="preserve"> The value of the </w:t>
      </w:r>
      <w:r w:rsidR="00556A1E">
        <w:rPr>
          <w:lang w:val="en-GB"/>
        </w:rPr>
        <w:t>payments</w:t>
      </w:r>
      <w:r>
        <w:t xml:space="preserve"> </w:t>
      </w:r>
      <w:r>
        <w:rPr>
          <w:lang w:val="en-GB"/>
        </w:rPr>
        <w:t>was</w:t>
      </w:r>
      <w:r>
        <w:t xml:space="preserve"> informed by the NICE committee’s estimate of the benefits of </w:t>
      </w:r>
      <w:proofErr w:type="spellStart"/>
      <w:r>
        <w:rPr>
          <w:lang w:val="en-GB"/>
        </w:rPr>
        <w:t>cefiderocol</w:t>
      </w:r>
      <w:proofErr w:type="spellEnd"/>
      <w:r>
        <w:rPr>
          <w:lang w:val="en-GB"/>
        </w:rPr>
        <w:t>, measured in quality-adjusted life</w:t>
      </w:r>
      <w:r w:rsidR="00485EFD">
        <w:rPr>
          <w:lang w:val="en-GB"/>
        </w:rPr>
        <w:t xml:space="preserve"> </w:t>
      </w:r>
      <w:r>
        <w:rPr>
          <w:lang w:val="en-GB"/>
        </w:rPr>
        <w:t xml:space="preserve">years (QALYs) </w:t>
      </w:r>
      <w:r>
        <w:t xml:space="preserve">(see section </w:t>
      </w:r>
      <w:r w:rsidRPr="005C1F65">
        <w:t>4.25).</w:t>
      </w:r>
      <w:r w:rsidR="00556A1E" w:rsidRPr="00556A1E">
        <w:t xml:space="preserve"> </w:t>
      </w:r>
      <w:r w:rsidR="00556A1E">
        <w:t>It has been agreed for a 3-year period, with an option to extend up to 10 years.</w:t>
      </w:r>
    </w:p>
    <w:p w14:paraId="3530ED87" w14:textId="6ED0605F" w:rsidR="00E44F4F" w:rsidRDefault="00E44F4F" w:rsidP="00E44F4F">
      <w:pPr>
        <w:pStyle w:val="Numberedlevel2text"/>
      </w:pPr>
      <w:r>
        <w:t>Purchasing authorities will acquire</w:t>
      </w:r>
      <w:r w:rsidRPr="008C7D2C">
        <w:t xml:space="preserve"> </w:t>
      </w:r>
      <w:proofErr w:type="spellStart"/>
      <w:r>
        <w:rPr>
          <w:lang w:val="en-GB"/>
        </w:rPr>
        <w:t>cefiderocol</w:t>
      </w:r>
      <w:proofErr w:type="spellEnd"/>
      <w:r>
        <w:t xml:space="preserve"> using an agreed confidential invoice price. </w:t>
      </w:r>
      <w:r w:rsidR="00556A1E">
        <w:rPr>
          <w:lang w:val="en-GB"/>
        </w:rPr>
        <w:t xml:space="preserve">NHS England will subtract </w:t>
      </w:r>
      <w:proofErr w:type="spellStart"/>
      <w:r w:rsidR="00556A1E">
        <w:rPr>
          <w:lang w:val="en-GB"/>
        </w:rPr>
        <w:t>t</w:t>
      </w:r>
      <w:r w:rsidRPr="008C7D2C">
        <w:t>he</w:t>
      </w:r>
      <w:proofErr w:type="spellEnd"/>
      <w:r>
        <w:t xml:space="preserve"> cost</w:t>
      </w:r>
      <w:r w:rsidR="00485EFD">
        <w:rPr>
          <w:lang w:val="en-GB"/>
        </w:rPr>
        <w:t>s</w:t>
      </w:r>
      <w:r>
        <w:t xml:space="preserve"> of the</w:t>
      </w:r>
      <w:r w:rsidRPr="008C7D2C">
        <w:t xml:space="preserve">se purchases from </w:t>
      </w:r>
      <w:r w:rsidR="00556A1E">
        <w:rPr>
          <w:lang w:val="en-GB"/>
        </w:rPr>
        <w:t xml:space="preserve">its </w:t>
      </w:r>
      <w:r>
        <w:t xml:space="preserve">quarterly </w:t>
      </w:r>
      <w:r w:rsidRPr="008C7D2C">
        <w:t>payment</w:t>
      </w:r>
      <w:r>
        <w:t>s</w:t>
      </w:r>
      <w:r w:rsidRPr="008C7D2C">
        <w:t xml:space="preserve"> to the company</w:t>
      </w:r>
      <w:r>
        <w:t>.</w:t>
      </w:r>
      <w:r w:rsidRPr="008C7D2C">
        <w:t xml:space="preserve"> </w:t>
      </w:r>
    </w:p>
    <w:p w14:paraId="31152E08" w14:textId="24706CB4" w:rsidR="00E44F4F" w:rsidRDefault="00E44F4F" w:rsidP="00E44F4F">
      <w:pPr>
        <w:pStyle w:val="Numberedlevel2text"/>
      </w:pPr>
      <w:bookmarkStart w:id="5" w:name="_Hlk109201387"/>
      <w:r>
        <w:t>N</w:t>
      </w:r>
      <w:r w:rsidRPr="005D476E">
        <w:t xml:space="preserve">HS organisations can </w:t>
      </w:r>
      <w:r>
        <w:t>find</w:t>
      </w:r>
      <w:r w:rsidRPr="005D476E">
        <w:t xml:space="preserve"> </w:t>
      </w:r>
      <w:r>
        <w:t>the</w:t>
      </w:r>
      <w:r w:rsidR="00556A1E">
        <w:rPr>
          <w:lang w:val="en-GB"/>
        </w:rPr>
        <w:t xml:space="preserve"> confidential</w:t>
      </w:r>
      <w:r>
        <w:t xml:space="preserve"> invoice price for </w:t>
      </w:r>
      <w:proofErr w:type="spellStart"/>
      <w:r>
        <w:rPr>
          <w:lang w:val="en-GB"/>
        </w:rPr>
        <w:t>cefiderocol</w:t>
      </w:r>
      <w:proofErr w:type="spellEnd"/>
      <w:r>
        <w:t xml:space="preserve"> in the </w:t>
      </w:r>
      <w:hyperlink r:id="rId10" w:history="1">
        <w:r w:rsidRPr="007424B9">
          <w:rPr>
            <w:rStyle w:val="Hyperlink"/>
            <w:lang w:val="en-GB"/>
          </w:rPr>
          <w:t>NHS Pharmacy Catalogue</w:t>
        </w:r>
      </w:hyperlink>
      <w:r w:rsidRPr="005D476E">
        <w:t xml:space="preserve">. Non-NHS organisations can </w:t>
      </w:r>
      <w:hyperlink r:id="rId11" w:history="1">
        <w:r w:rsidR="00CC5F2A" w:rsidRPr="00CC5F2A">
          <w:rPr>
            <w:rStyle w:val="Hyperlink"/>
          </w:rPr>
          <w:t>contact@shionogi.eu</w:t>
        </w:r>
      </w:hyperlink>
      <w:r w:rsidR="00CC5F2A">
        <w:t xml:space="preserve"> </w:t>
      </w:r>
      <w:r w:rsidRPr="005D476E">
        <w:t>for details.</w:t>
      </w:r>
    </w:p>
    <w:bookmarkEnd w:id="5"/>
    <w:p w14:paraId="1493C885" w14:textId="18491D69" w:rsidR="00E44F4F" w:rsidRDefault="00E44F4F" w:rsidP="00E44F4F">
      <w:pPr>
        <w:pStyle w:val="Numberedlevel2text"/>
      </w:pPr>
      <w:r>
        <w:t>The contract</w:t>
      </w:r>
      <w:r>
        <w:rPr>
          <w:lang w:val="en-GB"/>
        </w:rPr>
        <w:t xml:space="preserve"> between the company and NHS</w:t>
      </w:r>
      <w:r>
        <w:t xml:space="preserve"> </w:t>
      </w:r>
      <w:r>
        <w:rPr>
          <w:lang w:val="en-GB"/>
        </w:rPr>
        <w:t xml:space="preserve">England </w:t>
      </w:r>
      <w:r>
        <w:t>also stipulates</w:t>
      </w:r>
      <w:r w:rsidRPr="00F024CA">
        <w:t xml:space="preserve"> </w:t>
      </w:r>
      <w:r w:rsidRPr="004B49F9">
        <w:t xml:space="preserve">conditions </w:t>
      </w:r>
      <w:r>
        <w:t>relating</w:t>
      </w:r>
      <w:r w:rsidRPr="004B49F9">
        <w:t xml:space="preserve"> </w:t>
      </w:r>
      <w:r>
        <w:t xml:space="preserve">to good </w:t>
      </w:r>
      <w:r w:rsidR="006B1ACD">
        <w:rPr>
          <w:lang w:val="en-GB"/>
        </w:rPr>
        <w:t xml:space="preserve">antimicrobial </w:t>
      </w:r>
      <w:r w:rsidRPr="004B49F9">
        <w:t>stewardship</w:t>
      </w:r>
      <w:r>
        <w:t>,</w:t>
      </w:r>
      <w:r w:rsidRPr="00B1566D">
        <w:t xml:space="preserve"> </w:t>
      </w:r>
      <w:r>
        <w:t xml:space="preserve">manufacturing and environmental practices; monitoring for emerging resistance; and </w:t>
      </w:r>
      <w:r w:rsidR="00150EEF">
        <w:rPr>
          <w:lang w:val="en-GB"/>
        </w:rPr>
        <w:t xml:space="preserve">ensuring supply </w:t>
      </w:r>
      <w:r>
        <w:t>of</w:t>
      </w:r>
      <w:r w:rsidR="00150EEF">
        <w:rPr>
          <w:lang w:val="en-GB"/>
        </w:rPr>
        <w:t xml:space="preserve"> </w:t>
      </w:r>
      <w:proofErr w:type="spellStart"/>
      <w:r w:rsidR="00150EEF">
        <w:rPr>
          <w:lang w:val="en-GB"/>
        </w:rPr>
        <w:t>cefiderocol</w:t>
      </w:r>
      <w:proofErr w:type="spellEnd"/>
      <w:r>
        <w:t xml:space="preserve">. </w:t>
      </w:r>
    </w:p>
    <w:p w14:paraId="3CBAAE3E" w14:textId="0F874F30" w:rsidR="00EA1CB1" w:rsidRPr="00097548" w:rsidRDefault="00EA1CB1" w:rsidP="00E44F4F">
      <w:pPr>
        <w:pStyle w:val="Numberedheading1"/>
        <w:keepLines/>
      </w:pPr>
      <w:r w:rsidRPr="00097548">
        <w:t xml:space="preserve">Information about </w:t>
      </w:r>
      <w:proofErr w:type="spellStart"/>
      <w:r w:rsidR="009218C0" w:rsidRPr="00097548">
        <w:t>cefiderocol</w:t>
      </w:r>
      <w:proofErr w:type="spellEnd"/>
    </w:p>
    <w:p w14:paraId="371B861D" w14:textId="2E3416F0" w:rsidR="00FA73D8" w:rsidRPr="00097548" w:rsidRDefault="00D833CC" w:rsidP="00FA73D8">
      <w:pPr>
        <w:pStyle w:val="Numberedlevel2text"/>
        <w:rPr>
          <w:lang w:val="en-GB"/>
        </w:rPr>
      </w:pPr>
      <w:proofErr w:type="spellStart"/>
      <w:r w:rsidRPr="00097548">
        <w:rPr>
          <w:lang w:val="en-GB"/>
        </w:rPr>
        <w:t>Cefiderocol</w:t>
      </w:r>
      <w:proofErr w:type="spellEnd"/>
      <w:r w:rsidRPr="00097548">
        <w:rPr>
          <w:lang w:val="en-GB"/>
        </w:rPr>
        <w:t xml:space="preserve"> </w:t>
      </w:r>
      <w:r w:rsidR="00FA73D8" w:rsidRPr="00097548">
        <w:rPr>
          <w:lang w:val="en-GB"/>
        </w:rPr>
        <w:t xml:space="preserve">is </w:t>
      </w:r>
      <w:r w:rsidR="00855292" w:rsidRPr="00097548">
        <w:rPr>
          <w:lang w:val="en-GB"/>
        </w:rPr>
        <w:t xml:space="preserve">a </w:t>
      </w:r>
      <w:r w:rsidR="00D855FA" w:rsidRPr="00097548">
        <w:rPr>
          <w:lang w:val="en-GB"/>
        </w:rPr>
        <w:t>siderophore</w:t>
      </w:r>
      <w:r w:rsidR="0046782E" w:rsidRPr="00097548">
        <w:rPr>
          <w:lang w:val="en-GB"/>
        </w:rPr>
        <w:t xml:space="preserve"> </w:t>
      </w:r>
      <w:r w:rsidR="00FA73D8" w:rsidRPr="00097548">
        <w:rPr>
          <w:lang w:val="en-GB"/>
        </w:rPr>
        <w:t>cephalosporin</w:t>
      </w:r>
      <w:r w:rsidR="005373DD" w:rsidRPr="00097548">
        <w:rPr>
          <w:lang w:val="en-GB"/>
        </w:rPr>
        <w:t>. It</w:t>
      </w:r>
      <w:r w:rsidR="00FA73D8" w:rsidRPr="00097548">
        <w:rPr>
          <w:lang w:val="en-GB"/>
        </w:rPr>
        <w:t xml:space="preserve"> </w:t>
      </w:r>
      <w:r w:rsidR="00D855FA" w:rsidRPr="00097548">
        <w:rPr>
          <w:lang w:val="en-GB"/>
        </w:rPr>
        <w:t xml:space="preserve">inhibits </w:t>
      </w:r>
      <w:r w:rsidR="000B134D" w:rsidRPr="00097548">
        <w:rPr>
          <w:lang w:val="en-GB"/>
        </w:rPr>
        <w:t>g</w:t>
      </w:r>
      <w:r w:rsidR="00D855FA" w:rsidRPr="00097548">
        <w:rPr>
          <w:lang w:val="en-GB"/>
        </w:rPr>
        <w:t>ram-negative bacterial cell wall synthesis by binding to penicillin</w:t>
      </w:r>
      <w:r w:rsidR="00855292" w:rsidRPr="00097548">
        <w:rPr>
          <w:lang w:val="en-GB"/>
        </w:rPr>
        <w:t>-</w:t>
      </w:r>
      <w:r w:rsidR="00D855FA" w:rsidRPr="00097548">
        <w:rPr>
          <w:lang w:val="en-GB"/>
        </w:rPr>
        <w:t>binding proteins</w:t>
      </w:r>
      <w:r w:rsidR="005373DD" w:rsidRPr="00097548">
        <w:rPr>
          <w:lang w:val="en-GB"/>
        </w:rPr>
        <w:t xml:space="preserve">. </w:t>
      </w:r>
      <w:proofErr w:type="spellStart"/>
      <w:r w:rsidR="005373DD" w:rsidRPr="00097548">
        <w:rPr>
          <w:lang w:val="en-GB"/>
        </w:rPr>
        <w:t>Cefiderocol</w:t>
      </w:r>
      <w:proofErr w:type="spellEnd"/>
      <w:r w:rsidR="00D855FA" w:rsidRPr="00097548">
        <w:rPr>
          <w:lang w:val="en-GB"/>
        </w:rPr>
        <w:t xml:space="preserve"> </w:t>
      </w:r>
      <w:r w:rsidR="00FA73D8" w:rsidRPr="00097548">
        <w:rPr>
          <w:lang w:val="en-GB"/>
        </w:rPr>
        <w:t>is administered as an intravenous infusion over 2</w:t>
      </w:r>
      <w:r w:rsidR="00E25941" w:rsidRPr="00097548">
        <w:rPr>
          <w:lang w:val="en-GB"/>
        </w:rPr>
        <w:t> </w:t>
      </w:r>
      <w:proofErr w:type="gramStart"/>
      <w:r w:rsidR="00FA73D8" w:rsidRPr="00097548">
        <w:rPr>
          <w:lang w:val="en-GB"/>
        </w:rPr>
        <w:t xml:space="preserve">hours, </w:t>
      </w:r>
      <w:r w:rsidR="00DB4F98" w:rsidRPr="00097548">
        <w:rPr>
          <w:lang w:val="en-GB"/>
        </w:rPr>
        <w:t>and</w:t>
      </w:r>
      <w:proofErr w:type="gramEnd"/>
      <w:r w:rsidR="00DB4F98" w:rsidRPr="00097548">
        <w:rPr>
          <w:lang w:val="en-GB"/>
        </w:rPr>
        <w:t xml:space="preserve"> </w:t>
      </w:r>
      <w:r w:rsidR="00FA73D8" w:rsidRPr="00097548">
        <w:rPr>
          <w:lang w:val="en-GB"/>
        </w:rPr>
        <w:lastRenderedPageBreak/>
        <w:t>given every 8</w:t>
      </w:r>
      <w:r w:rsidR="00E25941" w:rsidRPr="00097548">
        <w:rPr>
          <w:lang w:val="en-GB"/>
        </w:rPr>
        <w:t> </w:t>
      </w:r>
      <w:r w:rsidR="00FA73D8" w:rsidRPr="00097548">
        <w:rPr>
          <w:lang w:val="en-GB"/>
        </w:rPr>
        <w:t xml:space="preserve">hours. </w:t>
      </w:r>
      <w:r w:rsidR="00242D20" w:rsidRPr="00097548">
        <w:rPr>
          <w:lang w:val="en-GB"/>
        </w:rPr>
        <w:t xml:space="preserve">Dosage adjustment is </w:t>
      </w:r>
      <w:r w:rsidR="00E25941" w:rsidRPr="00097548">
        <w:rPr>
          <w:lang w:val="en-GB"/>
        </w:rPr>
        <w:t xml:space="preserve">needed </w:t>
      </w:r>
      <w:r w:rsidR="00242D20" w:rsidRPr="00097548">
        <w:rPr>
          <w:lang w:val="en-GB"/>
        </w:rPr>
        <w:t>for people with renal impairment.</w:t>
      </w:r>
    </w:p>
    <w:p w14:paraId="60BB54BE" w14:textId="089AD64A" w:rsidR="00B82A82" w:rsidRPr="00097548" w:rsidRDefault="00B82A82" w:rsidP="00B82A82">
      <w:pPr>
        <w:pStyle w:val="Heading2"/>
      </w:pPr>
      <w:r w:rsidRPr="00097548">
        <w:t>Marketing authorisation indication</w:t>
      </w:r>
    </w:p>
    <w:p w14:paraId="45E231FA" w14:textId="1B39312D" w:rsidR="001C055D" w:rsidRPr="00097548" w:rsidRDefault="00D833CC" w:rsidP="00C82331">
      <w:pPr>
        <w:pStyle w:val="Numberedlevel2text"/>
        <w:keepNext/>
        <w:rPr>
          <w:rStyle w:val="NICEnormalChar"/>
          <w:rFonts w:cs="Arial"/>
          <w:b/>
          <w:iCs w:val="0"/>
          <w:szCs w:val="28"/>
        </w:rPr>
      </w:pPr>
      <w:proofErr w:type="spellStart"/>
      <w:r w:rsidRPr="00097548">
        <w:rPr>
          <w:lang w:val="en-GB"/>
        </w:rPr>
        <w:t>Cefiderocol</w:t>
      </w:r>
      <w:proofErr w:type="spellEnd"/>
      <w:r w:rsidRPr="00097548">
        <w:rPr>
          <w:lang w:val="en-GB"/>
        </w:rPr>
        <w:t xml:space="preserve"> </w:t>
      </w:r>
      <w:r w:rsidR="00D06828" w:rsidRPr="00097548">
        <w:rPr>
          <w:rStyle w:val="NICEnormalChar"/>
          <w:szCs w:val="28"/>
        </w:rPr>
        <w:t>(</w:t>
      </w:r>
      <w:proofErr w:type="spellStart"/>
      <w:r w:rsidRPr="00097548">
        <w:rPr>
          <w:rStyle w:val="NICEnormalChar"/>
          <w:szCs w:val="28"/>
        </w:rPr>
        <w:t>Fetcroja</w:t>
      </w:r>
      <w:proofErr w:type="spellEnd"/>
      <w:r w:rsidRPr="00097548">
        <w:rPr>
          <w:rStyle w:val="NICEnormalChar"/>
          <w:szCs w:val="28"/>
        </w:rPr>
        <w:t>, Shionogi</w:t>
      </w:r>
      <w:r w:rsidR="00D06828" w:rsidRPr="00097548">
        <w:rPr>
          <w:rStyle w:val="NICEnormalChar"/>
          <w:szCs w:val="28"/>
        </w:rPr>
        <w:t xml:space="preserve">) is indicated </w:t>
      </w:r>
      <w:r w:rsidR="000B134D" w:rsidRPr="00097548">
        <w:rPr>
          <w:rStyle w:val="NICEnormalChar"/>
          <w:szCs w:val="28"/>
        </w:rPr>
        <w:t>‘</w:t>
      </w:r>
      <w:r w:rsidR="00BD3512" w:rsidRPr="00097548">
        <w:rPr>
          <w:rStyle w:val="NICEnormalChar"/>
          <w:szCs w:val="28"/>
        </w:rPr>
        <w:t xml:space="preserve">for the treatment of infections due to aerobic </w:t>
      </w:r>
      <w:r w:rsidR="00896117">
        <w:rPr>
          <w:rStyle w:val="NICEnormalChar"/>
          <w:szCs w:val="28"/>
        </w:rPr>
        <w:t>g</w:t>
      </w:r>
      <w:r w:rsidR="00896117" w:rsidRPr="00097548">
        <w:rPr>
          <w:rStyle w:val="NICEnormalChar"/>
          <w:szCs w:val="28"/>
        </w:rPr>
        <w:t>ram</w:t>
      </w:r>
      <w:r w:rsidR="00BD3512" w:rsidRPr="00097548">
        <w:rPr>
          <w:rStyle w:val="NICEnormalChar"/>
          <w:szCs w:val="28"/>
        </w:rPr>
        <w:t xml:space="preserve">-negative organisms in adults with limited treatment </w:t>
      </w:r>
      <w:proofErr w:type="gramStart"/>
      <w:r w:rsidR="00BD3512" w:rsidRPr="00097548">
        <w:rPr>
          <w:rStyle w:val="NICEnormalChar"/>
          <w:szCs w:val="28"/>
        </w:rPr>
        <w:t>options</w:t>
      </w:r>
      <w:r w:rsidR="000B134D" w:rsidRPr="00097548">
        <w:rPr>
          <w:rStyle w:val="NICEnormalChar"/>
          <w:szCs w:val="28"/>
        </w:rPr>
        <w:t>’</w:t>
      </w:r>
      <w:proofErr w:type="gramEnd"/>
      <w:r w:rsidR="00BD3512" w:rsidRPr="00097548">
        <w:rPr>
          <w:rStyle w:val="NICEnormalChar"/>
          <w:szCs w:val="28"/>
        </w:rPr>
        <w:t>.</w:t>
      </w:r>
    </w:p>
    <w:p w14:paraId="3BA566F3" w14:textId="77777777" w:rsidR="00B82A82" w:rsidRPr="00097548" w:rsidRDefault="00B82A82" w:rsidP="00B82A82">
      <w:pPr>
        <w:pStyle w:val="Heading2"/>
      </w:pPr>
      <w:r w:rsidRPr="00097548">
        <w:t>Dosage in the marketing authorisation</w:t>
      </w:r>
    </w:p>
    <w:p w14:paraId="3772D405" w14:textId="03773F54" w:rsidR="00FA73D8" w:rsidRPr="00097548" w:rsidRDefault="00FE2CE3" w:rsidP="008520CE">
      <w:pPr>
        <w:pStyle w:val="Numberedlevel2text"/>
        <w:numPr>
          <w:ilvl w:val="1"/>
          <w:numId w:val="1"/>
        </w:numPr>
        <w:rPr>
          <w:rStyle w:val="Numberedlevel2textChar"/>
          <w:lang w:val="en-GB"/>
        </w:rPr>
      </w:pPr>
      <w:r w:rsidRPr="00097548">
        <w:rPr>
          <w:lang w:val="en-GB"/>
        </w:rPr>
        <w:t>The dosage schedule is</w:t>
      </w:r>
      <w:r w:rsidR="00570524" w:rsidRPr="00097548">
        <w:rPr>
          <w:lang w:val="en-GB"/>
        </w:rPr>
        <w:t xml:space="preserve"> available in </w:t>
      </w:r>
      <w:hyperlink r:id="rId12" w:history="1">
        <w:proofErr w:type="spellStart"/>
        <w:r w:rsidR="0028793D" w:rsidRPr="00097548">
          <w:rPr>
            <w:rStyle w:val="Hyperlink"/>
            <w:lang w:val="en-GB"/>
          </w:rPr>
          <w:t>cefiderocol’s</w:t>
        </w:r>
        <w:proofErr w:type="spellEnd"/>
        <w:r w:rsidR="00AC5C31" w:rsidRPr="00097548">
          <w:rPr>
            <w:rStyle w:val="Hyperlink"/>
            <w:lang w:val="en-GB"/>
          </w:rPr>
          <w:t xml:space="preserve"> summary of product characteristics</w:t>
        </w:r>
      </w:hyperlink>
      <w:r w:rsidR="008520CE" w:rsidRPr="00097548">
        <w:rPr>
          <w:lang w:val="en-GB"/>
        </w:rPr>
        <w:t>.</w:t>
      </w:r>
    </w:p>
    <w:p w14:paraId="046065B5" w14:textId="77777777" w:rsidR="00F130AD" w:rsidRPr="00097548" w:rsidRDefault="00222BEA" w:rsidP="00F130AD">
      <w:pPr>
        <w:pStyle w:val="Numberedheading1"/>
      </w:pPr>
      <w:r w:rsidRPr="00097548">
        <w:t>Committee discussion</w:t>
      </w:r>
    </w:p>
    <w:p w14:paraId="012A8728" w14:textId="6A947306" w:rsidR="002B5772" w:rsidRPr="00097548" w:rsidRDefault="00BC7D9E" w:rsidP="002B5772">
      <w:pPr>
        <w:pStyle w:val="NICEnormal"/>
      </w:pPr>
      <w:r w:rsidRPr="00097548">
        <w:t xml:space="preserve">The </w:t>
      </w:r>
      <w:hyperlink r:id="rId13" w:history="1">
        <w:r w:rsidR="00343B53" w:rsidRPr="00097548">
          <w:rPr>
            <w:rStyle w:val="Hyperlink"/>
          </w:rPr>
          <w:t>a</w:t>
        </w:r>
        <w:r w:rsidR="00465A75" w:rsidRPr="00097548">
          <w:rPr>
            <w:rStyle w:val="Hyperlink"/>
          </w:rPr>
          <w:t>ntimicrobial</w:t>
        </w:r>
        <w:r w:rsidR="00573866" w:rsidRPr="00097548">
          <w:rPr>
            <w:rStyle w:val="Hyperlink"/>
          </w:rPr>
          <w:t>s</w:t>
        </w:r>
        <w:r w:rsidR="00465A75" w:rsidRPr="00097548">
          <w:rPr>
            <w:rStyle w:val="Hyperlink"/>
          </w:rPr>
          <w:t xml:space="preserve"> evaluation </w:t>
        </w:r>
        <w:r w:rsidR="00343B53" w:rsidRPr="00097548">
          <w:rPr>
            <w:rStyle w:val="Hyperlink"/>
          </w:rPr>
          <w:t>c</w:t>
        </w:r>
        <w:r w:rsidRPr="00097548">
          <w:rPr>
            <w:rStyle w:val="Hyperlink"/>
          </w:rPr>
          <w:t>ommittee</w:t>
        </w:r>
      </w:hyperlink>
      <w:r w:rsidRPr="00097548">
        <w:t xml:space="preserve"> considered</w:t>
      </w:r>
      <w:r w:rsidR="002651E9" w:rsidRPr="00097548">
        <w:rPr>
          <w:rFonts w:ascii="Times New Roman" w:hAnsi="Times New Roman"/>
        </w:rPr>
        <w:t xml:space="preserve"> </w:t>
      </w:r>
      <w:r w:rsidR="006F4778" w:rsidRPr="00097548">
        <w:t xml:space="preserve">the evidence submitted by </w:t>
      </w:r>
      <w:r w:rsidR="00435B8B" w:rsidRPr="00097548">
        <w:t>Shionogi</w:t>
      </w:r>
      <w:r w:rsidR="00165AE5" w:rsidRPr="00097548">
        <w:t xml:space="preserve"> </w:t>
      </w:r>
      <w:r w:rsidR="0052309F" w:rsidRPr="00097548">
        <w:t>(</w:t>
      </w:r>
      <w:r w:rsidR="00165AE5" w:rsidRPr="00097548">
        <w:t xml:space="preserve">the company that manufactures </w:t>
      </w:r>
      <w:proofErr w:type="spellStart"/>
      <w:r w:rsidR="00165AE5" w:rsidRPr="00097548">
        <w:t>cefiderocol</w:t>
      </w:r>
      <w:proofErr w:type="spellEnd"/>
      <w:r w:rsidR="0052309F" w:rsidRPr="00097548">
        <w:t>)</w:t>
      </w:r>
      <w:r w:rsidR="00B86EE3" w:rsidRPr="00097548">
        <w:t xml:space="preserve"> </w:t>
      </w:r>
      <w:r w:rsidR="006F4778" w:rsidRPr="00097548">
        <w:t xml:space="preserve">and other stakeholders, </w:t>
      </w:r>
      <w:r w:rsidR="002651E9" w:rsidRPr="00097548">
        <w:t xml:space="preserve">the assessment report from the Policy Research Unit in Economic Methods of Evaluation in Health </w:t>
      </w:r>
      <w:r w:rsidR="0052309F" w:rsidRPr="00097548">
        <w:t>and</w:t>
      </w:r>
      <w:r w:rsidR="002651E9" w:rsidRPr="00097548">
        <w:t xml:space="preserve"> Social Care Interventions</w:t>
      </w:r>
      <w:r w:rsidR="00465A75" w:rsidRPr="00097548">
        <w:t xml:space="preserve"> (EEPRU)</w:t>
      </w:r>
      <w:r w:rsidR="002651E9" w:rsidRPr="00097548">
        <w:t xml:space="preserve">, </w:t>
      </w:r>
      <w:r w:rsidR="000B1027" w:rsidRPr="00097548">
        <w:t xml:space="preserve">and </w:t>
      </w:r>
      <w:r w:rsidR="000609FA" w:rsidRPr="00097548">
        <w:t xml:space="preserve">consultation comments on EEPRU’s report </w:t>
      </w:r>
      <w:r w:rsidR="000B1027" w:rsidRPr="00097548">
        <w:t>from</w:t>
      </w:r>
      <w:r w:rsidR="00E9265B" w:rsidRPr="00097548">
        <w:t xml:space="preserve"> stakeholders</w:t>
      </w:r>
      <w:r w:rsidRPr="00097548">
        <w:t>.</w:t>
      </w:r>
      <w:r w:rsidR="00C63D4E" w:rsidRPr="00097548">
        <w:t xml:space="preserve"> </w:t>
      </w:r>
      <w:r w:rsidR="002B5772" w:rsidRPr="00097548">
        <w:t xml:space="preserve">See the </w:t>
      </w:r>
      <w:hyperlink r:id="rId14" w:history="1">
        <w:r w:rsidR="002B5772" w:rsidRPr="00097548">
          <w:rPr>
            <w:rStyle w:val="Hyperlink"/>
          </w:rPr>
          <w:t>committee papers</w:t>
        </w:r>
      </w:hyperlink>
      <w:r w:rsidR="002B5772" w:rsidRPr="00097548">
        <w:t xml:space="preserve"> for full details of the evidence.</w:t>
      </w:r>
    </w:p>
    <w:p w14:paraId="3346111F" w14:textId="0E21E464" w:rsidR="00C21ED1" w:rsidRPr="00097548" w:rsidRDefault="004F609E" w:rsidP="00C21ED1">
      <w:pPr>
        <w:pStyle w:val="Heading2"/>
      </w:pPr>
      <w:r w:rsidRPr="00097548">
        <w:t>Antimicrobial resistance and c</w:t>
      </w:r>
      <w:r w:rsidR="00742E7E" w:rsidRPr="00097548">
        <w:t>linical need</w:t>
      </w:r>
    </w:p>
    <w:p w14:paraId="4937D544" w14:textId="77777777" w:rsidR="003E6494" w:rsidRPr="00097548" w:rsidRDefault="003E6494" w:rsidP="003E6494">
      <w:pPr>
        <w:pStyle w:val="Heading3"/>
      </w:pPr>
      <w:r w:rsidRPr="00097548">
        <w:t>Several mechanisms can lead to antimicrobial resistance</w:t>
      </w:r>
    </w:p>
    <w:p w14:paraId="4543993C" w14:textId="2C6342AB" w:rsidR="003E6494" w:rsidRPr="00097548" w:rsidRDefault="003E6494" w:rsidP="00D5639D">
      <w:pPr>
        <w:pStyle w:val="Numberedlevel2text"/>
        <w:rPr>
          <w:lang w:val="en-GB"/>
        </w:rPr>
      </w:pPr>
      <w:r w:rsidRPr="00097548">
        <w:rPr>
          <w:lang w:val="en-GB"/>
        </w:rPr>
        <w:t xml:space="preserve">Antimicrobial resistance develops when bacteria that cause infection develop genetic mutations </w:t>
      </w:r>
      <w:r w:rsidR="00E8627E" w:rsidRPr="00097548">
        <w:rPr>
          <w:lang w:val="en-GB"/>
        </w:rPr>
        <w:t xml:space="preserve">that </w:t>
      </w:r>
      <w:r w:rsidRPr="00097548">
        <w:rPr>
          <w:lang w:val="en-GB"/>
        </w:rPr>
        <w:t>mak</w:t>
      </w:r>
      <w:r w:rsidR="00E8627E" w:rsidRPr="00097548">
        <w:rPr>
          <w:lang w:val="en-GB"/>
        </w:rPr>
        <w:t>e the</w:t>
      </w:r>
      <w:r w:rsidRPr="00097548">
        <w:rPr>
          <w:lang w:val="en-GB"/>
        </w:rPr>
        <w:t xml:space="preserve"> antimicrobials less effective. Multi-drug</w:t>
      </w:r>
      <w:r w:rsidR="00CE2168" w:rsidRPr="00097548">
        <w:rPr>
          <w:lang w:val="en-GB"/>
        </w:rPr>
        <w:t>-resistant</w:t>
      </w:r>
      <w:r w:rsidRPr="00097548">
        <w:rPr>
          <w:lang w:val="en-GB"/>
        </w:rPr>
        <w:t xml:space="preserve"> bacteria can spread rapidly in hospitals and residential or care homes</w:t>
      </w:r>
      <w:r w:rsidR="00D07B8C" w:rsidRPr="00097548">
        <w:rPr>
          <w:lang w:val="en-GB"/>
        </w:rPr>
        <w:t>. This</w:t>
      </w:r>
      <w:r w:rsidR="003D2B2A" w:rsidRPr="00097548">
        <w:rPr>
          <w:lang w:val="en-GB"/>
        </w:rPr>
        <w:t xml:space="preserve"> increase</w:t>
      </w:r>
      <w:r w:rsidR="00D07B8C" w:rsidRPr="00097548">
        <w:rPr>
          <w:lang w:val="en-GB"/>
        </w:rPr>
        <w:t>s</w:t>
      </w:r>
      <w:r w:rsidRPr="00097548">
        <w:rPr>
          <w:lang w:val="en-GB"/>
        </w:rPr>
        <w:t xml:space="preserve"> mortality and morbidity</w:t>
      </w:r>
      <w:r w:rsidR="00D07B8C" w:rsidRPr="00097548">
        <w:rPr>
          <w:lang w:val="en-GB"/>
        </w:rPr>
        <w:t xml:space="preserve"> when i</w:t>
      </w:r>
      <w:r w:rsidRPr="00097548">
        <w:rPr>
          <w:lang w:val="en-GB"/>
        </w:rPr>
        <w:t>nfections</w:t>
      </w:r>
      <w:r w:rsidR="003D2B2A" w:rsidRPr="00097548">
        <w:rPr>
          <w:lang w:val="en-GB"/>
        </w:rPr>
        <w:t xml:space="preserve"> </w:t>
      </w:r>
      <w:r w:rsidRPr="00097548">
        <w:rPr>
          <w:lang w:val="en-GB"/>
        </w:rPr>
        <w:t>can no longer be treated effectively</w:t>
      </w:r>
      <w:r w:rsidR="00D07B8C" w:rsidRPr="00097548">
        <w:rPr>
          <w:lang w:val="en-GB"/>
        </w:rPr>
        <w:t>,</w:t>
      </w:r>
      <w:r w:rsidR="003D2B2A" w:rsidRPr="00097548">
        <w:rPr>
          <w:lang w:val="en-GB"/>
        </w:rPr>
        <w:t xml:space="preserve"> and</w:t>
      </w:r>
      <w:r w:rsidR="00D07B8C" w:rsidRPr="00097548">
        <w:rPr>
          <w:lang w:val="en-GB"/>
        </w:rPr>
        <w:t xml:space="preserve"> when</w:t>
      </w:r>
      <w:r w:rsidRPr="00097548">
        <w:rPr>
          <w:lang w:val="en-GB"/>
        </w:rPr>
        <w:t xml:space="preserve"> life-saving procedures</w:t>
      </w:r>
      <w:r w:rsidR="006C6C78" w:rsidRPr="00097548">
        <w:rPr>
          <w:lang w:val="en-GB"/>
        </w:rPr>
        <w:t>,</w:t>
      </w:r>
      <w:r w:rsidRPr="00097548">
        <w:rPr>
          <w:lang w:val="en-GB"/>
        </w:rPr>
        <w:t xml:space="preserve"> </w:t>
      </w:r>
      <w:r w:rsidR="001A5137" w:rsidRPr="00097548">
        <w:rPr>
          <w:lang w:val="en-GB"/>
        </w:rPr>
        <w:t xml:space="preserve">such as chemotherapy or organ transplantation </w:t>
      </w:r>
      <w:r w:rsidRPr="00097548">
        <w:rPr>
          <w:lang w:val="en-GB"/>
        </w:rPr>
        <w:t xml:space="preserve">that </w:t>
      </w:r>
      <w:r w:rsidR="00242D20" w:rsidRPr="00097548">
        <w:rPr>
          <w:lang w:val="en-GB"/>
        </w:rPr>
        <w:t>rely on</w:t>
      </w:r>
      <w:r w:rsidRPr="00097548">
        <w:rPr>
          <w:lang w:val="en-GB"/>
        </w:rPr>
        <w:t xml:space="preserve"> antimicrobials to prevent </w:t>
      </w:r>
      <w:r w:rsidR="00242D20" w:rsidRPr="00097548">
        <w:rPr>
          <w:lang w:val="en-GB"/>
        </w:rPr>
        <w:t xml:space="preserve">and treat </w:t>
      </w:r>
      <w:r w:rsidRPr="00097548">
        <w:rPr>
          <w:lang w:val="en-GB"/>
        </w:rPr>
        <w:t xml:space="preserve">infections, </w:t>
      </w:r>
      <w:r w:rsidR="00E8627E" w:rsidRPr="00097548">
        <w:rPr>
          <w:lang w:val="en-GB"/>
        </w:rPr>
        <w:t xml:space="preserve">cannot be </w:t>
      </w:r>
      <w:r w:rsidR="00D07B8C" w:rsidRPr="00097548">
        <w:rPr>
          <w:lang w:val="en-GB"/>
        </w:rPr>
        <w:t xml:space="preserve">done </w:t>
      </w:r>
      <w:r w:rsidR="00DB4F98" w:rsidRPr="00097548">
        <w:rPr>
          <w:lang w:val="en-GB"/>
        </w:rPr>
        <w:t xml:space="preserve">in </w:t>
      </w:r>
      <w:r w:rsidR="00D07B8C" w:rsidRPr="00097548">
        <w:rPr>
          <w:lang w:val="en-GB"/>
        </w:rPr>
        <w:t xml:space="preserve">people colonised with </w:t>
      </w:r>
      <w:r w:rsidR="00AA05BE" w:rsidRPr="00097548">
        <w:rPr>
          <w:lang w:val="en-GB"/>
        </w:rPr>
        <w:t>multi-</w:t>
      </w:r>
      <w:r w:rsidR="00D07B8C" w:rsidRPr="00097548">
        <w:rPr>
          <w:lang w:val="en-GB"/>
        </w:rPr>
        <w:t>drug-resistant bacteria</w:t>
      </w:r>
      <w:r w:rsidRPr="00097548">
        <w:rPr>
          <w:lang w:val="en-GB"/>
        </w:rPr>
        <w:t xml:space="preserve">. </w:t>
      </w:r>
      <w:r w:rsidR="00B46561" w:rsidRPr="00097548">
        <w:rPr>
          <w:lang w:val="en-GB"/>
        </w:rPr>
        <w:t xml:space="preserve">Although drugs </w:t>
      </w:r>
      <w:r w:rsidRPr="00097548">
        <w:rPr>
          <w:lang w:val="en-GB"/>
        </w:rPr>
        <w:t xml:space="preserve">in the carbapenem class </w:t>
      </w:r>
      <w:r w:rsidR="00485EFD">
        <w:rPr>
          <w:lang w:val="en-GB"/>
        </w:rPr>
        <w:t xml:space="preserve">have </w:t>
      </w:r>
      <w:r w:rsidR="00DB4F98" w:rsidRPr="00097548">
        <w:rPr>
          <w:lang w:val="en-GB"/>
        </w:rPr>
        <w:t xml:space="preserve">historically </w:t>
      </w:r>
      <w:r w:rsidR="008864CF" w:rsidRPr="00097548">
        <w:rPr>
          <w:lang w:val="en-GB"/>
        </w:rPr>
        <w:t xml:space="preserve">been </w:t>
      </w:r>
      <w:r w:rsidRPr="00097548">
        <w:rPr>
          <w:lang w:val="en-GB"/>
        </w:rPr>
        <w:t xml:space="preserve">reliably </w:t>
      </w:r>
      <w:r w:rsidR="008864CF" w:rsidRPr="00097548">
        <w:rPr>
          <w:lang w:val="en-GB"/>
        </w:rPr>
        <w:t xml:space="preserve">active against most common </w:t>
      </w:r>
      <w:r w:rsidR="000B134D" w:rsidRPr="00097548">
        <w:rPr>
          <w:lang w:val="en-GB"/>
        </w:rPr>
        <w:t>g</w:t>
      </w:r>
      <w:r w:rsidR="008864CF" w:rsidRPr="00097548">
        <w:rPr>
          <w:lang w:val="en-GB"/>
        </w:rPr>
        <w:t xml:space="preserve">ram-negative </w:t>
      </w:r>
      <w:r w:rsidRPr="00097548">
        <w:rPr>
          <w:lang w:val="en-GB"/>
        </w:rPr>
        <w:t>bacterial infections</w:t>
      </w:r>
      <w:r w:rsidR="001A5137" w:rsidRPr="00097548">
        <w:rPr>
          <w:lang w:val="en-GB"/>
        </w:rPr>
        <w:t>,</w:t>
      </w:r>
      <w:r w:rsidRPr="00097548">
        <w:rPr>
          <w:lang w:val="en-GB"/>
        </w:rPr>
        <w:t xml:space="preserve"> </w:t>
      </w:r>
      <w:r w:rsidR="003D2B2A" w:rsidRPr="00097548">
        <w:rPr>
          <w:lang w:val="en-GB"/>
        </w:rPr>
        <w:t>resistance to carbapenems is</w:t>
      </w:r>
      <w:r w:rsidR="008864CF" w:rsidRPr="00097548">
        <w:rPr>
          <w:lang w:val="en-GB"/>
        </w:rPr>
        <w:t xml:space="preserve"> </w:t>
      </w:r>
      <w:r w:rsidR="008864CF" w:rsidRPr="00097548">
        <w:rPr>
          <w:lang w:val="en-GB"/>
        </w:rPr>
        <w:lastRenderedPageBreak/>
        <w:t>now</w:t>
      </w:r>
      <w:r w:rsidR="003D2B2A" w:rsidRPr="00097548">
        <w:rPr>
          <w:lang w:val="en-GB"/>
        </w:rPr>
        <w:t xml:space="preserve"> increasing</w:t>
      </w:r>
      <w:r w:rsidRPr="00097548">
        <w:rPr>
          <w:lang w:val="en-GB"/>
        </w:rPr>
        <w:t xml:space="preserve">. This </w:t>
      </w:r>
      <w:r w:rsidR="001A5137" w:rsidRPr="00097548">
        <w:rPr>
          <w:lang w:val="en-GB"/>
        </w:rPr>
        <w:t>results in</w:t>
      </w:r>
      <w:r w:rsidRPr="00097548">
        <w:rPr>
          <w:lang w:val="en-GB"/>
        </w:rPr>
        <w:t xml:space="preserve"> few</w:t>
      </w:r>
      <w:r w:rsidR="001A5137" w:rsidRPr="00097548">
        <w:rPr>
          <w:lang w:val="en-GB"/>
        </w:rPr>
        <w:t>er</w:t>
      </w:r>
      <w:r w:rsidRPr="00097548">
        <w:rPr>
          <w:lang w:val="en-GB"/>
        </w:rPr>
        <w:t xml:space="preserve"> treatment options. </w:t>
      </w:r>
      <w:bookmarkStart w:id="6" w:name="_Hlk95993301"/>
      <w:r w:rsidR="00D5639D" w:rsidRPr="00097548">
        <w:rPr>
          <w:lang w:val="en-GB"/>
        </w:rPr>
        <w:t>C</w:t>
      </w:r>
      <w:r w:rsidRPr="00097548">
        <w:rPr>
          <w:lang w:val="en-GB"/>
        </w:rPr>
        <w:t>arbapenem resistance</w:t>
      </w:r>
      <w:r w:rsidR="00D5639D" w:rsidRPr="00097548">
        <w:rPr>
          <w:lang w:val="en-GB"/>
        </w:rPr>
        <w:t xml:space="preserve"> is classified based on </w:t>
      </w:r>
      <w:proofErr w:type="gramStart"/>
      <w:r w:rsidR="00D5639D" w:rsidRPr="00097548">
        <w:rPr>
          <w:lang w:val="en-GB"/>
        </w:rPr>
        <w:t>whether or not</w:t>
      </w:r>
      <w:proofErr w:type="gramEnd"/>
      <w:r w:rsidR="00D5639D" w:rsidRPr="00097548">
        <w:rPr>
          <w:lang w:val="en-GB"/>
        </w:rPr>
        <w:t xml:space="preserve"> the bacteria produce </w:t>
      </w:r>
      <w:proofErr w:type="spellStart"/>
      <w:r w:rsidR="00D5639D" w:rsidRPr="00097548">
        <w:rPr>
          <w:lang w:val="en-GB"/>
        </w:rPr>
        <w:t>carbapenemase</w:t>
      </w:r>
      <w:proofErr w:type="spellEnd"/>
      <w:r w:rsidR="00AA05BE" w:rsidRPr="00097548">
        <w:rPr>
          <w:lang w:val="en-GB"/>
        </w:rPr>
        <w:t xml:space="preserve"> enzymes</w:t>
      </w:r>
      <w:r w:rsidR="00D5639D" w:rsidRPr="00097548">
        <w:rPr>
          <w:lang w:val="en-GB"/>
        </w:rPr>
        <w:t>, which hydrolyse carbapenem antimicrobials</w:t>
      </w:r>
      <w:r w:rsidR="00A6421E" w:rsidRPr="00097548">
        <w:rPr>
          <w:lang w:val="en-GB"/>
        </w:rPr>
        <w:t>,</w:t>
      </w:r>
      <w:r w:rsidR="00D5639D" w:rsidRPr="00097548">
        <w:rPr>
          <w:lang w:val="en-GB"/>
        </w:rPr>
        <w:t xml:space="preserve"> and </w:t>
      </w:r>
      <w:r w:rsidR="00BD3512" w:rsidRPr="00097548">
        <w:rPr>
          <w:lang w:val="en-GB"/>
        </w:rPr>
        <w:t xml:space="preserve">make </w:t>
      </w:r>
      <w:r w:rsidR="00D5639D" w:rsidRPr="00097548">
        <w:rPr>
          <w:lang w:val="en-GB"/>
        </w:rPr>
        <w:t xml:space="preserve">them ineffective. </w:t>
      </w:r>
      <w:r w:rsidR="005E36D6" w:rsidRPr="00097548">
        <w:rPr>
          <w:lang w:val="en-GB"/>
        </w:rPr>
        <w:t xml:space="preserve">There are </w:t>
      </w:r>
      <w:r w:rsidR="00BD3512" w:rsidRPr="00097548">
        <w:rPr>
          <w:lang w:val="en-GB"/>
        </w:rPr>
        <w:t xml:space="preserve">several </w:t>
      </w:r>
      <w:r w:rsidR="005E36D6" w:rsidRPr="00097548">
        <w:rPr>
          <w:lang w:val="en-GB"/>
        </w:rPr>
        <w:t>treatment</w:t>
      </w:r>
      <w:r w:rsidR="00BD3512" w:rsidRPr="00097548">
        <w:rPr>
          <w:lang w:val="en-GB"/>
        </w:rPr>
        <w:t>s</w:t>
      </w:r>
      <w:r w:rsidR="005E36D6" w:rsidRPr="00097548">
        <w:rPr>
          <w:lang w:val="en-GB"/>
        </w:rPr>
        <w:t xml:space="preserve"> for infections </w:t>
      </w:r>
      <w:r w:rsidR="00DE7240" w:rsidRPr="00097548">
        <w:rPr>
          <w:lang w:val="en-GB"/>
        </w:rPr>
        <w:t xml:space="preserve">with </w:t>
      </w:r>
      <w:r w:rsidR="005E36D6" w:rsidRPr="00097548">
        <w:rPr>
          <w:lang w:val="en-GB"/>
        </w:rPr>
        <w:t>non-</w:t>
      </w:r>
      <w:proofErr w:type="spellStart"/>
      <w:r w:rsidR="005E36D6" w:rsidRPr="00097548">
        <w:rPr>
          <w:lang w:val="en-GB"/>
        </w:rPr>
        <w:t>carbapenemase</w:t>
      </w:r>
      <w:proofErr w:type="spellEnd"/>
      <w:r w:rsidR="005E36D6" w:rsidRPr="00097548">
        <w:rPr>
          <w:lang w:val="en-GB"/>
        </w:rPr>
        <w:t xml:space="preserve"> resistance mechanisms</w:t>
      </w:r>
      <w:r w:rsidR="00BD3512" w:rsidRPr="00097548">
        <w:rPr>
          <w:lang w:val="en-GB"/>
        </w:rPr>
        <w:t>,</w:t>
      </w:r>
      <w:r w:rsidR="00E8627E" w:rsidRPr="00097548">
        <w:rPr>
          <w:lang w:val="en-GB"/>
        </w:rPr>
        <w:t xml:space="preserve"> but </w:t>
      </w:r>
      <w:r w:rsidR="00BD3512" w:rsidRPr="00097548">
        <w:rPr>
          <w:lang w:val="en-GB"/>
        </w:rPr>
        <w:t xml:space="preserve">limited treatment options </w:t>
      </w:r>
      <w:r w:rsidR="00E8627E" w:rsidRPr="00097548">
        <w:rPr>
          <w:lang w:val="en-GB"/>
        </w:rPr>
        <w:t>f</w:t>
      </w:r>
      <w:r w:rsidRPr="00097548">
        <w:rPr>
          <w:lang w:val="en-GB"/>
        </w:rPr>
        <w:t xml:space="preserve">or </w:t>
      </w:r>
      <w:proofErr w:type="spellStart"/>
      <w:r w:rsidRPr="00097548">
        <w:rPr>
          <w:lang w:val="en-GB"/>
        </w:rPr>
        <w:t>carbapenemase</w:t>
      </w:r>
      <w:proofErr w:type="spellEnd"/>
      <w:r w:rsidRPr="00097548">
        <w:rPr>
          <w:lang w:val="en-GB"/>
        </w:rPr>
        <w:t>-mediated resistance</w:t>
      </w:r>
      <w:bookmarkEnd w:id="6"/>
      <w:r w:rsidRPr="00097548">
        <w:rPr>
          <w:lang w:val="en-GB"/>
        </w:rPr>
        <w:t xml:space="preserve">. </w:t>
      </w:r>
      <w:proofErr w:type="spellStart"/>
      <w:r w:rsidRPr="00097548">
        <w:rPr>
          <w:lang w:val="en-GB"/>
        </w:rPr>
        <w:t>Carbapenemase</w:t>
      </w:r>
      <w:proofErr w:type="spellEnd"/>
      <w:r w:rsidRPr="00097548">
        <w:rPr>
          <w:lang w:val="en-GB"/>
        </w:rPr>
        <w:t xml:space="preserve"> enzymes </w:t>
      </w:r>
      <w:r w:rsidR="00AA05BE" w:rsidRPr="00097548">
        <w:rPr>
          <w:lang w:val="en-GB"/>
        </w:rPr>
        <w:t xml:space="preserve">are grouped into </w:t>
      </w:r>
      <w:r w:rsidRPr="00097548">
        <w:rPr>
          <w:lang w:val="en-GB"/>
        </w:rPr>
        <w:t>2 main classes: serine</w:t>
      </w:r>
      <w:r w:rsidR="005F65C6" w:rsidRPr="00097548">
        <w:rPr>
          <w:lang w:val="en-GB"/>
        </w:rPr>
        <w:t xml:space="preserve"> </w:t>
      </w:r>
      <w:proofErr w:type="spellStart"/>
      <w:r w:rsidRPr="00097548">
        <w:rPr>
          <w:lang w:val="en-GB"/>
        </w:rPr>
        <w:t>carbapenemases</w:t>
      </w:r>
      <w:proofErr w:type="spellEnd"/>
      <w:r w:rsidRPr="00097548">
        <w:rPr>
          <w:lang w:val="en-GB"/>
        </w:rPr>
        <w:t xml:space="preserve"> and </w:t>
      </w:r>
      <w:proofErr w:type="spellStart"/>
      <w:r w:rsidRPr="00097548">
        <w:rPr>
          <w:lang w:val="en-GB"/>
        </w:rPr>
        <w:t>metallo</w:t>
      </w:r>
      <w:proofErr w:type="spellEnd"/>
      <w:r w:rsidRPr="00097548">
        <w:rPr>
          <w:lang w:val="en-GB"/>
        </w:rPr>
        <w:t>-beta-lactamases</w:t>
      </w:r>
      <w:r w:rsidR="007134E7" w:rsidRPr="00097548">
        <w:rPr>
          <w:lang w:val="en-GB"/>
        </w:rPr>
        <w:t xml:space="preserve"> (MBLs)</w:t>
      </w:r>
      <w:r w:rsidRPr="00097548">
        <w:rPr>
          <w:lang w:val="en-GB"/>
        </w:rPr>
        <w:t xml:space="preserve">. </w:t>
      </w:r>
      <w:proofErr w:type="spellStart"/>
      <w:r w:rsidR="005E36D6" w:rsidRPr="00097548">
        <w:rPr>
          <w:lang w:val="en-GB"/>
        </w:rPr>
        <w:t>Cefiderocol</w:t>
      </w:r>
      <w:proofErr w:type="spellEnd"/>
      <w:r w:rsidRPr="00097548">
        <w:rPr>
          <w:lang w:val="en-GB"/>
        </w:rPr>
        <w:t xml:space="preserve"> is active against </w:t>
      </w:r>
      <w:r w:rsidR="005E36D6" w:rsidRPr="00097548">
        <w:rPr>
          <w:lang w:val="en-GB"/>
        </w:rPr>
        <w:t xml:space="preserve">both classes of </w:t>
      </w:r>
      <w:proofErr w:type="spellStart"/>
      <w:r w:rsidR="005E36D6" w:rsidRPr="00097548">
        <w:rPr>
          <w:lang w:val="en-GB"/>
        </w:rPr>
        <w:t>carbapenemase</w:t>
      </w:r>
      <w:r w:rsidR="00F96117" w:rsidRPr="00097548">
        <w:rPr>
          <w:lang w:val="en-GB"/>
        </w:rPr>
        <w:t>s</w:t>
      </w:r>
      <w:proofErr w:type="spellEnd"/>
      <w:r w:rsidR="005E36D6" w:rsidRPr="00097548">
        <w:rPr>
          <w:lang w:val="en-GB"/>
        </w:rPr>
        <w:t xml:space="preserve"> in </w:t>
      </w:r>
      <w:r w:rsidR="000B134D" w:rsidRPr="00097548">
        <w:rPr>
          <w:lang w:val="en-GB"/>
        </w:rPr>
        <w:t>g</w:t>
      </w:r>
      <w:r w:rsidR="005E36D6" w:rsidRPr="00097548">
        <w:rPr>
          <w:lang w:val="en-GB"/>
        </w:rPr>
        <w:t>ram</w:t>
      </w:r>
      <w:r w:rsidR="008E21BE" w:rsidRPr="00097548">
        <w:rPr>
          <w:lang w:val="en-GB"/>
        </w:rPr>
        <w:t>-</w:t>
      </w:r>
      <w:r w:rsidR="005E36D6" w:rsidRPr="00097548">
        <w:rPr>
          <w:lang w:val="en-GB"/>
        </w:rPr>
        <w:t>negative bacteria</w:t>
      </w:r>
      <w:r w:rsidRPr="00097548">
        <w:rPr>
          <w:lang w:val="en-GB"/>
        </w:rPr>
        <w:t>. The main serine</w:t>
      </w:r>
      <w:r w:rsidR="00011D58" w:rsidRPr="00097548">
        <w:rPr>
          <w:lang w:val="en-GB"/>
        </w:rPr>
        <w:t xml:space="preserve"> </w:t>
      </w:r>
      <w:proofErr w:type="spellStart"/>
      <w:r w:rsidRPr="00097548">
        <w:rPr>
          <w:lang w:val="en-GB"/>
        </w:rPr>
        <w:t>carbapenemases</w:t>
      </w:r>
      <w:proofErr w:type="spellEnd"/>
      <w:r w:rsidRPr="00097548">
        <w:rPr>
          <w:lang w:val="en-GB"/>
        </w:rPr>
        <w:t xml:space="preserve"> in the UK are </w:t>
      </w:r>
      <w:r w:rsidRPr="00471717">
        <w:rPr>
          <w:bCs w:val="0"/>
          <w:i/>
          <w:lang w:val="en-GB"/>
        </w:rPr>
        <w:t>Klebsiella pneumoniae</w:t>
      </w:r>
      <w:r w:rsidRPr="00097548">
        <w:rPr>
          <w:lang w:val="en-GB"/>
        </w:rPr>
        <w:t xml:space="preserve"> </w:t>
      </w:r>
      <w:proofErr w:type="spellStart"/>
      <w:r w:rsidRPr="00097548">
        <w:rPr>
          <w:lang w:val="en-GB"/>
        </w:rPr>
        <w:t>carbapenemase</w:t>
      </w:r>
      <w:proofErr w:type="spellEnd"/>
      <w:r w:rsidRPr="00097548">
        <w:rPr>
          <w:lang w:val="en-GB"/>
        </w:rPr>
        <w:t xml:space="preserve"> and oxacillinases</w:t>
      </w:r>
      <w:r w:rsidR="001A5137" w:rsidRPr="00097548">
        <w:rPr>
          <w:lang w:val="en-GB"/>
        </w:rPr>
        <w:t xml:space="preserve">, </w:t>
      </w:r>
      <w:proofErr w:type="gramStart"/>
      <w:r w:rsidRPr="00097548">
        <w:rPr>
          <w:lang w:val="en-GB"/>
        </w:rPr>
        <w:t>in particular OXA-48</w:t>
      </w:r>
      <w:proofErr w:type="gramEnd"/>
      <w:r w:rsidRPr="00097548">
        <w:rPr>
          <w:lang w:val="en-GB"/>
        </w:rPr>
        <w:t xml:space="preserve">. </w:t>
      </w:r>
      <w:r w:rsidR="00F96117" w:rsidRPr="00097548">
        <w:rPr>
          <w:lang w:val="en-GB"/>
        </w:rPr>
        <w:t xml:space="preserve">The main </w:t>
      </w:r>
      <w:r w:rsidR="00B264D1" w:rsidRPr="00097548">
        <w:rPr>
          <w:lang w:val="en-GB"/>
        </w:rPr>
        <w:t>MBLs</w:t>
      </w:r>
      <w:r w:rsidR="00AA0DEF" w:rsidRPr="00097548">
        <w:rPr>
          <w:lang w:val="en-GB"/>
        </w:rPr>
        <w:t xml:space="preserve"> </w:t>
      </w:r>
      <w:r w:rsidR="00F96117" w:rsidRPr="00097548">
        <w:rPr>
          <w:lang w:val="en-GB"/>
        </w:rPr>
        <w:t>in the UK are New Delhi MBL</w:t>
      </w:r>
      <w:r w:rsidR="00855292" w:rsidRPr="00097548">
        <w:rPr>
          <w:lang w:val="en-GB"/>
        </w:rPr>
        <w:t xml:space="preserve"> (NDM)</w:t>
      </w:r>
      <w:r w:rsidR="00F96117" w:rsidRPr="00097548">
        <w:rPr>
          <w:lang w:val="en-GB"/>
        </w:rPr>
        <w:t>, Verona integrated-encoded MBL</w:t>
      </w:r>
      <w:r w:rsidR="00855292" w:rsidRPr="00097548">
        <w:rPr>
          <w:lang w:val="en-GB"/>
        </w:rPr>
        <w:t xml:space="preserve"> (VIM)</w:t>
      </w:r>
      <w:r w:rsidR="00F96117" w:rsidRPr="00097548">
        <w:rPr>
          <w:lang w:val="en-GB"/>
        </w:rPr>
        <w:t xml:space="preserve"> and </w:t>
      </w:r>
      <w:proofErr w:type="spellStart"/>
      <w:r w:rsidR="00F96117" w:rsidRPr="00097548">
        <w:rPr>
          <w:lang w:val="en-GB"/>
        </w:rPr>
        <w:t>imipenemase</w:t>
      </w:r>
      <w:proofErr w:type="spellEnd"/>
      <w:r w:rsidR="00855292" w:rsidRPr="00097548">
        <w:rPr>
          <w:lang w:val="en-GB"/>
        </w:rPr>
        <w:t xml:space="preserve"> (IMP)</w:t>
      </w:r>
      <w:r w:rsidRPr="00097548">
        <w:rPr>
          <w:lang w:val="en-GB"/>
        </w:rPr>
        <w:t>.</w:t>
      </w:r>
    </w:p>
    <w:p w14:paraId="15040FAC" w14:textId="5E740D98" w:rsidR="00242D20" w:rsidRPr="00097548" w:rsidRDefault="00051113" w:rsidP="00242D20">
      <w:pPr>
        <w:pStyle w:val="Heading3"/>
      </w:pPr>
      <w:r w:rsidRPr="00097548">
        <w:t>Multi-d</w:t>
      </w:r>
      <w:r w:rsidR="00242D20" w:rsidRPr="00097548">
        <w:t xml:space="preserve">rug-resistant infections </w:t>
      </w:r>
      <w:r w:rsidR="001A5137" w:rsidRPr="00097548">
        <w:t>reflect</w:t>
      </w:r>
      <w:r w:rsidR="00242D20" w:rsidRPr="00097548">
        <w:t xml:space="preserve"> an unmet need, and are a significant burden on patients and their families</w:t>
      </w:r>
    </w:p>
    <w:p w14:paraId="31073777" w14:textId="0D2A8A72" w:rsidR="00242D20" w:rsidRPr="00097548" w:rsidRDefault="00242D20" w:rsidP="00242D20">
      <w:pPr>
        <w:pStyle w:val="Numberedlevel2text"/>
        <w:numPr>
          <w:ilvl w:val="1"/>
          <w:numId w:val="1"/>
        </w:numPr>
        <w:rPr>
          <w:lang w:val="en-GB"/>
        </w:rPr>
      </w:pPr>
      <w:r w:rsidRPr="00097548">
        <w:rPr>
          <w:lang w:val="en-GB"/>
        </w:rPr>
        <w:t>The patient experts at the committee meeting explained that multi-drug-resistant infections are a potential ‘death sentence’, and people live with ‘feelings of fear and hopelessness’ knowing that the</w:t>
      </w:r>
      <w:r w:rsidR="006E287A" w:rsidRPr="00097548">
        <w:rPr>
          <w:lang w:val="en-GB"/>
        </w:rPr>
        <w:t>y</w:t>
      </w:r>
      <w:r w:rsidRPr="00097548">
        <w:rPr>
          <w:lang w:val="en-GB"/>
        </w:rPr>
        <w:t xml:space="preserve"> </w:t>
      </w:r>
      <w:r w:rsidR="006E287A" w:rsidRPr="00097548">
        <w:rPr>
          <w:lang w:val="en-GB"/>
        </w:rPr>
        <w:t xml:space="preserve">have </w:t>
      </w:r>
      <w:r w:rsidRPr="00097548">
        <w:rPr>
          <w:lang w:val="en-GB"/>
        </w:rPr>
        <w:t xml:space="preserve">limited treatment options. They highlighted the negative impact that infections have on people’s psychological wellbeing because they </w:t>
      </w:r>
      <w:r w:rsidR="001A5137" w:rsidRPr="00097548">
        <w:rPr>
          <w:lang w:val="en-GB"/>
        </w:rPr>
        <w:t xml:space="preserve">may be </w:t>
      </w:r>
      <w:r w:rsidRPr="00097548">
        <w:rPr>
          <w:lang w:val="en-GB"/>
        </w:rPr>
        <w:t>hospitalised in isolation. Multi-drug-resistant infections negatively impact carers and families who may provide financial support. The patient experts explained that there was a high unmet need, particularly for people who are immunosuppressed and likely to develop severe multi-drug-resistant infections. The</w:t>
      </w:r>
      <w:r w:rsidR="00150EEF">
        <w:rPr>
          <w:lang w:val="en-GB"/>
        </w:rPr>
        <w:t xml:space="preserve"> patient experts</w:t>
      </w:r>
      <w:r w:rsidRPr="00097548">
        <w:rPr>
          <w:lang w:val="en-GB"/>
        </w:rPr>
        <w:t xml:space="preserve"> </w:t>
      </w:r>
      <w:r w:rsidR="008864CF" w:rsidRPr="00097548">
        <w:rPr>
          <w:lang w:val="en-GB"/>
        </w:rPr>
        <w:t xml:space="preserve">emphasised </w:t>
      </w:r>
      <w:r w:rsidRPr="00097548">
        <w:rPr>
          <w:lang w:val="en-GB"/>
        </w:rPr>
        <w:t xml:space="preserve">that the </w:t>
      </w:r>
      <w:r w:rsidR="001A5137" w:rsidRPr="00097548">
        <w:rPr>
          <w:lang w:val="en-GB"/>
        </w:rPr>
        <w:t xml:space="preserve">adverse </w:t>
      </w:r>
      <w:r w:rsidR="008864CF" w:rsidRPr="00097548">
        <w:rPr>
          <w:lang w:val="en-GB"/>
        </w:rPr>
        <w:t>effects</w:t>
      </w:r>
      <w:r w:rsidRPr="00097548">
        <w:rPr>
          <w:lang w:val="en-GB"/>
        </w:rPr>
        <w:t xml:space="preserve"> of existing antimicrobials can significantly affect quality of life. The committee concluded that there was an unmet need, and </w:t>
      </w:r>
      <w:r w:rsidR="00150EEF">
        <w:rPr>
          <w:lang w:val="en-GB"/>
        </w:rPr>
        <w:t xml:space="preserve">that </w:t>
      </w:r>
      <w:r w:rsidRPr="00097548">
        <w:rPr>
          <w:lang w:val="en-GB"/>
        </w:rPr>
        <w:t>patients and their families would welcome new effective treatments with reduced toxicity.</w:t>
      </w:r>
    </w:p>
    <w:p w14:paraId="7498D7DC" w14:textId="10466F83" w:rsidR="00D05ED1" w:rsidRPr="00097548" w:rsidRDefault="00465A75" w:rsidP="00D05ED1">
      <w:pPr>
        <w:pStyle w:val="Heading3"/>
      </w:pPr>
      <w:r w:rsidRPr="00097548">
        <w:lastRenderedPageBreak/>
        <w:t>Antimicrobial resistance is a global challenge</w:t>
      </w:r>
      <w:r w:rsidR="00CD0DCD" w:rsidRPr="00097548">
        <w:t xml:space="preserve"> and there is an urgent need to invest </w:t>
      </w:r>
      <w:r w:rsidR="006E287A" w:rsidRPr="00097548">
        <w:t xml:space="preserve">in </w:t>
      </w:r>
      <w:r w:rsidR="00CD0DCD" w:rsidRPr="00097548">
        <w:t>new antimicrobials</w:t>
      </w:r>
    </w:p>
    <w:p w14:paraId="4BDE49AB" w14:textId="1C383800" w:rsidR="00FA73D8" w:rsidRPr="00097548" w:rsidRDefault="009A6D16" w:rsidP="009E6561">
      <w:pPr>
        <w:pStyle w:val="Numberedlevel2text"/>
        <w:numPr>
          <w:ilvl w:val="1"/>
          <w:numId w:val="1"/>
        </w:numPr>
        <w:rPr>
          <w:lang w:val="en-GB"/>
        </w:rPr>
      </w:pPr>
      <w:r w:rsidRPr="00097548">
        <w:rPr>
          <w:lang w:val="en-GB"/>
        </w:rPr>
        <w:t xml:space="preserve">Antimicrobial resistance </w:t>
      </w:r>
      <w:r w:rsidR="009E6561" w:rsidRPr="00097548">
        <w:rPr>
          <w:lang w:val="en-GB"/>
        </w:rPr>
        <w:t>is a major global health challenge.</w:t>
      </w:r>
      <w:r w:rsidR="009E6561" w:rsidRPr="00097548">
        <w:rPr>
          <w:rFonts w:ascii="Times New Roman" w:hAnsi="Times New Roman"/>
          <w:bCs w:val="0"/>
          <w:iCs w:val="0"/>
          <w:szCs w:val="24"/>
          <w:lang w:val="en-GB"/>
        </w:rPr>
        <w:t xml:space="preserve"> </w:t>
      </w:r>
      <w:r w:rsidR="009E6561" w:rsidRPr="00097548">
        <w:rPr>
          <w:lang w:val="en-GB"/>
        </w:rPr>
        <w:t>New antimicrobials, especially those active against multi-</w:t>
      </w:r>
      <w:r w:rsidR="00DC6842" w:rsidRPr="00097548">
        <w:rPr>
          <w:lang w:val="en-GB"/>
        </w:rPr>
        <w:t>drug-</w:t>
      </w:r>
      <w:r w:rsidR="009E6561" w:rsidRPr="00097548">
        <w:rPr>
          <w:lang w:val="en-GB"/>
        </w:rPr>
        <w:t xml:space="preserve">resistant pathogens, are subject to strict stewardship to slow </w:t>
      </w:r>
      <w:r w:rsidR="00AA4E5B" w:rsidRPr="00097548">
        <w:rPr>
          <w:lang w:val="en-GB"/>
        </w:rPr>
        <w:t xml:space="preserve">the development of </w:t>
      </w:r>
      <w:r w:rsidR="009E6561" w:rsidRPr="00097548">
        <w:rPr>
          <w:lang w:val="en-GB"/>
        </w:rPr>
        <w:t xml:space="preserve">resistance. NICE defines </w:t>
      </w:r>
      <w:r w:rsidR="006B1ACD">
        <w:rPr>
          <w:lang w:val="en-GB"/>
        </w:rPr>
        <w:t xml:space="preserve">antimicrobial </w:t>
      </w:r>
      <w:r w:rsidR="009E6561" w:rsidRPr="00097548">
        <w:rPr>
          <w:lang w:val="en-GB"/>
        </w:rPr>
        <w:t>stewardship as ‘an organisational or healthcare system-wide approach to promoting and monitoring judicious use of antimicrobials to preserve their future effectiveness.’</w:t>
      </w:r>
      <w:r w:rsidR="00773643" w:rsidRPr="00097548">
        <w:rPr>
          <w:lang w:val="en-GB"/>
        </w:rPr>
        <w:t xml:space="preserve"> </w:t>
      </w:r>
      <w:r w:rsidR="00242D20" w:rsidRPr="00097548">
        <w:rPr>
          <w:lang w:val="en-GB"/>
        </w:rPr>
        <w:t>For many antimicrobials, there are few replacements or alternative products in development</w:t>
      </w:r>
      <w:r w:rsidR="002F788C" w:rsidRPr="00097548">
        <w:rPr>
          <w:lang w:val="en-GB"/>
        </w:rPr>
        <w:t>,</w:t>
      </w:r>
      <w:r w:rsidR="00242D20" w:rsidRPr="00097548">
        <w:rPr>
          <w:lang w:val="en-GB"/>
        </w:rPr>
        <w:t xml:space="preserve"> and even fewer that target multi-drug-resistant pathogens. </w:t>
      </w:r>
      <w:r w:rsidR="0006631A" w:rsidRPr="00097548">
        <w:rPr>
          <w:lang w:val="en-GB"/>
        </w:rPr>
        <w:t xml:space="preserve">For many reasons, the pharmaceutical sector sees investment in novel antimicrobials as commercially unattractive. </w:t>
      </w:r>
      <w:r w:rsidR="00895451" w:rsidRPr="00097548">
        <w:rPr>
          <w:lang w:val="en-GB"/>
        </w:rPr>
        <w:t>C</w:t>
      </w:r>
      <w:r w:rsidR="00051D70" w:rsidRPr="00097548">
        <w:rPr>
          <w:lang w:val="en-GB"/>
        </w:rPr>
        <w:t xml:space="preserve">ompanies </w:t>
      </w:r>
      <w:r w:rsidR="009E6561" w:rsidRPr="00097548">
        <w:rPr>
          <w:lang w:val="en-GB"/>
        </w:rPr>
        <w:t xml:space="preserve">cite </w:t>
      </w:r>
      <w:r w:rsidR="006E287A" w:rsidRPr="00097548">
        <w:rPr>
          <w:lang w:val="en-GB"/>
        </w:rPr>
        <w:t xml:space="preserve">as problems the </w:t>
      </w:r>
      <w:r w:rsidR="009E6561" w:rsidRPr="00097548">
        <w:rPr>
          <w:lang w:val="en-GB"/>
        </w:rPr>
        <w:t>high costs of research and development</w:t>
      </w:r>
      <w:r w:rsidR="00242D20" w:rsidRPr="00097548">
        <w:rPr>
          <w:lang w:val="en-GB"/>
        </w:rPr>
        <w:t>, post-marketing surveillance</w:t>
      </w:r>
      <w:r w:rsidR="002F788C" w:rsidRPr="00097548">
        <w:rPr>
          <w:lang w:val="en-GB"/>
        </w:rPr>
        <w:t>,</w:t>
      </w:r>
      <w:r w:rsidR="00242D20" w:rsidRPr="00097548">
        <w:rPr>
          <w:lang w:val="en-GB"/>
        </w:rPr>
        <w:t xml:space="preserve"> and</w:t>
      </w:r>
      <w:r w:rsidR="0006631A" w:rsidRPr="00097548">
        <w:rPr>
          <w:lang w:val="en-GB"/>
        </w:rPr>
        <w:t xml:space="preserve"> the</w:t>
      </w:r>
      <w:r w:rsidR="00242D20" w:rsidRPr="00097548">
        <w:rPr>
          <w:lang w:val="en-GB"/>
        </w:rPr>
        <w:t xml:space="preserve"> logistics o</w:t>
      </w:r>
      <w:r w:rsidR="008864CF" w:rsidRPr="00097548">
        <w:rPr>
          <w:lang w:val="en-GB"/>
        </w:rPr>
        <w:t>f</w:t>
      </w:r>
      <w:r w:rsidR="00242D20" w:rsidRPr="00097548">
        <w:rPr>
          <w:lang w:val="en-GB"/>
        </w:rPr>
        <w:t xml:space="preserve"> maintaining supply chains</w:t>
      </w:r>
      <w:r w:rsidR="009E6561" w:rsidRPr="00097548">
        <w:rPr>
          <w:lang w:val="en-GB"/>
        </w:rPr>
        <w:t xml:space="preserve">. </w:t>
      </w:r>
      <w:r w:rsidR="00895451" w:rsidRPr="00097548">
        <w:rPr>
          <w:lang w:val="en-GB"/>
        </w:rPr>
        <w:t xml:space="preserve">It is difficult for companies to recover these costs because of the </w:t>
      </w:r>
      <w:r w:rsidR="006E287A" w:rsidRPr="00097548">
        <w:rPr>
          <w:lang w:val="en-GB"/>
        </w:rPr>
        <w:t xml:space="preserve">strict </w:t>
      </w:r>
      <w:r w:rsidR="006B1ACD">
        <w:rPr>
          <w:lang w:val="en-GB"/>
        </w:rPr>
        <w:t xml:space="preserve">antimicrobial </w:t>
      </w:r>
      <w:r w:rsidR="006E287A" w:rsidRPr="00097548">
        <w:rPr>
          <w:lang w:val="en-GB"/>
        </w:rPr>
        <w:t>stewardship</w:t>
      </w:r>
      <w:r w:rsidR="004B22D8" w:rsidRPr="00097548">
        <w:rPr>
          <w:lang w:val="en-GB"/>
        </w:rPr>
        <w:t>,</w:t>
      </w:r>
      <w:r w:rsidR="00895451" w:rsidRPr="00097548">
        <w:rPr>
          <w:lang w:val="en-GB"/>
        </w:rPr>
        <w:t xml:space="preserve"> coupled with </w:t>
      </w:r>
      <w:r w:rsidR="009E6561" w:rsidRPr="00097548">
        <w:rPr>
          <w:lang w:val="en-GB"/>
        </w:rPr>
        <w:t>a limited period of market exclusivity</w:t>
      </w:r>
      <w:r w:rsidR="00895451" w:rsidRPr="00097548">
        <w:rPr>
          <w:lang w:val="en-GB"/>
        </w:rPr>
        <w:t>,</w:t>
      </w:r>
      <w:r w:rsidR="009E6561" w:rsidRPr="00097548">
        <w:rPr>
          <w:lang w:val="en-GB"/>
        </w:rPr>
        <w:t xml:space="preserve"> during which </w:t>
      </w:r>
      <w:r w:rsidR="00597F5E" w:rsidRPr="00097548">
        <w:rPr>
          <w:lang w:val="en-GB"/>
        </w:rPr>
        <w:t xml:space="preserve">companies </w:t>
      </w:r>
      <w:r w:rsidR="008864CF" w:rsidRPr="00097548">
        <w:rPr>
          <w:lang w:val="en-GB"/>
        </w:rPr>
        <w:t xml:space="preserve">expect to </w:t>
      </w:r>
      <w:r w:rsidR="009E6561" w:rsidRPr="00097548">
        <w:rPr>
          <w:lang w:val="en-GB"/>
        </w:rPr>
        <w:t>generate</w:t>
      </w:r>
      <w:r w:rsidR="00150EEF">
        <w:rPr>
          <w:lang w:val="en-GB"/>
        </w:rPr>
        <w:t xml:space="preserve"> the</w:t>
      </w:r>
      <w:r w:rsidR="009E6561" w:rsidRPr="00097548">
        <w:rPr>
          <w:lang w:val="en-GB"/>
        </w:rPr>
        <w:t xml:space="preserve"> most revenue. </w:t>
      </w:r>
      <w:r w:rsidR="008C6AA3" w:rsidRPr="00097548">
        <w:rPr>
          <w:lang w:val="en-GB"/>
        </w:rPr>
        <w:t>When g</w:t>
      </w:r>
      <w:r w:rsidR="00242D20" w:rsidRPr="00097548">
        <w:rPr>
          <w:lang w:val="en-GB"/>
        </w:rPr>
        <w:t>eneric</w:t>
      </w:r>
      <w:r w:rsidR="00150EEF">
        <w:rPr>
          <w:lang w:val="en-GB"/>
        </w:rPr>
        <w:t xml:space="preserve"> antimicrobials</w:t>
      </w:r>
      <w:r w:rsidR="00242D20" w:rsidRPr="00097548">
        <w:rPr>
          <w:lang w:val="en-GB"/>
        </w:rPr>
        <w:t xml:space="preserve"> enter the market</w:t>
      </w:r>
      <w:r w:rsidR="008C6AA3" w:rsidRPr="00097548">
        <w:rPr>
          <w:lang w:val="en-GB"/>
        </w:rPr>
        <w:t xml:space="preserve"> </w:t>
      </w:r>
      <w:r w:rsidR="00B3625A" w:rsidRPr="00097548">
        <w:rPr>
          <w:lang w:val="en-GB"/>
        </w:rPr>
        <w:t>at</w:t>
      </w:r>
      <w:r w:rsidR="008C6AA3" w:rsidRPr="00097548">
        <w:rPr>
          <w:lang w:val="en-GB"/>
        </w:rPr>
        <w:t xml:space="preserve"> a lower price</w:t>
      </w:r>
      <w:r w:rsidR="00242D20" w:rsidRPr="00097548">
        <w:rPr>
          <w:lang w:val="en-GB"/>
        </w:rPr>
        <w:t xml:space="preserve">, </w:t>
      </w:r>
      <w:r w:rsidR="008C6AA3" w:rsidRPr="00097548">
        <w:rPr>
          <w:lang w:val="en-GB"/>
        </w:rPr>
        <w:t xml:space="preserve">this </w:t>
      </w:r>
      <w:r w:rsidR="00242D20" w:rsidRPr="00097548">
        <w:rPr>
          <w:lang w:val="en-GB"/>
        </w:rPr>
        <w:t>usually results in a substantial drop in sales of the original product</w:t>
      </w:r>
      <w:r w:rsidR="009E6561" w:rsidRPr="00097548">
        <w:rPr>
          <w:lang w:val="en-GB"/>
        </w:rPr>
        <w:t xml:space="preserve">. Sales of new antimicrobials may be low if </w:t>
      </w:r>
      <w:r w:rsidR="00E46ED5" w:rsidRPr="00097548">
        <w:rPr>
          <w:lang w:val="en-GB"/>
        </w:rPr>
        <w:t xml:space="preserve">there are few outbreaks of drug-resistant infections </w:t>
      </w:r>
      <w:r w:rsidR="009E6561" w:rsidRPr="00097548">
        <w:rPr>
          <w:lang w:val="en-GB"/>
        </w:rPr>
        <w:t xml:space="preserve">during the period of market exclusivity. New </w:t>
      </w:r>
      <w:r w:rsidR="00E46ED5" w:rsidRPr="00097548">
        <w:rPr>
          <w:lang w:val="en-GB"/>
        </w:rPr>
        <w:t xml:space="preserve">antimicrobials </w:t>
      </w:r>
      <w:r w:rsidR="009E6561" w:rsidRPr="00097548">
        <w:rPr>
          <w:lang w:val="en-GB"/>
        </w:rPr>
        <w:t>have failed in the market. In 2020, only 4</w:t>
      </w:r>
      <w:r w:rsidR="0015775B" w:rsidRPr="00097548">
        <w:rPr>
          <w:lang w:val="en-GB"/>
        </w:rPr>
        <w:t xml:space="preserve">1 </w:t>
      </w:r>
      <w:r w:rsidR="009E6561" w:rsidRPr="00097548">
        <w:rPr>
          <w:lang w:val="en-GB"/>
        </w:rPr>
        <w:t>new antimicrobial</w:t>
      </w:r>
      <w:r w:rsidR="00E46ED5" w:rsidRPr="00097548">
        <w:rPr>
          <w:lang w:val="en-GB"/>
        </w:rPr>
        <w:t>s</w:t>
      </w:r>
      <w:r w:rsidR="009E6561" w:rsidRPr="00097548">
        <w:rPr>
          <w:lang w:val="en-GB"/>
        </w:rPr>
        <w:t xml:space="preserve"> were in phase 1 to 3 clinical trials, compared with some 1,800 immuno-oncology agents. </w:t>
      </w:r>
      <w:r w:rsidR="00AC2BFA" w:rsidRPr="00097548">
        <w:rPr>
          <w:lang w:val="en-GB"/>
        </w:rPr>
        <w:t>The committee concluded that t</w:t>
      </w:r>
      <w:r w:rsidR="009E6561" w:rsidRPr="00097548">
        <w:rPr>
          <w:lang w:val="en-GB"/>
        </w:rPr>
        <w:t>here is an urgent need to increase investment for new antimicrobials.</w:t>
      </w:r>
    </w:p>
    <w:p w14:paraId="6B2A3D72" w14:textId="1C3E47D1" w:rsidR="00FA73D8" w:rsidRPr="00097548" w:rsidRDefault="00FA73D8" w:rsidP="00FA73D8">
      <w:pPr>
        <w:pStyle w:val="Heading3"/>
      </w:pPr>
      <w:r w:rsidRPr="00097548">
        <w:t xml:space="preserve">A new approach to </w:t>
      </w:r>
      <w:r w:rsidR="00EE08AF" w:rsidRPr="00097548">
        <w:t>‘delinked’</w:t>
      </w:r>
      <w:r w:rsidRPr="00097548">
        <w:t xml:space="preserve"> </w:t>
      </w:r>
      <w:r w:rsidR="00EE08AF" w:rsidRPr="00097548">
        <w:t>reimbursement of</w:t>
      </w:r>
      <w:r w:rsidRPr="00097548">
        <w:t xml:space="preserve"> antimicrobials </w:t>
      </w:r>
      <w:r w:rsidR="00225539" w:rsidRPr="00097548">
        <w:t>involves</w:t>
      </w:r>
      <w:r w:rsidR="00EE08AF" w:rsidRPr="00097548">
        <w:t xml:space="preserve"> estimating </w:t>
      </w:r>
      <w:r w:rsidR="00586597" w:rsidRPr="00097548">
        <w:t>the population-level net benefit in quality</w:t>
      </w:r>
      <w:r w:rsidR="005F3ABF" w:rsidRPr="00097548">
        <w:t>-</w:t>
      </w:r>
      <w:r w:rsidR="00586597" w:rsidRPr="00097548">
        <w:t>adjusted life years</w:t>
      </w:r>
    </w:p>
    <w:p w14:paraId="59E0B505" w14:textId="778A8AAD" w:rsidR="00FC0998" w:rsidRPr="00097548" w:rsidRDefault="00C661EF" w:rsidP="007603EC">
      <w:pPr>
        <w:pStyle w:val="Numberedlevel2text"/>
        <w:numPr>
          <w:ilvl w:val="1"/>
          <w:numId w:val="1"/>
        </w:numPr>
        <w:rPr>
          <w:lang w:val="en-GB"/>
        </w:rPr>
      </w:pPr>
      <w:bookmarkStart w:id="7" w:name="_Hlk97819305"/>
      <w:r w:rsidRPr="00097548">
        <w:rPr>
          <w:rStyle w:val="Heading3Char"/>
          <w:rFonts w:cs="Times New Roman"/>
          <w:b w:val="0"/>
          <w:bCs/>
          <w:sz w:val="24"/>
          <w:szCs w:val="28"/>
          <w:lang w:val="en-GB"/>
        </w:rPr>
        <w:t xml:space="preserve">In 2018, EEPRU published a </w:t>
      </w:r>
      <w:hyperlink r:id="rId15" w:history="1">
        <w:r w:rsidRPr="00097548">
          <w:rPr>
            <w:rStyle w:val="Hyperlink"/>
            <w:lang w:val="en-GB"/>
          </w:rPr>
          <w:t>framework for value assessment of new antimicrobials</w:t>
        </w:r>
      </w:hyperlink>
      <w:r w:rsidRPr="00097548">
        <w:rPr>
          <w:rStyle w:val="Heading3Char"/>
          <w:rFonts w:cs="Times New Roman"/>
          <w:b w:val="0"/>
          <w:bCs/>
          <w:sz w:val="24"/>
          <w:szCs w:val="28"/>
          <w:lang w:val="en-GB"/>
        </w:rPr>
        <w:t xml:space="preserve">. In 2019, the UK agreed its 5-year action plan for antimicrobial resistance, in which it committed to testing a new way of reimbursing antimicrobials to incentivise research and development. </w:t>
      </w:r>
      <w:r w:rsidR="00461A6E" w:rsidRPr="00C661EF">
        <w:rPr>
          <w:lang w:val="en-GB"/>
        </w:rPr>
        <w:t xml:space="preserve">This evaluation </w:t>
      </w:r>
      <w:r w:rsidR="00461A6E">
        <w:rPr>
          <w:lang w:val="en-GB"/>
        </w:rPr>
        <w:t>was</w:t>
      </w:r>
      <w:r w:rsidR="00461A6E" w:rsidRPr="00C661EF">
        <w:rPr>
          <w:lang w:val="en-GB"/>
        </w:rPr>
        <w:t xml:space="preserve"> part of a project </w:t>
      </w:r>
      <w:r w:rsidR="00461A6E">
        <w:rPr>
          <w:lang w:val="en-GB"/>
        </w:rPr>
        <w:t xml:space="preserve">to test a </w:t>
      </w:r>
      <w:r w:rsidRPr="00097548">
        <w:rPr>
          <w:rStyle w:val="Heading3Char"/>
          <w:rFonts w:cs="Times New Roman"/>
          <w:b w:val="0"/>
          <w:bCs/>
          <w:sz w:val="24"/>
          <w:szCs w:val="28"/>
          <w:lang w:val="en-GB"/>
        </w:rPr>
        <w:t xml:space="preserve">new reimbursement model in </w:t>
      </w:r>
      <w:r w:rsidRPr="00097548">
        <w:rPr>
          <w:rStyle w:val="Heading3Char"/>
          <w:rFonts w:cs="Times New Roman"/>
          <w:b w:val="0"/>
          <w:bCs/>
          <w:sz w:val="24"/>
          <w:szCs w:val="28"/>
          <w:lang w:val="en-GB"/>
        </w:rPr>
        <w:lastRenderedPageBreak/>
        <w:t xml:space="preserve">which the payments made by the NHS to the company manufacturing the antimicrobial do not depend on the volume of drugs </w:t>
      </w:r>
      <w:r w:rsidR="004869E4">
        <w:rPr>
          <w:rStyle w:val="Heading3Char"/>
          <w:rFonts w:cs="Times New Roman"/>
          <w:b w:val="0"/>
          <w:bCs/>
          <w:sz w:val="24"/>
          <w:szCs w:val="28"/>
          <w:lang w:val="en-GB"/>
        </w:rPr>
        <w:t>supplied</w:t>
      </w:r>
      <w:r w:rsidR="004869E4" w:rsidRPr="00097548">
        <w:rPr>
          <w:rStyle w:val="Heading3Char"/>
          <w:rFonts w:cs="Times New Roman"/>
          <w:b w:val="0"/>
          <w:bCs/>
          <w:sz w:val="24"/>
          <w:szCs w:val="28"/>
          <w:lang w:val="en-GB"/>
        </w:rPr>
        <w:t xml:space="preserve"> </w:t>
      </w:r>
      <w:r w:rsidRPr="00097548">
        <w:rPr>
          <w:rStyle w:val="Heading3Char"/>
          <w:rFonts w:cs="Times New Roman"/>
          <w:b w:val="0"/>
          <w:bCs/>
          <w:sz w:val="24"/>
          <w:szCs w:val="28"/>
          <w:lang w:val="en-GB"/>
        </w:rPr>
        <w:t>(also referred as ‘delinked’ payment</w:t>
      </w:r>
      <w:r w:rsidR="00461A6E">
        <w:rPr>
          <w:rStyle w:val="Heading3Char"/>
          <w:rFonts w:cs="Times New Roman"/>
          <w:b w:val="0"/>
          <w:bCs/>
          <w:sz w:val="24"/>
          <w:szCs w:val="28"/>
          <w:lang w:val="en-GB"/>
        </w:rPr>
        <w:t xml:space="preserve"> or a subscription-based contract</w:t>
      </w:r>
      <w:r w:rsidRPr="00097548">
        <w:rPr>
          <w:rStyle w:val="Heading3Char"/>
          <w:rFonts w:cs="Times New Roman"/>
          <w:b w:val="0"/>
          <w:bCs/>
          <w:sz w:val="24"/>
          <w:szCs w:val="28"/>
          <w:lang w:val="en-GB"/>
        </w:rPr>
        <w:t xml:space="preserve">). Instead, the payments </w:t>
      </w:r>
      <w:r w:rsidR="00461A6E">
        <w:rPr>
          <w:rStyle w:val="Heading3Char"/>
          <w:rFonts w:cs="Times New Roman"/>
          <w:b w:val="0"/>
          <w:bCs/>
          <w:sz w:val="24"/>
          <w:szCs w:val="28"/>
          <w:lang w:val="en-GB"/>
        </w:rPr>
        <w:t xml:space="preserve">are </w:t>
      </w:r>
      <w:r w:rsidRPr="00097548">
        <w:rPr>
          <w:rStyle w:val="Heading3Char"/>
          <w:rFonts w:cs="Times New Roman"/>
          <w:b w:val="0"/>
          <w:bCs/>
          <w:sz w:val="24"/>
          <w:szCs w:val="28"/>
          <w:lang w:val="en-GB"/>
        </w:rPr>
        <w:t>based on the benefits that the antimicrobial offers to patients and to the NHS</w:t>
      </w:r>
      <w:r w:rsidR="00150EEF">
        <w:rPr>
          <w:rStyle w:val="Heading3Char"/>
          <w:rFonts w:cs="Times New Roman"/>
          <w:b w:val="0"/>
          <w:bCs/>
          <w:sz w:val="24"/>
          <w:szCs w:val="28"/>
          <w:lang w:val="en-GB"/>
        </w:rPr>
        <w:t xml:space="preserve"> over time</w:t>
      </w:r>
      <w:r w:rsidRPr="00097548">
        <w:rPr>
          <w:rStyle w:val="Heading3Char"/>
          <w:rFonts w:cs="Times New Roman"/>
          <w:b w:val="0"/>
          <w:bCs/>
          <w:sz w:val="24"/>
          <w:szCs w:val="28"/>
          <w:lang w:val="en-GB"/>
        </w:rPr>
        <w:t>, which this NICE evaluation estimate</w:t>
      </w:r>
      <w:r w:rsidR="00461A6E">
        <w:rPr>
          <w:rStyle w:val="Heading3Char"/>
          <w:rFonts w:cs="Times New Roman"/>
          <w:b w:val="0"/>
          <w:bCs/>
          <w:sz w:val="24"/>
          <w:szCs w:val="28"/>
          <w:lang w:val="en-GB"/>
        </w:rPr>
        <w:t>d (see section 4.25)</w:t>
      </w:r>
      <w:r w:rsidRPr="00097548">
        <w:rPr>
          <w:rStyle w:val="Heading3Char"/>
          <w:rFonts w:cs="Times New Roman"/>
          <w:b w:val="0"/>
          <w:bCs/>
          <w:sz w:val="24"/>
          <w:szCs w:val="28"/>
          <w:lang w:val="en-GB"/>
        </w:rPr>
        <w:t xml:space="preserve">. </w:t>
      </w:r>
      <w:r w:rsidR="00461A6E">
        <w:rPr>
          <w:rStyle w:val="Heading3Char"/>
          <w:rFonts w:cs="Times New Roman"/>
          <w:b w:val="0"/>
          <w:bCs/>
          <w:sz w:val="24"/>
          <w:szCs w:val="28"/>
          <w:lang w:val="en-GB"/>
        </w:rPr>
        <w:t xml:space="preserve">This estimate informed </w:t>
      </w:r>
      <w:r w:rsidR="00461A6E" w:rsidRPr="004B49F9">
        <w:rPr>
          <w:lang w:val="en-GB"/>
        </w:rPr>
        <w:t xml:space="preserve">commercial discussions between NHS England and the company that manufactures </w:t>
      </w:r>
      <w:proofErr w:type="spellStart"/>
      <w:r w:rsidR="00461A6E">
        <w:rPr>
          <w:lang w:val="en-GB"/>
        </w:rPr>
        <w:t>cefiderocol</w:t>
      </w:r>
      <w:proofErr w:type="spellEnd"/>
      <w:r w:rsidR="00461A6E">
        <w:rPr>
          <w:lang w:val="en-GB"/>
        </w:rPr>
        <w:t>.</w:t>
      </w:r>
      <w:r w:rsidR="00461A6E" w:rsidRPr="00C661EF">
        <w:rPr>
          <w:rStyle w:val="Heading3Char"/>
          <w:rFonts w:cs="Times New Roman"/>
          <w:b w:val="0"/>
          <w:bCs/>
          <w:sz w:val="24"/>
          <w:szCs w:val="28"/>
          <w:lang w:val="en-GB"/>
        </w:rPr>
        <w:t xml:space="preserve"> </w:t>
      </w:r>
      <w:r w:rsidRPr="00097548">
        <w:rPr>
          <w:rStyle w:val="Heading3Char"/>
          <w:rFonts w:cs="Times New Roman"/>
          <w:b w:val="0"/>
          <w:bCs/>
          <w:sz w:val="24"/>
          <w:szCs w:val="28"/>
          <w:lang w:val="en-GB"/>
        </w:rPr>
        <w:t>The subscription-based contract</w:t>
      </w:r>
      <w:r w:rsidR="00461A6E" w:rsidRPr="00461A6E">
        <w:rPr>
          <w:b/>
          <w:bCs w:val="0"/>
          <w:lang w:val="en-GB"/>
        </w:rPr>
        <w:t xml:space="preserve"> </w:t>
      </w:r>
      <w:r w:rsidR="00461A6E">
        <w:rPr>
          <w:rStyle w:val="Heading3Char"/>
          <w:rFonts w:cs="Times New Roman"/>
          <w:b w:val="0"/>
          <w:bCs/>
          <w:sz w:val="24"/>
          <w:szCs w:val="28"/>
          <w:lang w:val="en-GB"/>
        </w:rPr>
        <w:t>between the company and NHS England</w:t>
      </w:r>
      <w:r w:rsidRPr="00097548">
        <w:rPr>
          <w:rStyle w:val="Heading3Char"/>
          <w:rFonts w:cs="Times New Roman"/>
          <w:b w:val="0"/>
          <w:bCs/>
          <w:sz w:val="24"/>
          <w:szCs w:val="28"/>
          <w:lang w:val="en-GB"/>
        </w:rPr>
        <w:t xml:space="preserve"> will last for 3 years with an option to extend </w:t>
      </w:r>
      <w:r w:rsidR="00AD7E99" w:rsidRPr="00097548">
        <w:rPr>
          <w:rStyle w:val="Heading3Char"/>
          <w:rFonts w:cs="Times New Roman"/>
          <w:b w:val="0"/>
          <w:bCs/>
          <w:sz w:val="24"/>
          <w:szCs w:val="28"/>
          <w:lang w:val="en-GB"/>
        </w:rPr>
        <w:t xml:space="preserve">it </w:t>
      </w:r>
      <w:r w:rsidRPr="00097548">
        <w:rPr>
          <w:rStyle w:val="Heading3Char"/>
          <w:rFonts w:cs="Times New Roman"/>
          <w:b w:val="0"/>
          <w:bCs/>
          <w:sz w:val="24"/>
          <w:szCs w:val="28"/>
          <w:lang w:val="en-GB"/>
        </w:rPr>
        <w:t>up to 10 years.</w:t>
      </w:r>
      <w:bookmarkEnd w:id="7"/>
      <w:r w:rsidRPr="00097548">
        <w:rPr>
          <w:rStyle w:val="Heading3Char"/>
          <w:rFonts w:cs="Times New Roman"/>
          <w:b w:val="0"/>
          <w:bCs/>
          <w:sz w:val="24"/>
          <w:szCs w:val="28"/>
          <w:lang w:val="en-GB"/>
        </w:rPr>
        <w:t xml:space="preserve"> </w:t>
      </w:r>
      <w:r w:rsidR="009E6561" w:rsidRPr="00097548">
        <w:rPr>
          <w:rStyle w:val="Heading3Char"/>
          <w:rFonts w:cs="Times New Roman"/>
          <w:b w:val="0"/>
          <w:bCs/>
          <w:sz w:val="24"/>
          <w:szCs w:val="28"/>
          <w:lang w:val="en-GB"/>
        </w:rPr>
        <w:t>The committee</w:t>
      </w:r>
      <w:r w:rsidR="004A61AC" w:rsidRPr="00097548">
        <w:rPr>
          <w:rStyle w:val="Heading3Char"/>
          <w:rFonts w:cs="Times New Roman"/>
          <w:b w:val="0"/>
          <w:bCs/>
          <w:sz w:val="24"/>
          <w:szCs w:val="28"/>
          <w:lang w:val="en-GB"/>
        </w:rPr>
        <w:t xml:space="preserve">’s first objective </w:t>
      </w:r>
      <w:r w:rsidR="009E6561" w:rsidRPr="00097548">
        <w:rPr>
          <w:rStyle w:val="Heading3Char"/>
          <w:rFonts w:cs="Times New Roman"/>
          <w:b w:val="0"/>
          <w:bCs/>
          <w:sz w:val="24"/>
          <w:szCs w:val="28"/>
          <w:lang w:val="en-GB"/>
        </w:rPr>
        <w:t xml:space="preserve">was to estimate the incremental population net health benefits of </w:t>
      </w:r>
      <w:proofErr w:type="spellStart"/>
      <w:r w:rsidR="00E8623A" w:rsidRPr="00097548">
        <w:rPr>
          <w:rStyle w:val="Heading3Char"/>
          <w:rFonts w:cs="Times New Roman"/>
          <w:b w:val="0"/>
          <w:bCs/>
          <w:sz w:val="24"/>
          <w:szCs w:val="28"/>
          <w:lang w:val="en-GB"/>
        </w:rPr>
        <w:t>cefiderocol</w:t>
      </w:r>
      <w:proofErr w:type="spellEnd"/>
      <w:r w:rsidR="009E6561" w:rsidRPr="00097548">
        <w:rPr>
          <w:rStyle w:val="Heading3Char"/>
          <w:rFonts w:cs="Times New Roman"/>
          <w:b w:val="0"/>
          <w:bCs/>
          <w:sz w:val="24"/>
          <w:szCs w:val="28"/>
          <w:lang w:val="en-GB"/>
        </w:rPr>
        <w:t xml:space="preserve"> against the standard of care, as measured in </w:t>
      </w:r>
      <w:r w:rsidR="00733817" w:rsidRPr="00097548">
        <w:rPr>
          <w:rStyle w:val="Heading3Char"/>
          <w:rFonts w:cs="Times New Roman"/>
          <w:b w:val="0"/>
          <w:bCs/>
          <w:sz w:val="24"/>
          <w:szCs w:val="28"/>
          <w:lang w:val="en-GB"/>
        </w:rPr>
        <w:t>quality-adjusted life years (</w:t>
      </w:r>
      <w:r w:rsidR="009E6561" w:rsidRPr="00097548">
        <w:rPr>
          <w:rStyle w:val="Heading3Char"/>
          <w:rFonts w:cs="Times New Roman"/>
          <w:b w:val="0"/>
          <w:bCs/>
          <w:sz w:val="24"/>
          <w:szCs w:val="28"/>
          <w:lang w:val="en-GB"/>
        </w:rPr>
        <w:t>QALY</w:t>
      </w:r>
      <w:r w:rsidR="00AA0DEF" w:rsidRPr="00097548">
        <w:rPr>
          <w:rStyle w:val="Heading3Char"/>
          <w:rFonts w:cs="Times New Roman"/>
          <w:b w:val="0"/>
          <w:bCs/>
          <w:sz w:val="24"/>
          <w:szCs w:val="28"/>
          <w:lang w:val="en-GB"/>
        </w:rPr>
        <w:t>s</w:t>
      </w:r>
      <w:r w:rsidR="00733817" w:rsidRPr="00097548">
        <w:rPr>
          <w:rStyle w:val="Heading3Char"/>
          <w:rFonts w:cs="Times New Roman"/>
          <w:b w:val="0"/>
          <w:bCs/>
          <w:sz w:val="24"/>
          <w:szCs w:val="28"/>
          <w:lang w:val="en-GB"/>
        </w:rPr>
        <w:t>)</w:t>
      </w:r>
      <w:r w:rsidR="009E6561" w:rsidRPr="00097548">
        <w:rPr>
          <w:rStyle w:val="Heading3Char"/>
          <w:rFonts w:cs="Times New Roman"/>
          <w:b w:val="0"/>
          <w:bCs/>
          <w:sz w:val="24"/>
          <w:szCs w:val="28"/>
          <w:lang w:val="en-GB"/>
        </w:rPr>
        <w:t xml:space="preserve"> for the expected eligible population in England. </w:t>
      </w:r>
      <w:r w:rsidR="008864CF" w:rsidRPr="00097548">
        <w:rPr>
          <w:rStyle w:val="Heading3Char"/>
          <w:rFonts w:cs="Times New Roman"/>
          <w:b w:val="0"/>
          <w:bCs/>
          <w:sz w:val="24"/>
          <w:szCs w:val="28"/>
          <w:lang w:val="en-GB"/>
        </w:rPr>
        <w:t xml:space="preserve">This </w:t>
      </w:r>
      <w:r w:rsidR="004A61AC" w:rsidRPr="00097548">
        <w:rPr>
          <w:rStyle w:val="Heading3Char"/>
          <w:rFonts w:cs="Times New Roman"/>
          <w:b w:val="0"/>
          <w:bCs/>
          <w:sz w:val="24"/>
          <w:szCs w:val="28"/>
          <w:lang w:val="en-GB"/>
        </w:rPr>
        <w:t>estimate was based on a model developed by EEPRU</w:t>
      </w:r>
      <w:r w:rsidR="00B321CF" w:rsidRPr="00097548">
        <w:rPr>
          <w:rStyle w:val="Heading3Char"/>
          <w:rFonts w:cs="Times New Roman"/>
          <w:b w:val="0"/>
          <w:bCs/>
          <w:sz w:val="24"/>
          <w:szCs w:val="28"/>
          <w:lang w:val="en-GB"/>
        </w:rPr>
        <w:t xml:space="preserve"> using a 20-year time horizon (see </w:t>
      </w:r>
      <w:r w:rsidR="00AA0DEF" w:rsidRPr="00097548">
        <w:rPr>
          <w:rStyle w:val="Heading3Char"/>
          <w:rFonts w:cs="Times New Roman"/>
          <w:b w:val="0"/>
          <w:bCs/>
          <w:sz w:val="24"/>
          <w:szCs w:val="28"/>
          <w:lang w:val="en-GB"/>
        </w:rPr>
        <w:t xml:space="preserve">section </w:t>
      </w:r>
      <w:r w:rsidR="00C711BD">
        <w:rPr>
          <w:rStyle w:val="Heading3Char"/>
          <w:rFonts w:cs="Times New Roman"/>
          <w:b w:val="0"/>
          <w:bCs/>
          <w:sz w:val="24"/>
          <w:szCs w:val="28"/>
          <w:lang w:val="en-GB"/>
        </w:rPr>
        <w:t>4.9</w:t>
      </w:r>
      <w:r w:rsidR="00B321CF" w:rsidRPr="00097548">
        <w:rPr>
          <w:rStyle w:val="Heading3Char"/>
          <w:rFonts w:cs="Times New Roman"/>
          <w:b w:val="0"/>
          <w:bCs/>
          <w:sz w:val="24"/>
          <w:szCs w:val="28"/>
          <w:lang w:val="en-GB"/>
        </w:rPr>
        <w:t>)</w:t>
      </w:r>
      <w:r w:rsidR="00CC58BA" w:rsidRPr="00097548">
        <w:rPr>
          <w:rStyle w:val="Heading3Char"/>
          <w:rFonts w:cs="Times New Roman"/>
          <w:b w:val="0"/>
          <w:bCs/>
          <w:sz w:val="24"/>
          <w:szCs w:val="28"/>
          <w:lang w:val="en-GB"/>
        </w:rPr>
        <w:t>,</w:t>
      </w:r>
      <w:r w:rsidR="008C6AA3" w:rsidRPr="00097548">
        <w:rPr>
          <w:rStyle w:val="Heading3Char"/>
          <w:rFonts w:cs="Times New Roman"/>
          <w:b w:val="0"/>
          <w:bCs/>
          <w:sz w:val="24"/>
          <w:szCs w:val="28"/>
          <w:lang w:val="en-GB"/>
        </w:rPr>
        <w:t xml:space="preserve"> </w:t>
      </w:r>
      <w:r w:rsidR="000F6426" w:rsidRPr="00097548">
        <w:rPr>
          <w:rStyle w:val="Heading3Char"/>
          <w:rFonts w:cs="Times New Roman"/>
          <w:b w:val="0"/>
          <w:bCs/>
          <w:sz w:val="24"/>
          <w:szCs w:val="28"/>
          <w:lang w:val="en-GB"/>
        </w:rPr>
        <w:t>and additional evidence submitted by the company</w:t>
      </w:r>
      <w:r w:rsidR="00B321CF" w:rsidRPr="00097548">
        <w:rPr>
          <w:rStyle w:val="Heading3Char"/>
          <w:rFonts w:cs="Times New Roman"/>
          <w:b w:val="0"/>
          <w:bCs/>
          <w:sz w:val="24"/>
          <w:szCs w:val="28"/>
          <w:lang w:val="en-GB"/>
        </w:rPr>
        <w:t xml:space="preserve"> and</w:t>
      </w:r>
      <w:r w:rsidR="000F6426" w:rsidRPr="00097548">
        <w:rPr>
          <w:rStyle w:val="Heading3Char"/>
          <w:rFonts w:cs="Times New Roman"/>
          <w:b w:val="0"/>
          <w:bCs/>
          <w:sz w:val="24"/>
          <w:szCs w:val="28"/>
          <w:lang w:val="en-GB"/>
        </w:rPr>
        <w:t xml:space="preserve"> other stakeholders</w:t>
      </w:r>
      <w:r w:rsidR="004A61AC" w:rsidRPr="00097548">
        <w:rPr>
          <w:rStyle w:val="Heading3Char"/>
          <w:rFonts w:cs="Times New Roman"/>
          <w:b w:val="0"/>
          <w:bCs/>
          <w:sz w:val="24"/>
          <w:szCs w:val="28"/>
          <w:lang w:val="en-GB"/>
        </w:rPr>
        <w:t>. The committee’s second objective was to decide what proportion of the total incremental population net health benefit</w:t>
      </w:r>
      <w:r w:rsidR="008864CF" w:rsidRPr="00097548">
        <w:rPr>
          <w:rStyle w:val="Heading3Char"/>
          <w:rFonts w:cs="Times New Roman"/>
          <w:b w:val="0"/>
          <w:bCs/>
          <w:sz w:val="24"/>
          <w:szCs w:val="28"/>
          <w:lang w:val="en-GB"/>
        </w:rPr>
        <w:t>s</w:t>
      </w:r>
      <w:r w:rsidR="004A61AC" w:rsidRPr="00097548">
        <w:rPr>
          <w:rStyle w:val="Heading3Char"/>
          <w:rFonts w:cs="Times New Roman"/>
          <w:b w:val="0"/>
          <w:bCs/>
          <w:sz w:val="24"/>
          <w:szCs w:val="28"/>
          <w:lang w:val="en-GB"/>
        </w:rPr>
        <w:t xml:space="preserve"> </w:t>
      </w:r>
      <w:r w:rsidR="00AC2BFA" w:rsidRPr="00097548">
        <w:rPr>
          <w:rStyle w:val="Heading3Char"/>
          <w:rFonts w:cs="Times New Roman"/>
          <w:b w:val="0"/>
          <w:bCs/>
          <w:sz w:val="24"/>
          <w:szCs w:val="28"/>
          <w:lang w:val="en-GB"/>
        </w:rPr>
        <w:t xml:space="preserve">NHS England </w:t>
      </w:r>
      <w:r w:rsidR="004A61AC" w:rsidRPr="00097548">
        <w:rPr>
          <w:rStyle w:val="Heading3Char"/>
          <w:rFonts w:cs="Times New Roman"/>
          <w:b w:val="0"/>
          <w:bCs/>
          <w:sz w:val="24"/>
          <w:szCs w:val="28"/>
          <w:lang w:val="en-GB"/>
        </w:rPr>
        <w:t xml:space="preserve">should assign to </w:t>
      </w:r>
      <w:r w:rsidR="00EB2030">
        <w:rPr>
          <w:rStyle w:val="Heading3Char"/>
          <w:rFonts w:cs="Times New Roman"/>
          <w:b w:val="0"/>
          <w:bCs/>
          <w:sz w:val="24"/>
          <w:szCs w:val="28"/>
          <w:lang w:val="en-GB"/>
        </w:rPr>
        <w:t>a</w:t>
      </w:r>
      <w:r w:rsidR="004A61AC" w:rsidRPr="00097548">
        <w:rPr>
          <w:rStyle w:val="Heading3Char"/>
          <w:rFonts w:cs="Times New Roman"/>
          <w:b w:val="0"/>
          <w:bCs/>
          <w:sz w:val="24"/>
          <w:szCs w:val="28"/>
          <w:lang w:val="en-GB"/>
        </w:rPr>
        <w:t xml:space="preserve"> </w:t>
      </w:r>
      <w:proofErr w:type="gramStart"/>
      <w:r w:rsidR="00150EEF">
        <w:rPr>
          <w:rStyle w:val="Heading3Char"/>
          <w:rFonts w:cs="Times New Roman"/>
          <w:b w:val="0"/>
          <w:bCs/>
          <w:sz w:val="24"/>
          <w:szCs w:val="28"/>
          <w:lang w:val="en-GB"/>
        </w:rPr>
        <w:t>10 year</w:t>
      </w:r>
      <w:proofErr w:type="gramEnd"/>
      <w:r w:rsidR="00150EEF">
        <w:rPr>
          <w:rStyle w:val="Heading3Char"/>
          <w:rFonts w:cs="Times New Roman"/>
          <w:b w:val="0"/>
          <w:bCs/>
          <w:sz w:val="24"/>
          <w:szCs w:val="28"/>
          <w:lang w:val="en-GB"/>
        </w:rPr>
        <w:t xml:space="preserve"> </w:t>
      </w:r>
      <w:r w:rsidR="004A61AC" w:rsidRPr="00097548">
        <w:rPr>
          <w:rStyle w:val="Heading3Char"/>
          <w:rFonts w:cs="Times New Roman"/>
          <w:b w:val="0"/>
          <w:bCs/>
          <w:sz w:val="24"/>
          <w:szCs w:val="28"/>
          <w:lang w:val="en-GB"/>
        </w:rPr>
        <w:t>contract period.</w:t>
      </w:r>
    </w:p>
    <w:p w14:paraId="3FF260ED" w14:textId="77777777" w:rsidR="0070207A" w:rsidRPr="00097548" w:rsidRDefault="006309DE" w:rsidP="0070207A">
      <w:pPr>
        <w:pStyle w:val="Heading2"/>
      </w:pPr>
      <w:r w:rsidRPr="00097548">
        <w:t>Clinical evidence</w:t>
      </w:r>
    </w:p>
    <w:p w14:paraId="16BE766F" w14:textId="5927B5B5" w:rsidR="004021E1" w:rsidRPr="00097548" w:rsidRDefault="00067F4E" w:rsidP="00367501">
      <w:pPr>
        <w:pStyle w:val="Heading3"/>
      </w:pPr>
      <w:r>
        <w:t xml:space="preserve">The clinical evidence has limited generalisability to multi-drug </w:t>
      </w:r>
      <w:r w:rsidRPr="00DA3C76">
        <w:t xml:space="preserve">resistant infections caused by </w:t>
      </w:r>
      <w:r w:rsidR="00910271" w:rsidRPr="00097548">
        <w:t>MBL</w:t>
      </w:r>
      <w:r w:rsidR="00910271">
        <w:t>-producing</w:t>
      </w:r>
      <w:r w:rsidR="00910271" w:rsidRPr="00097548" w:rsidDel="00CA4B16">
        <w:t xml:space="preserve"> </w:t>
      </w:r>
      <w:proofErr w:type="spellStart"/>
      <w:r w:rsidR="00910271" w:rsidRPr="00451798">
        <w:rPr>
          <w:i/>
        </w:rPr>
        <w:t>Enterobacterales</w:t>
      </w:r>
      <w:proofErr w:type="spellEnd"/>
      <w:r w:rsidR="00910271" w:rsidRPr="00097548">
        <w:t xml:space="preserve"> or </w:t>
      </w:r>
      <w:r w:rsidR="00910271" w:rsidRPr="00451798">
        <w:rPr>
          <w:i/>
        </w:rPr>
        <w:t>P</w:t>
      </w:r>
      <w:r w:rsidR="002456F8">
        <w:rPr>
          <w:i/>
        </w:rPr>
        <w:t>.</w:t>
      </w:r>
      <w:r w:rsidR="00910271" w:rsidRPr="00451798">
        <w:rPr>
          <w:i/>
        </w:rPr>
        <w:t xml:space="preserve"> aeruginosa</w:t>
      </w:r>
    </w:p>
    <w:p w14:paraId="1373D2B8" w14:textId="7BEA940F" w:rsidR="004021E1" w:rsidRPr="00097548" w:rsidRDefault="0038146D" w:rsidP="009E6561">
      <w:pPr>
        <w:pStyle w:val="Numberedlevel2text"/>
        <w:rPr>
          <w:lang w:val="en-GB"/>
        </w:rPr>
      </w:pPr>
      <w:r w:rsidRPr="00097548">
        <w:rPr>
          <w:lang w:val="en-GB"/>
        </w:rPr>
        <w:t>EEPRU</w:t>
      </w:r>
      <w:r w:rsidR="001B43B1" w:rsidRPr="00097548">
        <w:rPr>
          <w:lang w:val="en-GB"/>
        </w:rPr>
        <w:t>’s literature review</w:t>
      </w:r>
      <w:r w:rsidRPr="00097548">
        <w:rPr>
          <w:lang w:val="en-GB"/>
        </w:rPr>
        <w:t xml:space="preserve"> identified </w:t>
      </w:r>
      <w:r w:rsidR="005D641F" w:rsidRPr="00097548">
        <w:rPr>
          <w:lang w:val="en-GB"/>
        </w:rPr>
        <w:t xml:space="preserve">3 </w:t>
      </w:r>
      <w:r w:rsidR="00365DA6" w:rsidRPr="00097548">
        <w:rPr>
          <w:lang w:val="en-GB"/>
        </w:rPr>
        <w:t xml:space="preserve">randomised </w:t>
      </w:r>
      <w:r w:rsidR="005D641F" w:rsidRPr="00097548">
        <w:rPr>
          <w:lang w:val="en-GB"/>
        </w:rPr>
        <w:t xml:space="preserve">clinical trials </w:t>
      </w:r>
      <w:r w:rsidR="00B177D7">
        <w:rPr>
          <w:lang w:val="en-GB"/>
        </w:rPr>
        <w:t xml:space="preserve">comparing </w:t>
      </w:r>
      <w:proofErr w:type="spellStart"/>
      <w:r w:rsidR="00B177D7">
        <w:rPr>
          <w:lang w:val="en-GB"/>
        </w:rPr>
        <w:t>cefiderocol</w:t>
      </w:r>
      <w:proofErr w:type="spellEnd"/>
      <w:r w:rsidR="00B177D7">
        <w:rPr>
          <w:lang w:val="en-GB"/>
        </w:rPr>
        <w:t xml:space="preserve"> with </w:t>
      </w:r>
      <w:r w:rsidR="00B177D7" w:rsidRPr="00097548">
        <w:rPr>
          <w:lang w:val="en-GB"/>
        </w:rPr>
        <w:t>imipenem</w:t>
      </w:r>
      <w:r w:rsidR="00B177D7" w:rsidRPr="0092406A">
        <w:rPr>
          <w:rStyle w:val="NICEnormalChar"/>
          <w:szCs w:val="28"/>
        </w:rPr>
        <w:t>–</w:t>
      </w:r>
      <w:proofErr w:type="spellStart"/>
      <w:r w:rsidR="00B177D7" w:rsidRPr="00097548">
        <w:rPr>
          <w:lang w:val="en-GB"/>
        </w:rPr>
        <w:t>cilastatin</w:t>
      </w:r>
      <w:proofErr w:type="spellEnd"/>
      <w:r w:rsidR="00B177D7" w:rsidRPr="00097548">
        <w:rPr>
          <w:lang w:val="en-GB"/>
        </w:rPr>
        <w:t>, meropenem, and best available therapy</w:t>
      </w:r>
      <w:r w:rsidR="001F39E3" w:rsidRPr="00097548">
        <w:rPr>
          <w:lang w:val="en-GB"/>
        </w:rPr>
        <w:t xml:space="preserve">. </w:t>
      </w:r>
      <w:r w:rsidRPr="00097548">
        <w:rPr>
          <w:lang w:val="en-GB"/>
        </w:rPr>
        <w:t xml:space="preserve">Two of </w:t>
      </w:r>
      <w:r w:rsidR="001F39E3" w:rsidRPr="00097548">
        <w:rPr>
          <w:lang w:val="en-GB"/>
        </w:rPr>
        <w:t>the clinical</w:t>
      </w:r>
      <w:r w:rsidRPr="00097548">
        <w:rPr>
          <w:lang w:val="en-GB"/>
        </w:rPr>
        <w:t xml:space="preserve"> trials</w:t>
      </w:r>
      <w:r w:rsidR="001B43B1" w:rsidRPr="00097548">
        <w:rPr>
          <w:lang w:val="en-GB"/>
        </w:rPr>
        <w:t xml:space="preserve"> </w:t>
      </w:r>
      <w:r w:rsidR="00910271">
        <w:rPr>
          <w:lang w:val="en-GB"/>
        </w:rPr>
        <w:t xml:space="preserve">included only </w:t>
      </w:r>
      <w:r w:rsidR="00384A13" w:rsidRPr="00097548">
        <w:rPr>
          <w:lang w:val="en-GB"/>
        </w:rPr>
        <w:t>people with carbapenem-</w:t>
      </w:r>
      <w:r w:rsidR="00910271">
        <w:rPr>
          <w:lang w:val="en-GB"/>
        </w:rPr>
        <w:t xml:space="preserve">susceptible </w:t>
      </w:r>
      <w:r w:rsidR="00384A13" w:rsidRPr="00097548">
        <w:rPr>
          <w:lang w:val="en-GB"/>
        </w:rPr>
        <w:t>infections</w:t>
      </w:r>
      <w:r w:rsidR="00910271">
        <w:rPr>
          <w:lang w:val="en-GB"/>
        </w:rPr>
        <w:t xml:space="preserve">, whereas this evaluation focusses on using </w:t>
      </w:r>
      <w:proofErr w:type="spellStart"/>
      <w:r w:rsidR="00910271">
        <w:rPr>
          <w:lang w:val="en-GB"/>
        </w:rPr>
        <w:t>cefiderocol</w:t>
      </w:r>
      <w:proofErr w:type="spellEnd"/>
      <w:r w:rsidR="00910271">
        <w:rPr>
          <w:lang w:val="en-GB"/>
        </w:rPr>
        <w:t xml:space="preserve"> to treat severe, multi-drug-resistant infections</w:t>
      </w:r>
      <w:r w:rsidR="00384A13" w:rsidRPr="00097548">
        <w:rPr>
          <w:lang w:val="en-GB"/>
        </w:rPr>
        <w:t>. T</w:t>
      </w:r>
      <w:r w:rsidR="001F39E3" w:rsidRPr="00097548">
        <w:rPr>
          <w:lang w:val="en-GB"/>
        </w:rPr>
        <w:t xml:space="preserve">he third </w:t>
      </w:r>
      <w:r w:rsidR="00384A13" w:rsidRPr="00097548">
        <w:rPr>
          <w:lang w:val="en-GB"/>
        </w:rPr>
        <w:t>trial included people with carbapenem-resistant infections</w:t>
      </w:r>
      <w:r w:rsidR="00FF2498">
        <w:rPr>
          <w:lang w:val="en-GB"/>
        </w:rPr>
        <w:t>,</w:t>
      </w:r>
      <w:r w:rsidR="00384A13" w:rsidRPr="00097548">
        <w:rPr>
          <w:lang w:val="en-GB"/>
        </w:rPr>
        <w:t xml:space="preserve"> but very few had MBL-mediated resistance</w:t>
      </w:r>
      <w:r w:rsidR="00910271">
        <w:rPr>
          <w:lang w:val="en-GB"/>
        </w:rPr>
        <w:t>,</w:t>
      </w:r>
      <w:r w:rsidR="00FF2498">
        <w:rPr>
          <w:lang w:val="en-GB"/>
        </w:rPr>
        <w:t xml:space="preserve"> </w:t>
      </w:r>
      <w:r w:rsidR="00384A13" w:rsidRPr="00097548">
        <w:rPr>
          <w:lang w:val="en-GB"/>
        </w:rPr>
        <w:t xml:space="preserve">the </w:t>
      </w:r>
      <w:r w:rsidR="00910271">
        <w:rPr>
          <w:lang w:val="en-GB"/>
        </w:rPr>
        <w:t xml:space="preserve">only resistance </w:t>
      </w:r>
      <w:r w:rsidR="00384A13" w:rsidRPr="00097548">
        <w:rPr>
          <w:lang w:val="en-GB"/>
        </w:rPr>
        <w:t xml:space="preserve">mechanism </w:t>
      </w:r>
      <w:r w:rsidR="00910271">
        <w:rPr>
          <w:lang w:val="en-GB"/>
        </w:rPr>
        <w:t>included in EEPRU’s economic model (see section 4.10</w:t>
      </w:r>
      <w:r w:rsidR="00FF2498">
        <w:rPr>
          <w:lang w:val="en-GB"/>
        </w:rPr>
        <w:t>)</w:t>
      </w:r>
      <w:r w:rsidR="00384A13" w:rsidRPr="00097548">
        <w:rPr>
          <w:lang w:val="en-GB"/>
        </w:rPr>
        <w:t xml:space="preserve">. Two of the trials used a non-inferiority design and the third </w:t>
      </w:r>
      <w:r w:rsidR="005D641F" w:rsidRPr="00097548">
        <w:rPr>
          <w:lang w:val="en-GB"/>
        </w:rPr>
        <w:t xml:space="preserve">did not </w:t>
      </w:r>
      <w:r w:rsidR="001D17D0" w:rsidRPr="00097548">
        <w:rPr>
          <w:lang w:val="en-GB"/>
        </w:rPr>
        <w:t xml:space="preserve">include </w:t>
      </w:r>
      <w:r w:rsidR="005D641F" w:rsidRPr="00097548">
        <w:rPr>
          <w:lang w:val="en-GB"/>
        </w:rPr>
        <w:t>tests for statistical significance</w:t>
      </w:r>
      <w:r w:rsidR="001D17D0" w:rsidRPr="00097548">
        <w:rPr>
          <w:lang w:val="en-GB"/>
        </w:rPr>
        <w:t>.</w:t>
      </w:r>
      <w:r w:rsidR="00517253" w:rsidRPr="00097548">
        <w:rPr>
          <w:lang w:val="en-GB"/>
        </w:rPr>
        <w:t xml:space="preserve"> </w:t>
      </w:r>
      <w:bookmarkStart w:id="8" w:name="_Hlk96505001"/>
      <w:r w:rsidR="00B177D7">
        <w:rPr>
          <w:lang w:val="en-GB"/>
        </w:rPr>
        <w:t xml:space="preserve">EEPRU identified 3 </w:t>
      </w:r>
      <w:r w:rsidR="00B177D7" w:rsidRPr="00097548">
        <w:rPr>
          <w:lang w:val="en-GB"/>
        </w:rPr>
        <w:t>observational studies</w:t>
      </w:r>
      <w:r w:rsidR="00B177D7" w:rsidRPr="00097548" w:rsidDel="005D641F">
        <w:rPr>
          <w:lang w:val="en-GB"/>
        </w:rPr>
        <w:t xml:space="preserve"> </w:t>
      </w:r>
      <w:r w:rsidR="00B177D7">
        <w:rPr>
          <w:lang w:val="en-GB"/>
        </w:rPr>
        <w:t xml:space="preserve">in people with </w:t>
      </w:r>
      <w:r w:rsidR="00B177D7">
        <w:rPr>
          <w:lang w:val="en-GB"/>
        </w:rPr>
        <w:lastRenderedPageBreak/>
        <w:t xml:space="preserve">MBL-producing drug-resistant infections treated with </w:t>
      </w:r>
      <w:proofErr w:type="spellStart"/>
      <w:r w:rsidR="00B177D7">
        <w:rPr>
          <w:lang w:val="en-GB"/>
        </w:rPr>
        <w:t>cefiderocol</w:t>
      </w:r>
      <w:proofErr w:type="spellEnd"/>
      <w:r w:rsidR="00B177D7">
        <w:rPr>
          <w:lang w:val="en-GB"/>
        </w:rPr>
        <w:t>, but none reported data for comparison treatments.</w:t>
      </w:r>
      <w:r w:rsidR="00B177D7" w:rsidRPr="00097548">
        <w:rPr>
          <w:lang w:val="en-GB"/>
        </w:rPr>
        <w:t xml:space="preserve"> </w:t>
      </w:r>
      <w:r w:rsidR="001F39E3" w:rsidRPr="00097548">
        <w:rPr>
          <w:lang w:val="en-GB"/>
        </w:rPr>
        <w:t>The observational studies</w:t>
      </w:r>
      <w:r w:rsidR="00933C1F" w:rsidRPr="00097548">
        <w:rPr>
          <w:lang w:val="en-GB"/>
        </w:rPr>
        <w:t xml:space="preserve"> </w:t>
      </w:r>
      <w:r w:rsidR="00B177D7">
        <w:rPr>
          <w:lang w:val="en-GB"/>
        </w:rPr>
        <w:t xml:space="preserve">also </w:t>
      </w:r>
      <w:r w:rsidR="001F39E3" w:rsidRPr="00097548">
        <w:rPr>
          <w:lang w:val="en-GB"/>
        </w:rPr>
        <w:t xml:space="preserve">had small sample sizes and included </w:t>
      </w:r>
      <w:r w:rsidR="00B1549E" w:rsidRPr="00097548">
        <w:rPr>
          <w:lang w:val="en-GB"/>
        </w:rPr>
        <w:t>people with a</w:t>
      </w:r>
      <w:r w:rsidR="00B177D7">
        <w:rPr>
          <w:lang w:val="en-GB"/>
        </w:rPr>
        <w:t xml:space="preserve"> diverse</w:t>
      </w:r>
      <w:r w:rsidR="00B1549E" w:rsidRPr="00097548">
        <w:rPr>
          <w:lang w:val="en-GB"/>
        </w:rPr>
        <w:t xml:space="preserve"> range of characteristics that </w:t>
      </w:r>
      <w:r w:rsidR="00D20948" w:rsidRPr="00097548">
        <w:rPr>
          <w:lang w:val="en-GB"/>
        </w:rPr>
        <w:t xml:space="preserve">likely </w:t>
      </w:r>
      <w:r w:rsidR="00B1549E" w:rsidRPr="00097548">
        <w:rPr>
          <w:lang w:val="en-GB"/>
        </w:rPr>
        <w:t>would have affected the</w:t>
      </w:r>
      <w:r w:rsidR="00BC0325" w:rsidRPr="00097548">
        <w:rPr>
          <w:lang w:val="en-GB"/>
        </w:rPr>
        <w:t>ir</w:t>
      </w:r>
      <w:r w:rsidR="00B1549E" w:rsidRPr="00097548">
        <w:rPr>
          <w:lang w:val="en-GB"/>
        </w:rPr>
        <w:t xml:space="preserve"> prognosis</w:t>
      </w:r>
      <w:r w:rsidR="00EB2030">
        <w:rPr>
          <w:lang w:val="en-GB"/>
        </w:rPr>
        <w:t xml:space="preserve"> </w:t>
      </w:r>
      <w:r w:rsidR="00B1549E" w:rsidRPr="00097548">
        <w:rPr>
          <w:lang w:val="en-GB"/>
        </w:rPr>
        <w:t xml:space="preserve">and </w:t>
      </w:r>
      <w:r w:rsidR="001A08FE" w:rsidRPr="00097548">
        <w:rPr>
          <w:lang w:val="en-GB"/>
        </w:rPr>
        <w:t>how well their infection</w:t>
      </w:r>
      <w:r w:rsidR="0000565A" w:rsidRPr="00097548">
        <w:rPr>
          <w:lang w:val="en-GB"/>
        </w:rPr>
        <w:t>s</w:t>
      </w:r>
      <w:r w:rsidR="001A08FE" w:rsidRPr="00097548">
        <w:rPr>
          <w:lang w:val="en-GB"/>
        </w:rPr>
        <w:t xml:space="preserve"> respond</w:t>
      </w:r>
      <w:r w:rsidR="00D20948" w:rsidRPr="00097548">
        <w:rPr>
          <w:lang w:val="en-GB"/>
        </w:rPr>
        <w:t>ed</w:t>
      </w:r>
      <w:r w:rsidR="001A08FE" w:rsidRPr="00097548">
        <w:rPr>
          <w:lang w:val="en-GB"/>
        </w:rPr>
        <w:t xml:space="preserve"> </w:t>
      </w:r>
      <w:r w:rsidR="00BC0325" w:rsidRPr="00097548">
        <w:rPr>
          <w:lang w:val="en-GB"/>
        </w:rPr>
        <w:t>to treatment</w:t>
      </w:r>
      <w:r w:rsidR="001F39E3" w:rsidRPr="00097548">
        <w:rPr>
          <w:lang w:val="en-GB"/>
        </w:rPr>
        <w:t>.</w:t>
      </w:r>
      <w:r w:rsidR="006A15E2" w:rsidRPr="00097548">
        <w:rPr>
          <w:lang w:val="en-GB"/>
        </w:rPr>
        <w:t xml:space="preserve"> </w:t>
      </w:r>
      <w:bookmarkEnd w:id="8"/>
      <w:r w:rsidR="009E6561" w:rsidRPr="00097548">
        <w:rPr>
          <w:lang w:val="en-GB"/>
        </w:rPr>
        <w:t xml:space="preserve">The committee </w:t>
      </w:r>
      <w:r w:rsidR="003205F2">
        <w:rPr>
          <w:lang w:val="en-GB"/>
        </w:rPr>
        <w:t>concluded</w:t>
      </w:r>
      <w:r w:rsidR="00644B19" w:rsidRPr="00097548">
        <w:rPr>
          <w:lang w:val="en-GB"/>
        </w:rPr>
        <w:t xml:space="preserve"> </w:t>
      </w:r>
      <w:r w:rsidR="009E6561" w:rsidRPr="00097548">
        <w:rPr>
          <w:lang w:val="en-GB"/>
        </w:rPr>
        <w:t xml:space="preserve">that </w:t>
      </w:r>
      <w:r w:rsidR="00414FD0" w:rsidRPr="00097548">
        <w:rPr>
          <w:lang w:val="en-GB"/>
        </w:rPr>
        <w:t xml:space="preserve">the </w:t>
      </w:r>
      <w:r w:rsidR="00B177D7">
        <w:rPr>
          <w:lang w:val="en-GB"/>
        </w:rPr>
        <w:t xml:space="preserve">available </w:t>
      </w:r>
      <w:r w:rsidR="00414FD0" w:rsidRPr="00097548">
        <w:rPr>
          <w:lang w:val="en-GB"/>
        </w:rPr>
        <w:t xml:space="preserve">clinical trials and observational </w:t>
      </w:r>
      <w:r w:rsidR="00E12742" w:rsidRPr="00097548">
        <w:rPr>
          <w:lang w:val="en-GB"/>
        </w:rPr>
        <w:t xml:space="preserve">studies </w:t>
      </w:r>
      <w:r w:rsidR="009E6561" w:rsidRPr="00097548">
        <w:rPr>
          <w:lang w:val="en-GB"/>
        </w:rPr>
        <w:t>ha</w:t>
      </w:r>
      <w:r w:rsidR="00910271">
        <w:rPr>
          <w:lang w:val="en-GB"/>
        </w:rPr>
        <w:t>ve</w:t>
      </w:r>
      <w:r w:rsidR="009E6561" w:rsidRPr="00097548">
        <w:rPr>
          <w:lang w:val="en-GB"/>
        </w:rPr>
        <w:t xml:space="preserve"> limited </w:t>
      </w:r>
      <w:r w:rsidR="00910271">
        <w:rPr>
          <w:lang w:val="en-GB"/>
        </w:rPr>
        <w:t xml:space="preserve">generalisability </w:t>
      </w:r>
      <w:r w:rsidR="009E6561" w:rsidRPr="00097548">
        <w:rPr>
          <w:lang w:val="en-GB"/>
        </w:rPr>
        <w:t xml:space="preserve">when evaluating </w:t>
      </w:r>
      <w:proofErr w:type="spellStart"/>
      <w:r w:rsidR="006A15E2" w:rsidRPr="00097548">
        <w:rPr>
          <w:lang w:val="en-GB"/>
        </w:rPr>
        <w:t>cefiderocol</w:t>
      </w:r>
      <w:proofErr w:type="spellEnd"/>
      <w:r w:rsidR="009E6561" w:rsidRPr="00097548">
        <w:rPr>
          <w:lang w:val="en-GB"/>
        </w:rPr>
        <w:t xml:space="preserve"> in </w:t>
      </w:r>
      <w:r w:rsidR="003E0775" w:rsidRPr="00097548">
        <w:rPr>
          <w:lang w:val="en-GB"/>
        </w:rPr>
        <w:t>multi-</w:t>
      </w:r>
      <w:r w:rsidR="00DC6842" w:rsidRPr="00097548">
        <w:rPr>
          <w:lang w:val="en-GB"/>
        </w:rPr>
        <w:t>drug-</w:t>
      </w:r>
      <w:r w:rsidR="009E6561" w:rsidRPr="00097548">
        <w:rPr>
          <w:lang w:val="en-GB"/>
        </w:rPr>
        <w:t>resistant infections</w:t>
      </w:r>
      <w:r w:rsidR="00910271">
        <w:rPr>
          <w:lang w:val="en-GB"/>
        </w:rPr>
        <w:t xml:space="preserve"> </w:t>
      </w:r>
      <w:r w:rsidR="00910271">
        <w:t xml:space="preserve">caused by </w:t>
      </w:r>
      <w:r w:rsidR="00910271" w:rsidRPr="00097548">
        <w:rPr>
          <w:lang w:val="en-GB"/>
        </w:rPr>
        <w:t>MBL</w:t>
      </w:r>
      <w:r w:rsidR="00910271">
        <w:rPr>
          <w:lang w:val="en-GB"/>
        </w:rPr>
        <w:t>-producing</w:t>
      </w:r>
      <w:r w:rsidR="00910271" w:rsidRPr="00097548" w:rsidDel="00CA4B16">
        <w:rPr>
          <w:lang w:val="en-GB"/>
        </w:rPr>
        <w:t xml:space="preserve"> </w:t>
      </w:r>
      <w:proofErr w:type="spellStart"/>
      <w:r w:rsidR="00910271" w:rsidRPr="00451798">
        <w:rPr>
          <w:i/>
          <w:iCs w:val="0"/>
          <w:lang w:val="en-GB"/>
        </w:rPr>
        <w:t>Enterobacterales</w:t>
      </w:r>
      <w:proofErr w:type="spellEnd"/>
      <w:r w:rsidR="00910271" w:rsidRPr="00097548">
        <w:rPr>
          <w:lang w:val="en-GB"/>
        </w:rPr>
        <w:t xml:space="preserve"> or </w:t>
      </w:r>
      <w:r w:rsidR="00910271" w:rsidRPr="00451798">
        <w:rPr>
          <w:i/>
          <w:iCs w:val="0"/>
          <w:lang w:val="en-GB"/>
        </w:rPr>
        <w:t>Pseudomonas aeruginosa</w:t>
      </w:r>
      <w:r w:rsidR="009E6561" w:rsidRPr="00097548">
        <w:rPr>
          <w:lang w:val="en-GB"/>
        </w:rPr>
        <w:t>.</w:t>
      </w:r>
    </w:p>
    <w:p w14:paraId="13F12644" w14:textId="3484F62C" w:rsidR="004021E1" w:rsidRPr="00097548" w:rsidRDefault="004021E1" w:rsidP="004021E1">
      <w:pPr>
        <w:pStyle w:val="Heading3"/>
      </w:pPr>
      <w:r w:rsidRPr="00097548">
        <w:t xml:space="preserve">Using data from in vitro susceptibility studies as a </w:t>
      </w:r>
      <w:r w:rsidR="006F5181">
        <w:t>surrogate endpoint for</w:t>
      </w:r>
      <w:r w:rsidR="006F5181" w:rsidRPr="00097548">
        <w:t xml:space="preserve"> </w:t>
      </w:r>
      <w:r w:rsidRPr="00097548">
        <w:t xml:space="preserve">clinical outcomes is reasonable, but </w:t>
      </w:r>
      <w:r w:rsidR="00AB6E1C" w:rsidRPr="00097548">
        <w:t xml:space="preserve">the </w:t>
      </w:r>
      <w:r w:rsidRPr="00097548">
        <w:t>results are uncertain</w:t>
      </w:r>
    </w:p>
    <w:p w14:paraId="6FCA9EC7" w14:textId="0B175498" w:rsidR="009E6561" w:rsidRPr="00097548" w:rsidRDefault="004021E1" w:rsidP="009E6561">
      <w:pPr>
        <w:pStyle w:val="Numberedlevel2text"/>
        <w:rPr>
          <w:lang w:val="en-GB"/>
        </w:rPr>
      </w:pPr>
      <w:r w:rsidRPr="00097548">
        <w:rPr>
          <w:lang w:val="en-GB"/>
        </w:rPr>
        <w:t xml:space="preserve">Because of the </w:t>
      </w:r>
      <w:r w:rsidR="00DD508C">
        <w:rPr>
          <w:lang w:val="en-GB"/>
        </w:rPr>
        <w:t>lack</w:t>
      </w:r>
      <w:r w:rsidR="00DD508C" w:rsidRPr="00097548">
        <w:rPr>
          <w:lang w:val="en-GB"/>
        </w:rPr>
        <w:t xml:space="preserve"> </w:t>
      </w:r>
      <w:r w:rsidRPr="00097548">
        <w:rPr>
          <w:lang w:val="en-GB"/>
        </w:rPr>
        <w:t xml:space="preserve">of </w:t>
      </w:r>
      <w:r w:rsidR="006F5181">
        <w:rPr>
          <w:lang w:val="en-GB"/>
        </w:rPr>
        <w:t>generalisable</w:t>
      </w:r>
      <w:r w:rsidR="006F5181" w:rsidRPr="00097548">
        <w:rPr>
          <w:lang w:val="en-GB"/>
        </w:rPr>
        <w:t xml:space="preserve"> </w:t>
      </w:r>
      <w:r w:rsidRPr="00097548">
        <w:rPr>
          <w:lang w:val="en-GB"/>
        </w:rPr>
        <w:t>clin</w:t>
      </w:r>
      <w:r w:rsidR="009A0339" w:rsidRPr="00097548">
        <w:rPr>
          <w:lang w:val="en-GB"/>
        </w:rPr>
        <w:t>i</w:t>
      </w:r>
      <w:r w:rsidRPr="00097548">
        <w:rPr>
          <w:lang w:val="en-GB"/>
        </w:rPr>
        <w:t>cal trials</w:t>
      </w:r>
      <w:r w:rsidR="00154213" w:rsidRPr="00097548">
        <w:rPr>
          <w:lang w:val="en-GB"/>
        </w:rPr>
        <w:t xml:space="preserve"> </w:t>
      </w:r>
      <w:r w:rsidR="00887960" w:rsidRPr="00097548">
        <w:rPr>
          <w:lang w:val="en-GB"/>
        </w:rPr>
        <w:t>or</w:t>
      </w:r>
      <w:r w:rsidR="00154213" w:rsidRPr="00097548">
        <w:rPr>
          <w:lang w:val="en-GB"/>
        </w:rPr>
        <w:t xml:space="preserve"> observational data</w:t>
      </w:r>
      <w:r w:rsidR="006F5181">
        <w:rPr>
          <w:lang w:val="en-GB"/>
        </w:rPr>
        <w:t xml:space="preserve"> specifically for </w:t>
      </w:r>
      <w:r w:rsidR="006F5181" w:rsidRPr="00097548">
        <w:rPr>
          <w:lang w:val="en-GB"/>
        </w:rPr>
        <w:t>MBL</w:t>
      </w:r>
      <w:r w:rsidR="006F5181">
        <w:rPr>
          <w:lang w:val="en-GB"/>
        </w:rPr>
        <w:t>-producing</w:t>
      </w:r>
      <w:r w:rsidR="006F5181" w:rsidRPr="00097548" w:rsidDel="00CA4B16">
        <w:rPr>
          <w:lang w:val="en-GB"/>
        </w:rPr>
        <w:t xml:space="preserve"> </w:t>
      </w:r>
      <w:r w:rsidR="006F5181">
        <w:rPr>
          <w:lang w:val="en-GB"/>
        </w:rPr>
        <w:t xml:space="preserve">drug-resistant </w:t>
      </w:r>
      <w:r w:rsidR="006F5181" w:rsidRPr="006F5181">
        <w:rPr>
          <w:lang w:val="en-GB"/>
        </w:rPr>
        <w:t>infections</w:t>
      </w:r>
      <w:r w:rsidRPr="00097548">
        <w:rPr>
          <w:lang w:val="en-GB"/>
        </w:rPr>
        <w:t xml:space="preserve">, </w:t>
      </w:r>
      <w:r w:rsidR="009E6561" w:rsidRPr="00097548">
        <w:rPr>
          <w:lang w:val="en-GB"/>
        </w:rPr>
        <w:t xml:space="preserve">EEPRU </w:t>
      </w:r>
      <w:r w:rsidR="00C944BC" w:rsidRPr="00097548">
        <w:rPr>
          <w:lang w:val="en-GB"/>
        </w:rPr>
        <w:t>assess</w:t>
      </w:r>
      <w:r w:rsidR="00AB6E1C" w:rsidRPr="00097548">
        <w:rPr>
          <w:lang w:val="en-GB"/>
        </w:rPr>
        <w:t>ed</w:t>
      </w:r>
      <w:r w:rsidR="00C944BC" w:rsidRPr="00097548">
        <w:rPr>
          <w:lang w:val="en-GB"/>
        </w:rPr>
        <w:t xml:space="preserve"> the </w:t>
      </w:r>
      <w:r w:rsidR="00887960" w:rsidRPr="00097548">
        <w:rPr>
          <w:lang w:val="en-GB"/>
        </w:rPr>
        <w:t xml:space="preserve">relative </w:t>
      </w:r>
      <w:r w:rsidR="00C944BC" w:rsidRPr="00097548">
        <w:rPr>
          <w:lang w:val="en-GB"/>
        </w:rPr>
        <w:t xml:space="preserve">clinical effectiveness of </w:t>
      </w:r>
      <w:proofErr w:type="spellStart"/>
      <w:r w:rsidR="00C944BC" w:rsidRPr="00097548">
        <w:rPr>
          <w:lang w:val="en-GB"/>
        </w:rPr>
        <w:t>cefiderocol</w:t>
      </w:r>
      <w:proofErr w:type="spellEnd"/>
      <w:r w:rsidR="00C944BC" w:rsidRPr="00097548">
        <w:rPr>
          <w:lang w:val="en-GB"/>
        </w:rPr>
        <w:t xml:space="preserve"> </w:t>
      </w:r>
      <w:r w:rsidR="006F5181">
        <w:rPr>
          <w:lang w:val="en-GB"/>
        </w:rPr>
        <w:t xml:space="preserve">compared with other antibiotics </w:t>
      </w:r>
      <w:r w:rsidR="00C944BC" w:rsidRPr="00097548">
        <w:rPr>
          <w:lang w:val="en-GB"/>
        </w:rPr>
        <w:t>using the</w:t>
      </w:r>
      <w:r w:rsidR="006D3366" w:rsidRPr="00097548">
        <w:rPr>
          <w:lang w:val="en-GB"/>
        </w:rPr>
        <w:t xml:space="preserve"> </w:t>
      </w:r>
      <w:r w:rsidR="009E6561" w:rsidRPr="00097548">
        <w:rPr>
          <w:lang w:val="en-GB"/>
        </w:rPr>
        <w:t>laboratory-</w:t>
      </w:r>
      <w:r w:rsidR="004E5121" w:rsidRPr="00097548">
        <w:rPr>
          <w:lang w:val="en-GB"/>
        </w:rPr>
        <w:t xml:space="preserve">assessed </w:t>
      </w:r>
      <w:r w:rsidR="009E6561" w:rsidRPr="00097548">
        <w:rPr>
          <w:lang w:val="en-GB"/>
        </w:rPr>
        <w:t>susceptibility of a pathogen to antimicrobial treatment</w:t>
      </w:r>
      <w:r w:rsidR="00154213" w:rsidRPr="00097548">
        <w:rPr>
          <w:lang w:val="en-GB"/>
        </w:rPr>
        <w:t xml:space="preserve"> </w:t>
      </w:r>
      <w:r w:rsidR="004E5121" w:rsidRPr="00097548">
        <w:rPr>
          <w:lang w:val="en-GB"/>
        </w:rPr>
        <w:t xml:space="preserve">instead of </w:t>
      </w:r>
      <w:r w:rsidR="00EB2030">
        <w:rPr>
          <w:lang w:val="en-GB"/>
        </w:rPr>
        <w:t xml:space="preserve">using </w:t>
      </w:r>
      <w:r w:rsidR="00E8486C" w:rsidRPr="00097548">
        <w:rPr>
          <w:lang w:val="en-GB"/>
        </w:rPr>
        <w:t>direct evidence on patient outcomes</w:t>
      </w:r>
      <w:r w:rsidR="00887960" w:rsidRPr="00097548">
        <w:rPr>
          <w:lang w:val="en-GB"/>
        </w:rPr>
        <w:t xml:space="preserve"> (see section </w:t>
      </w:r>
      <w:r w:rsidR="00C711BD">
        <w:rPr>
          <w:lang w:val="en-GB"/>
        </w:rPr>
        <w:t>4</w:t>
      </w:r>
      <w:r w:rsidR="00887960" w:rsidRPr="00097548">
        <w:rPr>
          <w:lang w:val="en-GB"/>
        </w:rPr>
        <w:t>.8 for the comparator treatments in EEPRU’s model)</w:t>
      </w:r>
      <w:r w:rsidR="009E6561" w:rsidRPr="00097548">
        <w:rPr>
          <w:lang w:val="en-GB"/>
        </w:rPr>
        <w:t xml:space="preserve">. </w:t>
      </w:r>
      <w:r w:rsidR="006F5181">
        <w:rPr>
          <w:lang w:val="en-GB"/>
        </w:rPr>
        <w:t>S</w:t>
      </w:r>
      <w:r w:rsidR="009E6561" w:rsidRPr="00097548">
        <w:rPr>
          <w:lang w:val="en-GB"/>
        </w:rPr>
        <w:t xml:space="preserve">usceptibility </w:t>
      </w:r>
      <w:r w:rsidR="000B10DA" w:rsidRPr="00097548">
        <w:rPr>
          <w:lang w:val="en-GB"/>
        </w:rPr>
        <w:t xml:space="preserve">is </w:t>
      </w:r>
      <w:r w:rsidR="004E5121" w:rsidRPr="00097548">
        <w:rPr>
          <w:lang w:val="en-GB"/>
        </w:rPr>
        <w:t xml:space="preserve">assessed </w:t>
      </w:r>
      <w:r w:rsidR="009E6561" w:rsidRPr="00097548">
        <w:rPr>
          <w:iCs w:val="0"/>
          <w:lang w:val="en-GB"/>
        </w:rPr>
        <w:t>in vitro</w:t>
      </w:r>
      <w:r w:rsidR="009E6561" w:rsidRPr="00097548">
        <w:rPr>
          <w:lang w:val="en-GB"/>
        </w:rPr>
        <w:t>,</w:t>
      </w:r>
      <w:r w:rsidR="004E5121" w:rsidRPr="00097548">
        <w:rPr>
          <w:lang w:val="en-GB"/>
        </w:rPr>
        <w:t xml:space="preserve"> by</w:t>
      </w:r>
      <w:r w:rsidR="009E6561" w:rsidRPr="00097548">
        <w:rPr>
          <w:lang w:val="en-GB"/>
        </w:rPr>
        <w:t xml:space="preserve"> </w:t>
      </w:r>
      <w:r w:rsidR="004E5121" w:rsidRPr="00097548">
        <w:rPr>
          <w:lang w:val="en-GB"/>
        </w:rPr>
        <w:t xml:space="preserve">culturing </w:t>
      </w:r>
      <w:r w:rsidR="009E6561" w:rsidRPr="00097548">
        <w:rPr>
          <w:lang w:val="en-GB"/>
        </w:rPr>
        <w:t xml:space="preserve">a bacterial sample from a patient </w:t>
      </w:r>
      <w:r w:rsidRPr="00097548">
        <w:rPr>
          <w:lang w:val="en-GB"/>
        </w:rPr>
        <w:t xml:space="preserve">along </w:t>
      </w:r>
      <w:r w:rsidR="009E6561" w:rsidRPr="00097548">
        <w:rPr>
          <w:lang w:val="en-GB"/>
        </w:rPr>
        <w:t xml:space="preserve">with increasing concentrations of </w:t>
      </w:r>
      <w:r w:rsidR="004E5121" w:rsidRPr="00097548">
        <w:rPr>
          <w:lang w:val="en-GB"/>
        </w:rPr>
        <w:t xml:space="preserve">the </w:t>
      </w:r>
      <w:r w:rsidR="009E6561" w:rsidRPr="00097548">
        <w:rPr>
          <w:lang w:val="en-GB"/>
        </w:rPr>
        <w:t>antimicrobial</w:t>
      </w:r>
      <w:r w:rsidR="004E5121" w:rsidRPr="00097548">
        <w:rPr>
          <w:lang w:val="en-GB"/>
        </w:rPr>
        <w:t>,</w:t>
      </w:r>
      <w:r w:rsidR="009E6561" w:rsidRPr="00097548">
        <w:rPr>
          <w:lang w:val="en-GB"/>
        </w:rPr>
        <w:t xml:space="preserve"> to </w:t>
      </w:r>
      <w:r w:rsidR="004E5121" w:rsidRPr="00097548">
        <w:rPr>
          <w:lang w:val="en-GB"/>
        </w:rPr>
        <w:t xml:space="preserve">determine </w:t>
      </w:r>
      <w:r w:rsidR="009E6561" w:rsidRPr="00097548">
        <w:rPr>
          <w:lang w:val="en-GB"/>
        </w:rPr>
        <w:t xml:space="preserve">how well the antimicrobial slows growth. The </w:t>
      </w:r>
      <w:r w:rsidR="006F5181">
        <w:rPr>
          <w:lang w:val="en-GB"/>
        </w:rPr>
        <w:t>‘</w:t>
      </w:r>
      <w:r w:rsidR="009E6561" w:rsidRPr="00097548">
        <w:rPr>
          <w:lang w:val="en-GB"/>
        </w:rPr>
        <w:t>clinical breakpoint</w:t>
      </w:r>
      <w:r w:rsidR="006F5181">
        <w:rPr>
          <w:lang w:val="en-GB"/>
        </w:rPr>
        <w:t>’</w:t>
      </w:r>
      <w:r w:rsidR="009E6561" w:rsidRPr="00097548">
        <w:rPr>
          <w:lang w:val="en-GB"/>
        </w:rPr>
        <w:t xml:space="preserve"> is a threshold</w:t>
      </w:r>
      <w:r w:rsidR="00D70D78" w:rsidRPr="00097548">
        <w:rPr>
          <w:lang w:val="en-GB"/>
        </w:rPr>
        <w:t xml:space="preserve"> of </w:t>
      </w:r>
      <w:r w:rsidR="00CC58BA" w:rsidRPr="00097548">
        <w:rPr>
          <w:lang w:val="en-GB"/>
        </w:rPr>
        <w:t xml:space="preserve">the </w:t>
      </w:r>
      <w:r w:rsidR="00D70D78" w:rsidRPr="00097548">
        <w:rPr>
          <w:lang w:val="en-GB"/>
        </w:rPr>
        <w:t>antimicrobial</w:t>
      </w:r>
      <w:r w:rsidR="009E6561" w:rsidRPr="00097548">
        <w:rPr>
          <w:lang w:val="en-GB"/>
        </w:rPr>
        <w:t xml:space="preserve"> </w:t>
      </w:r>
      <w:proofErr w:type="spellStart"/>
      <w:r w:rsidR="006F5181">
        <w:rPr>
          <w:lang w:val="en-GB"/>
        </w:rPr>
        <w:t>concerntation</w:t>
      </w:r>
      <w:proofErr w:type="spellEnd"/>
      <w:r w:rsidR="006F5181">
        <w:rPr>
          <w:lang w:val="en-GB"/>
        </w:rPr>
        <w:t xml:space="preserve"> </w:t>
      </w:r>
      <w:r w:rsidR="009E6561" w:rsidRPr="00097548">
        <w:rPr>
          <w:lang w:val="en-GB"/>
        </w:rPr>
        <w:t xml:space="preserve">used to assess the likelihood of treatment success or failure. If the lowest concentration </w:t>
      </w:r>
      <w:r w:rsidR="004E5121" w:rsidRPr="00097548">
        <w:rPr>
          <w:lang w:val="en-GB"/>
        </w:rPr>
        <w:t xml:space="preserve">needed </w:t>
      </w:r>
      <w:r w:rsidR="009E6561" w:rsidRPr="00097548">
        <w:rPr>
          <w:lang w:val="en-GB"/>
        </w:rPr>
        <w:t xml:space="preserve">to stop bacterial growth is below the breakpoint, the infection is </w:t>
      </w:r>
      <w:r w:rsidR="00330F09" w:rsidRPr="00097548">
        <w:rPr>
          <w:lang w:val="en-GB"/>
        </w:rPr>
        <w:t xml:space="preserve">deemed </w:t>
      </w:r>
      <w:r w:rsidR="009E6561" w:rsidRPr="00097548">
        <w:rPr>
          <w:lang w:val="en-GB"/>
        </w:rPr>
        <w:t xml:space="preserve">susceptible, and treatment is likely to succeed. The committee was aware that different organisations use different laboratory methods to </w:t>
      </w:r>
      <w:r w:rsidR="004E170B" w:rsidRPr="00097548">
        <w:rPr>
          <w:lang w:val="en-GB"/>
        </w:rPr>
        <w:t xml:space="preserve">assess susceptibility and different methodologies to </w:t>
      </w:r>
      <w:r w:rsidR="009E6561" w:rsidRPr="00097548">
        <w:rPr>
          <w:lang w:val="en-GB"/>
        </w:rPr>
        <w:t>set clinical breakpoints. These organisations include the European Committee on Antimicrobial Susceptibility Testing (EUCAST) and the</w:t>
      </w:r>
      <w:r w:rsidR="009E6561" w:rsidRPr="00097548">
        <w:rPr>
          <w:rFonts w:ascii="Times New Roman" w:hAnsi="Times New Roman"/>
          <w:szCs w:val="24"/>
          <w:lang w:val="en-GB"/>
        </w:rPr>
        <w:t xml:space="preserve"> </w:t>
      </w:r>
      <w:r w:rsidR="009E6561" w:rsidRPr="00097548">
        <w:rPr>
          <w:lang w:val="en-GB"/>
        </w:rPr>
        <w:t xml:space="preserve">Clinical and Laboratory Standards Institute (CLSI). </w:t>
      </w:r>
      <w:bookmarkStart w:id="9" w:name="_Hlk97120743"/>
      <w:r w:rsidR="009C6714" w:rsidRPr="00097548">
        <w:rPr>
          <w:lang w:val="en-GB"/>
        </w:rPr>
        <w:t>EEPRU identified report link</w:t>
      </w:r>
      <w:r w:rsidR="006F5181">
        <w:rPr>
          <w:lang w:val="en-GB"/>
        </w:rPr>
        <w:t>ing</w:t>
      </w:r>
      <w:r w:rsidR="009C6714" w:rsidRPr="00097548">
        <w:rPr>
          <w:lang w:val="en-GB"/>
        </w:rPr>
        <w:t xml:space="preserve"> in vitro susceptibility data </w:t>
      </w:r>
      <w:r w:rsidR="006F5181">
        <w:rPr>
          <w:lang w:val="en-GB"/>
        </w:rPr>
        <w:t xml:space="preserve">to </w:t>
      </w:r>
      <w:r w:rsidR="009C6714" w:rsidRPr="00097548">
        <w:rPr>
          <w:lang w:val="en-GB"/>
        </w:rPr>
        <w:t xml:space="preserve">clinical outcomes, but the evidence </w:t>
      </w:r>
      <w:r w:rsidR="006F5181">
        <w:rPr>
          <w:lang w:val="en-GB"/>
        </w:rPr>
        <w:t xml:space="preserve">did </w:t>
      </w:r>
      <w:r w:rsidR="009C6714" w:rsidRPr="00097548">
        <w:rPr>
          <w:lang w:val="en-GB"/>
        </w:rPr>
        <w:t>not relate to the pathogens and resistance mechanisms of interest</w:t>
      </w:r>
      <w:r w:rsidR="006F5181">
        <w:rPr>
          <w:lang w:val="en-GB"/>
        </w:rPr>
        <w:t xml:space="preserve"> in this evaluation</w:t>
      </w:r>
      <w:r w:rsidR="009C6714" w:rsidRPr="00097548">
        <w:rPr>
          <w:lang w:val="en-GB"/>
        </w:rPr>
        <w:t xml:space="preserve">. EEPRU used the results of 2 published studies </w:t>
      </w:r>
      <w:r w:rsidR="006F5181">
        <w:rPr>
          <w:lang w:val="en-GB"/>
        </w:rPr>
        <w:t xml:space="preserve">it </w:t>
      </w:r>
      <w:r w:rsidR="009C6714" w:rsidRPr="00097548">
        <w:rPr>
          <w:lang w:val="en-GB"/>
        </w:rPr>
        <w:t xml:space="preserve">identified in </w:t>
      </w:r>
      <w:r w:rsidR="009C6714" w:rsidRPr="00097548">
        <w:rPr>
          <w:lang w:val="en-GB"/>
        </w:rPr>
        <w:lastRenderedPageBreak/>
        <w:t xml:space="preserve">its literature review, which reported mortality and length of hospital stay conditional on susceptibility to treatment, to model clinical outcomes in the ‘empiric treatment setting’ of its model (see </w:t>
      </w:r>
      <w:r w:rsidR="00175F9E" w:rsidRPr="00097548">
        <w:rPr>
          <w:lang w:val="en-GB"/>
        </w:rPr>
        <w:t xml:space="preserve">section </w:t>
      </w:r>
      <w:r w:rsidR="009B5DCA">
        <w:rPr>
          <w:lang w:val="en-GB"/>
        </w:rPr>
        <w:t>4</w:t>
      </w:r>
      <w:r w:rsidR="009C6714" w:rsidRPr="00097548">
        <w:rPr>
          <w:lang w:val="en-GB"/>
        </w:rPr>
        <w:t>.</w:t>
      </w:r>
      <w:r w:rsidR="00B26886" w:rsidRPr="00097548">
        <w:rPr>
          <w:lang w:val="en-GB"/>
        </w:rPr>
        <w:t>10</w:t>
      </w:r>
      <w:r w:rsidR="009C6714" w:rsidRPr="00097548">
        <w:rPr>
          <w:lang w:val="en-GB"/>
        </w:rPr>
        <w:t xml:space="preserve">). To model outcomes in the ‘microbiology-directed treatment setting’, </w:t>
      </w:r>
      <w:bookmarkEnd w:id="9"/>
      <w:r w:rsidR="009E6561" w:rsidRPr="00097548">
        <w:rPr>
          <w:lang w:val="en-GB"/>
        </w:rPr>
        <w:t xml:space="preserve">EEPRU </w:t>
      </w:r>
      <w:r w:rsidR="006F5181">
        <w:rPr>
          <w:lang w:val="en-GB"/>
        </w:rPr>
        <w:t xml:space="preserve">used established methods to </w:t>
      </w:r>
      <w:r w:rsidR="009E6561" w:rsidRPr="00097548">
        <w:rPr>
          <w:lang w:val="en-GB"/>
        </w:rPr>
        <w:t>elicit information from expert</w:t>
      </w:r>
      <w:r w:rsidR="00457C13" w:rsidRPr="00097548">
        <w:rPr>
          <w:lang w:val="en-GB"/>
        </w:rPr>
        <w:t>s</w:t>
      </w:r>
      <w:r w:rsidR="00B26886" w:rsidRPr="00097548">
        <w:rPr>
          <w:lang w:val="en-GB"/>
        </w:rPr>
        <w:t xml:space="preserve"> </w:t>
      </w:r>
      <w:r w:rsidR="009E6561" w:rsidRPr="00097548">
        <w:rPr>
          <w:lang w:val="en-GB"/>
        </w:rPr>
        <w:t xml:space="preserve">to </w:t>
      </w:r>
      <w:r w:rsidR="009C6714" w:rsidRPr="00097548">
        <w:rPr>
          <w:lang w:val="en-GB"/>
        </w:rPr>
        <w:t xml:space="preserve">characterise </w:t>
      </w:r>
      <w:r w:rsidR="009E6561" w:rsidRPr="00097548">
        <w:rPr>
          <w:lang w:val="en-GB"/>
        </w:rPr>
        <w:t xml:space="preserve">the </w:t>
      </w:r>
      <w:r w:rsidR="004E170B" w:rsidRPr="00097548">
        <w:rPr>
          <w:lang w:val="en-GB"/>
        </w:rPr>
        <w:t xml:space="preserve">relationship </w:t>
      </w:r>
      <w:r w:rsidR="009E6561" w:rsidRPr="00097548">
        <w:rPr>
          <w:lang w:val="en-GB"/>
        </w:rPr>
        <w:t>between susceptibility data and clinical outcomes.</w:t>
      </w:r>
      <w:r w:rsidR="00F02518" w:rsidRPr="00097548">
        <w:rPr>
          <w:lang w:val="en-GB"/>
        </w:rPr>
        <w:t xml:space="preserve"> </w:t>
      </w:r>
      <w:r w:rsidR="009E6561" w:rsidRPr="00097548">
        <w:rPr>
          <w:lang w:val="en-GB"/>
        </w:rPr>
        <w:t xml:space="preserve">These outcomes included mortality, length of hospital stay, and type of hospital ward. EEPRU assumed that outcomes were conditional only upon a pathogen’s </w:t>
      </w:r>
      <w:r w:rsidR="004E170B" w:rsidRPr="00097548">
        <w:rPr>
          <w:lang w:val="en-GB"/>
        </w:rPr>
        <w:t xml:space="preserve">in vitro </w:t>
      </w:r>
      <w:r w:rsidR="009E6561" w:rsidRPr="00097548">
        <w:rPr>
          <w:lang w:val="en-GB"/>
        </w:rPr>
        <w:t>susceptibility to the antimicrobial</w:t>
      </w:r>
      <w:r w:rsidR="00457C13" w:rsidRPr="00097548">
        <w:rPr>
          <w:lang w:val="en-GB"/>
        </w:rPr>
        <w:t>,</w:t>
      </w:r>
      <w:r w:rsidR="009E6561" w:rsidRPr="00097548">
        <w:rPr>
          <w:lang w:val="en-GB"/>
        </w:rPr>
        <w:t xml:space="preserve"> and </w:t>
      </w:r>
      <w:r w:rsidR="006F5181">
        <w:rPr>
          <w:lang w:val="en-GB"/>
        </w:rPr>
        <w:t xml:space="preserve">that </w:t>
      </w:r>
      <w:r w:rsidR="009E6561" w:rsidRPr="00097548">
        <w:rPr>
          <w:lang w:val="en-GB"/>
        </w:rPr>
        <w:t xml:space="preserve">outcomes </w:t>
      </w:r>
      <w:r w:rsidR="006F5181">
        <w:rPr>
          <w:lang w:val="en-GB"/>
        </w:rPr>
        <w:t xml:space="preserve">did not depend on </w:t>
      </w:r>
      <w:r w:rsidR="009E6561" w:rsidRPr="00097548">
        <w:rPr>
          <w:lang w:val="en-GB"/>
        </w:rPr>
        <w:t xml:space="preserve">the resistance mechanism causing the infection. </w:t>
      </w:r>
      <w:r w:rsidR="006F5181" w:rsidRPr="00097548">
        <w:rPr>
          <w:lang w:val="en-GB"/>
        </w:rPr>
        <w:t xml:space="preserve">Results were available from between 5 and 7 experts, depending on the question. </w:t>
      </w:r>
      <w:r w:rsidR="009E6561" w:rsidRPr="00097548">
        <w:rPr>
          <w:lang w:val="en-GB"/>
        </w:rPr>
        <w:t xml:space="preserve">Consultation comments on EEPRU’s report </w:t>
      </w:r>
      <w:r w:rsidR="003205F2">
        <w:rPr>
          <w:lang w:val="en-GB"/>
        </w:rPr>
        <w:t>suggested</w:t>
      </w:r>
      <w:r w:rsidR="009E6561" w:rsidRPr="00097548">
        <w:rPr>
          <w:lang w:val="en-GB"/>
        </w:rPr>
        <w:t xml:space="preserve"> that these assumptions were not plausible and </w:t>
      </w:r>
      <w:r w:rsidR="009A0339" w:rsidRPr="00097548">
        <w:rPr>
          <w:lang w:val="en-GB"/>
        </w:rPr>
        <w:t xml:space="preserve">introduced </w:t>
      </w:r>
      <w:r w:rsidR="009E6561" w:rsidRPr="00097548">
        <w:rPr>
          <w:lang w:val="en-GB"/>
        </w:rPr>
        <w:t>uncertainty in</w:t>
      </w:r>
      <w:r w:rsidR="009A0339" w:rsidRPr="00097548">
        <w:rPr>
          <w:lang w:val="en-GB"/>
        </w:rPr>
        <w:t>to</w:t>
      </w:r>
      <w:r w:rsidR="009E6561" w:rsidRPr="00097548">
        <w:rPr>
          <w:lang w:val="en-GB"/>
        </w:rPr>
        <w:t xml:space="preserve"> </w:t>
      </w:r>
      <w:r w:rsidR="00AB6E1C" w:rsidRPr="00097548">
        <w:rPr>
          <w:lang w:val="en-GB"/>
        </w:rPr>
        <w:t xml:space="preserve">the </w:t>
      </w:r>
      <w:r w:rsidR="009E6561" w:rsidRPr="00097548">
        <w:rPr>
          <w:lang w:val="en-GB"/>
        </w:rPr>
        <w:t xml:space="preserve">modelling. Consultees commented that </w:t>
      </w:r>
      <w:r w:rsidR="009E6561" w:rsidRPr="00097548">
        <w:rPr>
          <w:iCs w:val="0"/>
          <w:lang w:val="en-GB"/>
        </w:rPr>
        <w:t>in vitro</w:t>
      </w:r>
      <w:r w:rsidR="009E6561" w:rsidRPr="00097548">
        <w:rPr>
          <w:lang w:val="en-GB"/>
        </w:rPr>
        <w:t xml:space="preserve"> data would not </w:t>
      </w:r>
      <w:r w:rsidR="006F5181">
        <w:rPr>
          <w:lang w:val="en-GB"/>
        </w:rPr>
        <w:t>reflect a patient’s</w:t>
      </w:r>
      <w:r w:rsidR="006F5181" w:rsidRPr="00E04EA0">
        <w:rPr>
          <w:lang w:val="en-GB"/>
        </w:rPr>
        <w:t xml:space="preserve"> </w:t>
      </w:r>
      <w:r w:rsidR="009E6561" w:rsidRPr="00097548">
        <w:rPr>
          <w:lang w:val="en-GB"/>
        </w:rPr>
        <w:t>clinical factors affecting response to treatment</w:t>
      </w:r>
      <w:r w:rsidR="006F5181">
        <w:rPr>
          <w:lang w:val="en-GB"/>
        </w:rPr>
        <w:t xml:space="preserve"> or whether the </w:t>
      </w:r>
      <w:r w:rsidR="006F5181" w:rsidRPr="00C64C0B">
        <w:rPr>
          <w:lang w:val="en-GB"/>
        </w:rPr>
        <w:t xml:space="preserve">tissue penetration </w:t>
      </w:r>
      <w:r w:rsidR="006F5181">
        <w:rPr>
          <w:lang w:val="en-GB"/>
        </w:rPr>
        <w:t xml:space="preserve">of the </w:t>
      </w:r>
      <w:r w:rsidR="006F5181" w:rsidRPr="00C64C0B">
        <w:rPr>
          <w:lang w:val="en-GB"/>
        </w:rPr>
        <w:t>antimicrobial differs by infection site</w:t>
      </w:r>
      <w:r w:rsidR="009E6561" w:rsidRPr="00097548">
        <w:rPr>
          <w:lang w:val="en-GB"/>
        </w:rPr>
        <w:t xml:space="preserve">. </w:t>
      </w:r>
      <w:r w:rsidR="006F5181">
        <w:rPr>
          <w:lang w:val="en-GB"/>
        </w:rPr>
        <w:t>T</w:t>
      </w:r>
      <w:r w:rsidR="0057190A" w:rsidRPr="00097548">
        <w:rPr>
          <w:lang w:val="en-GB"/>
        </w:rPr>
        <w:t xml:space="preserve">he company noted that in vitro susceptibility would not reflect </w:t>
      </w:r>
      <w:proofErr w:type="spellStart"/>
      <w:r w:rsidR="009A0339" w:rsidRPr="00097548">
        <w:rPr>
          <w:lang w:val="en-GB"/>
        </w:rPr>
        <w:t>cefiderocol’s</w:t>
      </w:r>
      <w:proofErr w:type="spellEnd"/>
      <w:r w:rsidR="009A0339" w:rsidRPr="00097548">
        <w:rPr>
          <w:lang w:val="en-GB"/>
        </w:rPr>
        <w:t xml:space="preserve"> </w:t>
      </w:r>
      <w:r w:rsidR="0057190A" w:rsidRPr="00097548">
        <w:rPr>
          <w:lang w:val="en-GB"/>
        </w:rPr>
        <w:t>potential</w:t>
      </w:r>
      <w:r w:rsidR="009A0339" w:rsidRPr="00097548">
        <w:rPr>
          <w:lang w:val="en-GB"/>
        </w:rPr>
        <w:t>ly</w:t>
      </w:r>
      <w:r w:rsidR="0057190A" w:rsidRPr="00097548">
        <w:rPr>
          <w:lang w:val="en-GB"/>
        </w:rPr>
        <w:t xml:space="preserve"> improve</w:t>
      </w:r>
      <w:r w:rsidR="009A0339" w:rsidRPr="00097548">
        <w:rPr>
          <w:lang w:val="en-GB"/>
        </w:rPr>
        <w:t>d</w:t>
      </w:r>
      <w:r w:rsidR="0057190A" w:rsidRPr="00097548">
        <w:rPr>
          <w:lang w:val="en-GB"/>
        </w:rPr>
        <w:t xml:space="preserve"> </w:t>
      </w:r>
      <w:r w:rsidR="009A0339" w:rsidRPr="00097548">
        <w:rPr>
          <w:lang w:val="en-GB"/>
        </w:rPr>
        <w:t>tissue</w:t>
      </w:r>
      <w:r w:rsidR="001362B8" w:rsidRPr="00097548">
        <w:rPr>
          <w:lang w:val="en-GB"/>
        </w:rPr>
        <w:t xml:space="preserve"> penetrat</w:t>
      </w:r>
      <w:r w:rsidR="009A0339" w:rsidRPr="00097548">
        <w:rPr>
          <w:lang w:val="en-GB"/>
        </w:rPr>
        <w:t>ion</w:t>
      </w:r>
      <w:r w:rsidR="001362B8" w:rsidRPr="00097548">
        <w:rPr>
          <w:lang w:val="en-GB"/>
        </w:rPr>
        <w:t xml:space="preserve"> </w:t>
      </w:r>
      <w:r w:rsidR="0057190A" w:rsidRPr="00097548">
        <w:rPr>
          <w:lang w:val="en-GB"/>
        </w:rPr>
        <w:t xml:space="preserve">over its comparators, which </w:t>
      </w:r>
      <w:r w:rsidR="001362B8" w:rsidRPr="00097548">
        <w:rPr>
          <w:lang w:val="en-GB"/>
        </w:rPr>
        <w:t xml:space="preserve">the company </w:t>
      </w:r>
      <w:r w:rsidR="00920F4F" w:rsidRPr="00097548">
        <w:rPr>
          <w:lang w:val="en-GB"/>
        </w:rPr>
        <w:t xml:space="preserve">suggested would increase </w:t>
      </w:r>
      <w:r w:rsidR="00AB6E1C" w:rsidRPr="00097548">
        <w:rPr>
          <w:lang w:val="en-GB"/>
        </w:rPr>
        <w:t xml:space="preserve">its </w:t>
      </w:r>
      <w:r w:rsidR="00920F4F" w:rsidRPr="00097548">
        <w:rPr>
          <w:lang w:val="en-GB"/>
        </w:rPr>
        <w:t>relative effectiveness</w:t>
      </w:r>
      <w:r w:rsidR="0057190A" w:rsidRPr="00097548">
        <w:rPr>
          <w:lang w:val="en-GB"/>
        </w:rPr>
        <w:t xml:space="preserve">. </w:t>
      </w:r>
      <w:r w:rsidR="009E6561" w:rsidRPr="00097548">
        <w:rPr>
          <w:lang w:val="en-GB"/>
        </w:rPr>
        <w:t xml:space="preserve">The clinical experts </w:t>
      </w:r>
      <w:r w:rsidR="006F5181">
        <w:rPr>
          <w:lang w:val="en-GB"/>
        </w:rPr>
        <w:t xml:space="preserve">at the committee meeting </w:t>
      </w:r>
      <w:r w:rsidR="009E6561" w:rsidRPr="00097548">
        <w:rPr>
          <w:lang w:val="en-GB"/>
        </w:rPr>
        <w:t xml:space="preserve">confirmed that there are </w:t>
      </w:r>
      <w:r w:rsidR="006F5181">
        <w:rPr>
          <w:lang w:val="en-GB"/>
        </w:rPr>
        <w:t xml:space="preserve">many </w:t>
      </w:r>
      <w:r w:rsidR="009E6561" w:rsidRPr="00097548">
        <w:rPr>
          <w:lang w:val="en-GB"/>
        </w:rPr>
        <w:t xml:space="preserve">factors </w:t>
      </w:r>
      <w:r w:rsidR="006F5181">
        <w:rPr>
          <w:lang w:val="en-GB"/>
        </w:rPr>
        <w:t xml:space="preserve">other than susceptibility and those identified by EEPRU </w:t>
      </w:r>
      <w:r w:rsidR="009E6561" w:rsidRPr="00097548">
        <w:rPr>
          <w:lang w:val="en-GB"/>
        </w:rPr>
        <w:t xml:space="preserve">that </w:t>
      </w:r>
      <w:r w:rsidR="007C3E4D" w:rsidRPr="00097548">
        <w:rPr>
          <w:lang w:val="en-GB"/>
        </w:rPr>
        <w:t xml:space="preserve">affect </w:t>
      </w:r>
      <w:r w:rsidR="009E6561" w:rsidRPr="00097548">
        <w:rPr>
          <w:lang w:val="en-GB"/>
        </w:rPr>
        <w:t xml:space="preserve">treatment efficacy and outcomes. </w:t>
      </w:r>
      <w:r w:rsidR="00887960" w:rsidRPr="00097548">
        <w:rPr>
          <w:lang w:val="en-GB"/>
        </w:rPr>
        <w:t xml:space="preserve">The consultees highlighted the small sample size </w:t>
      </w:r>
      <w:r w:rsidR="00AB6E1C" w:rsidRPr="00097548">
        <w:rPr>
          <w:lang w:val="en-GB"/>
        </w:rPr>
        <w:t xml:space="preserve">of </w:t>
      </w:r>
      <w:r w:rsidR="00887960" w:rsidRPr="00097548">
        <w:rPr>
          <w:lang w:val="en-GB"/>
        </w:rPr>
        <w:t xml:space="preserve">the expert elicitation. </w:t>
      </w:r>
      <w:r w:rsidR="009E6561" w:rsidRPr="00097548">
        <w:rPr>
          <w:lang w:val="en-GB"/>
        </w:rPr>
        <w:t xml:space="preserve">The clinical experts explained that, in </w:t>
      </w:r>
      <w:r w:rsidR="007C3E4D" w:rsidRPr="00097548">
        <w:rPr>
          <w:lang w:val="en-GB"/>
        </w:rPr>
        <w:t xml:space="preserve">the </w:t>
      </w:r>
      <w:r w:rsidR="009E6561" w:rsidRPr="00097548">
        <w:rPr>
          <w:lang w:val="en-GB"/>
        </w:rPr>
        <w:t xml:space="preserve">absence of alternative evidence and better estimates, using susceptibility as a predictor </w:t>
      </w:r>
      <w:r w:rsidR="00D9604A">
        <w:rPr>
          <w:lang w:val="en-GB"/>
        </w:rPr>
        <w:t>of</w:t>
      </w:r>
      <w:r w:rsidR="00D9604A" w:rsidRPr="00097548">
        <w:rPr>
          <w:lang w:val="en-GB"/>
        </w:rPr>
        <w:t xml:space="preserve"> </w:t>
      </w:r>
      <w:r w:rsidR="009E6561" w:rsidRPr="00097548">
        <w:rPr>
          <w:lang w:val="en-GB"/>
        </w:rPr>
        <w:t xml:space="preserve">clinical outcomes in EEPRU’s model </w:t>
      </w:r>
      <w:r w:rsidR="007C3E4D" w:rsidRPr="00097548">
        <w:rPr>
          <w:lang w:val="en-GB"/>
        </w:rPr>
        <w:t xml:space="preserve">was </w:t>
      </w:r>
      <w:r w:rsidR="009E6561" w:rsidRPr="00097548">
        <w:rPr>
          <w:lang w:val="en-GB"/>
        </w:rPr>
        <w:t xml:space="preserve">reasonable. The committee concluded that susceptibility was a reasonable </w:t>
      </w:r>
      <w:r w:rsidR="006F5181">
        <w:rPr>
          <w:lang w:val="en-GB"/>
        </w:rPr>
        <w:t>surrogate</w:t>
      </w:r>
      <w:r w:rsidR="006F5181" w:rsidRPr="00097548">
        <w:rPr>
          <w:lang w:val="en-GB"/>
        </w:rPr>
        <w:t xml:space="preserve"> </w:t>
      </w:r>
      <w:r w:rsidR="009E6561" w:rsidRPr="00097548">
        <w:rPr>
          <w:lang w:val="en-GB"/>
        </w:rPr>
        <w:t>for clinical outcomes but recognised that it introduced uncertainty in</w:t>
      </w:r>
      <w:r w:rsidR="003205F2">
        <w:rPr>
          <w:lang w:val="en-GB"/>
        </w:rPr>
        <w:t>to</w:t>
      </w:r>
      <w:r w:rsidR="009E6561" w:rsidRPr="00097548">
        <w:rPr>
          <w:lang w:val="en-GB"/>
        </w:rPr>
        <w:t xml:space="preserve"> the model.</w:t>
      </w:r>
    </w:p>
    <w:p w14:paraId="14A03BAE" w14:textId="746F4C8C" w:rsidR="00367501" w:rsidRPr="00097548" w:rsidRDefault="00840B41" w:rsidP="00B24DE9">
      <w:pPr>
        <w:pStyle w:val="Heading3"/>
      </w:pPr>
      <w:r w:rsidRPr="00097548">
        <w:t>EEPRU</w:t>
      </w:r>
      <w:r w:rsidR="00AB6E1C" w:rsidRPr="00097548">
        <w:t>’s base-case economic model</w:t>
      </w:r>
      <w:r w:rsidR="00AC7EAF" w:rsidRPr="00097548">
        <w:t xml:space="preserve"> </w:t>
      </w:r>
      <w:r w:rsidR="00FF2498">
        <w:t>included</w:t>
      </w:r>
      <w:r w:rsidR="00AC7EAF" w:rsidRPr="00097548">
        <w:t xml:space="preserve"> the most appropriate susceptibility studies</w:t>
      </w:r>
    </w:p>
    <w:p w14:paraId="13339D22" w14:textId="77777777" w:rsidR="00211F62" w:rsidRDefault="003A4505" w:rsidP="003A4505">
      <w:pPr>
        <w:pStyle w:val="Numberedlevel2text"/>
        <w:rPr>
          <w:lang w:val="en-GB"/>
        </w:rPr>
      </w:pPr>
      <w:r w:rsidRPr="00097548">
        <w:rPr>
          <w:lang w:val="en-GB"/>
        </w:rPr>
        <w:t xml:space="preserve">EEPRU compared pathogen susceptibility to </w:t>
      </w:r>
      <w:proofErr w:type="spellStart"/>
      <w:r w:rsidR="0057190A" w:rsidRPr="00097548">
        <w:rPr>
          <w:lang w:val="en-GB"/>
        </w:rPr>
        <w:t>cefiderocol</w:t>
      </w:r>
      <w:proofErr w:type="spellEnd"/>
      <w:r w:rsidRPr="00097548">
        <w:rPr>
          <w:lang w:val="en-GB"/>
        </w:rPr>
        <w:t xml:space="preserve"> with susceptibility to other antimicrobials. </w:t>
      </w:r>
      <w:r w:rsidR="001F050D" w:rsidRPr="00097548">
        <w:rPr>
          <w:lang w:val="en-GB"/>
        </w:rPr>
        <w:t>It used a n</w:t>
      </w:r>
      <w:r w:rsidRPr="00097548">
        <w:rPr>
          <w:lang w:val="en-GB"/>
        </w:rPr>
        <w:t>etwork</w:t>
      </w:r>
      <w:r w:rsidR="0039004C" w:rsidRPr="00097548">
        <w:rPr>
          <w:lang w:val="en-GB"/>
        </w:rPr>
        <w:t xml:space="preserve"> </w:t>
      </w:r>
      <w:r w:rsidRPr="00097548">
        <w:rPr>
          <w:lang w:val="en-GB"/>
        </w:rPr>
        <w:t>meta-analys</w:t>
      </w:r>
      <w:r w:rsidR="00481DB6" w:rsidRPr="00097548">
        <w:rPr>
          <w:lang w:val="en-GB"/>
        </w:rPr>
        <w:t>i</w:t>
      </w:r>
      <w:r w:rsidRPr="00097548">
        <w:rPr>
          <w:lang w:val="en-GB"/>
        </w:rPr>
        <w:t xml:space="preserve">s </w:t>
      </w:r>
      <w:r w:rsidR="001F050D" w:rsidRPr="00097548">
        <w:rPr>
          <w:lang w:val="en-GB"/>
        </w:rPr>
        <w:t xml:space="preserve">that </w:t>
      </w:r>
      <w:r w:rsidRPr="00097548">
        <w:rPr>
          <w:lang w:val="en-GB"/>
        </w:rPr>
        <w:t>combine</w:t>
      </w:r>
      <w:r w:rsidR="001F050D" w:rsidRPr="00097548">
        <w:rPr>
          <w:lang w:val="en-GB"/>
        </w:rPr>
        <w:t>d</w:t>
      </w:r>
      <w:r w:rsidRPr="00097548">
        <w:rPr>
          <w:lang w:val="en-GB"/>
        </w:rPr>
        <w:t xml:space="preserve"> </w:t>
      </w:r>
      <w:r w:rsidRPr="00097548">
        <w:rPr>
          <w:lang w:val="en-GB"/>
        </w:rPr>
        <w:lastRenderedPageBreak/>
        <w:t>data from</w:t>
      </w:r>
      <w:r w:rsidR="00481DB6" w:rsidRPr="00097548">
        <w:rPr>
          <w:lang w:val="en-GB"/>
        </w:rPr>
        <w:t xml:space="preserve"> the </w:t>
      </w:r>
      <w:r w:rsidRPr="00097548">
        <w:rPr>
          <w:lang w:val="en-GB"/>
        </w:rPr>
        <w:t xml:space="preserve">susceptibility studies </w:t>
      </w:r>
      <w:r w:rsidR="001F050D" w:rsidRPr="00097548">
        <w:rPr>
          <w:lang w:val="en-GB"/>
        </w:rPr>
        <w:t xml:space="preserve">identified through a systematic literature review </w:t>
      </w:r>
      <w:r w:rsidRPr="00097548">
        <w:rPr>
          <w:lang w:val="en-GB"/>
        </w:rPr>
        <w:t xml:space="preserve">and hospital laboratory data provided by </w:t>
      </w:r>
      <w:r w:rsidR="0028744F" w:rsidRPr="00097548">
        <w:rPr>
          <w:lang w:val="en-GB"/>
        </w:rPr>
        <w:t>the UK Health Security Agency (</w:t>
      </w:r>
      <w:r w:rsidR="00A36505" w:rsidRPr="00097548">
        <w:rPr>
          <w:lang w:val="en-GB"/>
        </w:rPr>
        <w:t>UKHSA; formerly Public Health England</w:t>
      </w:r>
      <w:r w:rsidR="00A250A3" w:rsidRPr="00097548">
        <w:rPr>
          <w:lang w:val="en-GB"/>
        </w:rPr>
        <w:t xml:space="preserve"> [PHE]</w:t>
      </w:r>
      <w:r w:rsidRPr="00097548">
        <w:rPr>
          <w:lang w:val="en-GB"/>
        </w:rPr>
        <w:t xml:space="preserve">). The studies reported the proportion of samples </w:t>
      </w:r>
      <w:r w:rsidR="001A0024" w:rsidRPr="00097548">
        <w:rPr>
          <w:lang w:val="en-GB"/>
        </w:rPr>
        <w:t xml:space="preserve">that </w:t>
      </w:r>
      <w:r w:rsidRPr="00097548">
        <w:rPr>
          <w:lang w:val="en-GB"/>
        </w:rPr>
        <w:t xml:space="preserve">were susceptible to </w:t>
      </w:r>
      <w:proofErr w:type="spellStart"/>
      <w:r w:rsidR="0057190A" w:rsidRPr="00097548">
        <w:rPr>
          <w:lang w:val="en-GB"/>
        </w:rPr>
        <w:t>cefiderocol</w:t>
      </w:r>
      <w:proofErr w:type="spellEnd"/>
      <w:r w:rsidR="0057190A" w:rsidRPr="00097548">
        <w:rPr>
          <w:lang w:val="en-GB"/>
        </w:rPr>
        <w:t xml:space="preserve"> </w:t>
      </w:r>
      <w:r w:rsidRPr="00097548">
        <w:rPr>
          <w:lang w:val="en-GB"/>
        </w:rPr>
        <w:t xml:space="preserve">and </w:t>
      </w:r>
      <w:r w:rsidR="00EB2030">
        <w:rPr>
          <w:lang w:val="en-GB"/>
        </w:rPr>
        <w:t>to</w:t>
      </w:r>
      <w:r w:rsidR="001A0024" w:rsidRPr="00097548">
        <w:rPr>
          <w:lang w:val="en-GB"/>
        </w:rPr>
        <w:t xml:space="preserve"> </w:t>
      </w:r>
      <w:r w:rsidRPr="00097548">
        <w:rPr>
          <w:lang w:val="en-GB"/>
        </w:rPr>
        <w:t xml:space="preserve">comparators. </w:t>
      </w:r>
      <w:r w:rsidR="005545B1" w:rsidRPr="00097548">
        <w:rPr>
          <w:lang w:val="en-GB"/>
        </w:rPr>
        <w:t xml:space="preserve">EEPRU considered the EUCAST </w:t>
      </w:r>
      <w:r w:rsidR="00987A53" w:rsidRPr="00097548">
        <w:rPr>
          <w:lang w:val="en-GB"/>
        </w:rPr>
        <w:t xml:space="preserve">laboratory </w:t>
      </w:r>
      <w:r w:rsidR="005545B1" w:rsidRPr="00097548">
        <w:rPr>
          <w:lang w:val="en-GB"/>
        </w:rPr>
        <w:t>methods</w:t>
      </w:r>
      <w:r w:rsidR="005545B1" w:rsidRPr="00097548" w:rsidDel="001A0024">
        <w:rPr>
          <w:lang w:val="en-GB"/>
        </w:rPr>
        <w:t xml:space="preserve"> </w:t>
      </w:r>
      <w:r w:rsidR="00987A53" w:rsidRPr="00097548">
        <w:rPr>
          <w:lang w:val="en-GB"/>
        </w:rPr>
        <w:t xml:space="preserve">and breakpoints </w:t>
      </w:r>
      <w:r w:rsidR="005545B1" w:rsidRPr="00097548">
        <w:rPr>
          <w:lang w:val="en-GB"/>
        </w:rPr>
        <w:t xml:space="preserve">to be the most applicable to </w:t>
      </w:r>
      <w:proofErr w:type="gramStart"/>
      <w:r w:rsidR="002329E6" w:rsidRPr="00097548">
        <w:rPr>
          <w:lang w:val="en-GB"/>
        </w:rPr>
        <w:t>England</w:t>
      </w:r>
      <w:r w:rsidR="00CD773B" w:rsidRPr="00097548">
        <w:rPr>
          <w:lang w:val="en-GB"/>
        </w:rPr>
        <w:t>,</w:t>
      </w:r>
      <w:r w:rsidR="0099353F" w:rsidRPr="00097548">
        <w:rPr>
          <w:lang w:val="en-GB"/>
        </w:rPr>
        <w:t xml:space="preserve"> </w:t>
      </w:r>
      <w:r w:rsidR="005545B1" w:rsidRPr="00097548">
        <w:rPr>
          <w:lang w:val="en-GB"/>
        </w:rPr>
        <w:t>because</w:t>
      </w:r>
      <w:proofErr w:type="gramEnd"/>
      <w:r w:rsidR="005545B1" w:rsidRPr="00097548">
        <w:rPr>
          <w:lang w:val="en-GB"/>
        </w:rPr>
        <w:t xml:space="preserve"> the British Society for Antimicrobial Chemotherapy recommends </w:t>
      </w:r>
      <w:r w:rsidR="00211F62">
        <w:rPr>
          <w:lang w:val="en-GB"/>
        </w:rPr>
        <w:t>using</w:t>
      </w:r>
      <w:r w:rsidR="0039004C" w:rsidRPr="00097548">
        <w:rPr>
          <w:lang w:val="en-GB"/>
        </w:rPr>
        <w:t xml:space="preserve"> </w:t>
      </w:r>
      <w:r w:rsidR="005545B1" w:rsidRPr="00097548">
        <w:rPr>
          <w:lang w:val="en-GB"/>
        </w:rPr>
        <w:t>EUCAST</w:t>
      </w:r>
      <w:r w:rsidR="00750623" w:rsidRPr="00097548">
        <w:rPr>
          <w:lang w:val="en-GB"/>
        </w:rPr>
        <w:t xml:space="preserve"> methods and breakpoints in clinical practice</w:t>
      </w:r>
      <w:r w:rsidR="005545B1" w:rsidRPr="00097548">
        <w:rPr>
          <w:lang w:val="en-GB"/>
        </w:rPr>
        <w:t xml:space="preserve">. </w:t>
      </w:r>
      <w:r w:rsidR="003442C3" w:rsidRPr="00097548">
        <w:rPr>
          <w:lang w:val="en-GB"/>
        </w:rPr>
        <w:t xml:space="preserve">None of the susceptibility studies identified in </w:t>
      </w:r>
      <w:r w:rsidR="002329E6" w:rsidRPr="00097548">
        <w:rPr>
          <w:lang w:val="en-GB"/>
        </w:rPr>
        <w:t xml:space="preserve">EEPRU’s </w:t>
      </w:r>
      <w:r w:rsidR="003442C3" w:rsidRPr="00097548">
        <w:rPr>
          <w:lang w:val="en-GB"/>
        </w:rPr>
        <w:t>literature review used EUCAST laboratory methods</w:t>
      </w:r>
      <w:r w:rsidR="005545B1" w:rsidRPr="00097548">
        <w:rPr>
          <w:lang w:val="en-GB"/>
        </w:rPr>
        <w:t xml:space="preserve">. Some studies reported data for both EUCAST and CLSI breakpoints, some reported only </w:t>
      </w:r>
      <w:r w:rsidR="00987A53" w:rsidRPr="00097548">
        <w:rPr>
          <w:lang w:val="en-GB"/>
        </w:rPr>
        <w:t>EUCAST breakpoints</w:t>
      </w:r>
      <w:r w:rsidR="00C46168" w:rsidRPr="00097548">
        <w:rPr>
          <w:lang w:val="en-GB"/>
        </w:rPr>
        <w:t>,</w:t>
      </w:r>
      <w:r w:rsidR="00987A53" w:rsidRPr="00097548">
        <w:rPr>
          <w:lang w:val="en-GB"/>
        </w:rPr>
        <w:t xml:space="preserve"> and some reported only CLSI </w:t>
      </w:r>
      <w:r w:rsidR="005545B1" w:rsidRPr="00097548">
        <w:rPr>
          <w:lang w:val="en-GB"/>
        </w:rPr>
        <w:t>breakpoints</w:t>
      </w:r>
      <w:r w:rsidR="00925E5E" w:rsidRPr="00097548">
        <w:rPr>
          <w:lang w:val="en-GB"/>
        </w:rPr>
        <w:t xml:space="preserve">. </w:t>
      </w:r>
      <w:r w:rsidRPr="00097548">
        <w:rPr>
          <w:lang w:val="en-GB"/>
        </w:rPr>
        <w:t xml:space="preserve">In </w:t>
      </w:r>
      <w:r w:rsidR="005575E3" w:rsidRPr="00097548">
        <w:rPr>
          <w:lang w:val="en-GB"/>
        </w:rPr>
        <w:t>it</w:t>
      </w:r>
      <w:r w:rsidR="00897588" w:rsidRPr="00097548">
        <w:rPr>
          <w:lang w:val="en-GB"/>
        </w:rPr>
        <w:t>s</w:t>
      </w:r>
      <w:r w:rsidR="005575E3" w:rsidRPr="00097548">
        <w:rPr>
          <w:lang w:val="en-GB"/>
        </w:rPr>
        <w:t xml:space="preserve"> base-case economic </w:t>
      </w:r>
      <w:r w:rsidR="00897588" w:rsidRPr="00097548">
        <w:rPr>
          <w:lang w:val="en-GB"/>
        </w:rPr>
        <w:t>model</w:t>
      </w:r>
      <w:r w:rsidRPr="00097548">
        <w:rPr>
          <w:lang w:val="en-GB"/>
        </w:rPr>
        <w:t>, EEPRU</w:t>
      </w:r>
      <w:r w:rsidR="001E4C62" w:rsidRPr="00097548">
        <w:rPr>
          <w:lang w:val="en-GB"/>
        </w:rPr>
        <w:t xml:space="preserve"> used </w:t>
      </w:r>
      <w:r w:rsidR="00897588" w:rsidRPr="00097548">
        <w:rPr>
          <w:lang w:val="en-GB"/>
        </w:rPr>
        <w:t xml:space="preserve">a network meta-analysis of </w:t>
      </w:r>
      <w:r w:rsidR="001E4C62" w:rsidRPr="00097548">
        <w:rPr>
          <w:lang w:val="en-GB"/>
        </w:rPr>
        <w:t>studies</w:t>
      </w:r>
      <w:r w:rsidRPr="00097548">
        <w:rPr>
          <w:lang w:val="en-GB"/>
        </w:rPr>
        <w:t xml:space="preserve"> </w:t>
      </w:r>
      <w:r w:rsidR="002329E6" w:rsidRPr="00097548">
        <w:rPr>
          <w:lang w:val="en-GB"/>
        </w:rPr>
        <w:t xml:space="preserve">that </w:t>
      </w:r>
      <w:r w:rsidR="0059024D" w:rsidRPr="00097548">
        <w:rPr>
          <w:lang w:val="en-GB"/>
        </w:rPr>
        <w:t xml:space="preserve">applied </w:t>
      </w:r>
      <w:r w:rsidR="002329E6" w:rsidRPr="00097548">
        <w:rPr>
          <w:lang w:val="en-GB"/>
        </w:rPr>
        <w:t xml:space="preserve">EUCAST </w:t>
      </w:r>
      <w:r w:rsidR="0059024D" w:rsidRPr="00097548">
        <w:rPr>
          <w:lang w:val="en-GB"/>
        </w:rPr>
        <w:t>breakpoints to</w:t>
      </w:r>
      <w:r w:rsidRPr="00097548">
        <w:rPr>
          <w:lang w:val="en-GB"/>
        </w:rPr>
        <w:t xml:space="preserve"> </w:t>
      </w:r>
      <w:r w:rsidR="002329E6" w:rsidRPr="00097548">
        <w:rPr>
          <w:lang w:val="en-GB"/>
        </w:rPr>
        <w:t xml:space="preserve">data generated </w:t>
      </w:r>
      <w:r w:rsidR="0059024D" w:rsidRPr="00097548">
        <w:rPr>
          <w:lang w:val="en-GB"/>
        </w:rPr>
        <w:t>using CLSI laboratory methods. This was</w:t>
      </w:r>
      <w:r w:rsidRPr="00097548">
        <w:rPr>
          <w:lang w:val="en-GB"/>
        </w:rPr>
        <w:t xml:space="preserve"> supplemented by the </w:t>
      </w:r>
      <w:r w:rsidR="002329E6" w:rsidRPr="00097548">
        <w:rPr>
          <w:lang w:val="en-GB"/>
        </w:rPr>
        <w:t xml:space="preserve">UKHSA </w:t>
      </w:r>
      <w:r w:rsidRPr="00097548">
        <w:rPr>
          <w:lang w:val="en-GB"/>
        </w:rPr>
        <w:t>data</w:t>
      </w:r>
      <w:r w:rsidR="0059024D" w:rsidRPr="00097548">
        <w:rPr>
          <w:lang w:val="en-GB"/>
        </w:rPr>
        <w:t xml:space="preserve">, which EEPRU </w:t>
      </w:r>
      <w:r w:rsidR="001A0024" w:rsidRPr="00097548">
        <w:rPr>
          <w:lang w:val="en-GB"/>
        </w:rPr>
        <w:t>assum</w:t>
      </w:r>
      <w:r w:rsidR="0059024D" w:rsidRPr="00097548">
        <w:rPr>
          <w:lang w:val="en-GB"/>
        </w:rPr>
        <w:t>ed</w:t>
      </w:r>
      <w:r w:rsidRPr="00097548">
        <w:rPr>
          <w:lang w:val="en-GB"/>
        </w:rPr>
        <w:t xml:space="preserve"> </w:t>
      </w:r>
      <w:r w:rsidR="00897588" w:rsidRPr="00097548">
        <w:rPr>
          <w:lang w:val="en-GB"/>
        </w:rPr>
        <w:t xml:space="preserve">used </w:t>
      </w:r>
      <w:r w:rsidRPr="00097548">
        <w:rPr>
          <w:lang w:val="en-GB"/>
        </w:rPr>
        <w:t>EUCAST methods</w:t>
      </w:r>
      <w:r w:rsidR="006C2679" w:rsidRPr="00097548">
        <w:rPr>
          <w:lang w:val="en-GB"/>
        </w:rPr>
        <w:t xml:space="preserve"> because it was </w:t>
      </w:r>
      <w:r w:rsidR="0059024D" w:rsidRPr="00097548">
        <w:rPr>
          <w:lang w:val="en-GB"/>
        </w:rPr>
        <w:t>collected in the UK</w:t>
      </w:r>
      <w:r w:rsidRPr="00097548">
        <w:rPr>
          <w:lang w:val="en-GB"/>
        </w:rPr>
        <w:t>.</w:t>
      </w:r>
      <w:r w:rsidR="0059024D" w:rsidRPr="00097548">
        <w:rPr>
          <w:lang w:val="en-GB"/>
        </w:rPr>
        <w:t xml:space="preserve"> </w:t>
      </w:r>
      <w:r w:rsidRPr="00097548">
        <w:rPr>
          <w:lang w:val="en-GB"/>
        </w:rPr>
        <w:t xml:space="preserve">EEPRU </w:t>
      </w:r>
      <w:r w:rsidR="00CE2168" w:rsidRPr="00097548">
        <w:rPr>
          <w:lang w:val="en-GB"/>
        </w:rPr>
        <w:t>did</w:t>
      </w:r>
      <w:r w:rsidRPr="00097548">
        <w:rPr>
          <w:lang w:val="en-GB"/>
        </w:rPr>
        <w:t xml:space="preserve"> scenario network meta-analyses to test the impact of using different studies</w:t>
      </w:r>
      <w:bookmarkStart w:id="10" w:name="_Hlk99967173"/>
      <w:r w:rsidR="0089003E">
        <w:rPr>
          <w:lang w:val="en-GB"/>
        </w:rPr>
        <w:t xml:space="preserve"> and applying different clinical breakpoints</w:t>
      </w:r>
      <w:bookmarkEnd w:id="10"/>
      <w:r w:rsidR="00211F62">
        <w:rPr>
          <w:lang w:val="en-GB"/>
        </w:rPr>
        <w:t>:</w:t>
      </w:r>
    </w:p>
    <w:p w14:paraId="4C3C6882" w14:textId="77777777" w:rsidR="00211F62" w:rsidRDefault="003A4505" w:rsidP="003205F2">
      <w:pPr>
        <w:pStyle w:val="Bulletindent1"/>
        <w:numPr>
          <w:ilvl w:val="0"/>
          <w:numId w:val="21"/>
        </w:numPr>
        <w:tabs>
          <w:tab w:val="num" w:pos="1418"/>
        </w:tabs>
        <w:ind w:left="1418" w:hanging="284"/>
      </w:pPr>
      <w:r w:rsidRPr="00097548">
        <w:t xml:space="preserve">One scenario used </w:t>
      </w:r>
      <w:r w:rsidR="00325A35" w:rsidRPr="00097548">
        <w:t xml:space="preserve">only </w:t>
      </w:r>
      <w:r w:rsidRPr="00097548">
        <w:t xml:space="preserve">the studies </w:t>
      </w:r>
      <w:r w:rsidR="009541D7" w:rsidRPr="00097548">
        <w:t>that</w:t>
      </w:r>
      <w:r w:rsidRPr="00097548">
        <w:t xml:space="preserve"> </w:t>
      </w:r>
      <w:r w:rsidR="00571472" w:rsidRPr="00097548">
        <w:t xml:space="preserve">used </w:t>
      </w:r>
      <w:r w:rsidR="00325A35" w:rsidRPr="00097548">
        <w:t xml:space="preserve">both </w:t>
      </w:r>
      <w:r w:rsidRPr="00097548">
        <w:t xml:space="preserve">CLSI laboratory methods </w:t>
      </w:r>
      <w:r w:rsidR="009541D7" w:rsidRPr="00097548">
        <w:t>and</w:t>
      </w:r>
      <w:r w:rsidRPr="00097548">
        <w:t xml:space="preserve"> </w:t>
      </w:r>
      <w:r w:rsidR="00325A35" w:rsidRPr="00097548">
        <w:t xml:space="preserve">CLSI </w:t>
      </w:r>
      <w:r w:rsidRPr="00097548">
        <w:t xml:space="preserve">breakpoints. </w:t>
      </w:r>
    </w:p>
    <w:p w14:paraId="4F17C18B" w14:textId="77777777" w:rsidR="00211F62" w:rsidRDefault="001A0024" w:rsidP="003205F2">
      <w:pPr>
        <w:pStyle w:val="Bulletindent1last"/>
        <w:numPr>
          <w:ilvl w:val="0"/>
          <w:numId w:val="21"/>
        </w:numPr>
        <w:tabs>
          <w:tab w:val="num" w:pos="1418"/>
        </w:tabs>
        <w:ind w:left="1418" w:hanging="284"/>
      </w:pPr>
      <w:r w:rsidRPr="00097548">
        <w:t xml:space="preserve">Another </w:t>
      </w:r>
      <w:r w:rsidR="00325A35" w:rsidRPr="00097548">
        <w:t xml:space="preserve">scenario included </w:t>
      </w:r>
      <w:r w:rsidR="00571472" w:rsidRPr="00097548">
        <w:t xml:space="preserve">separate evidence networks for </w:t>
      </w:r>
      <w:proofErr w:type="spellStart"/>
      <w:r w:rsidR="00571472" w:rsidRPr="00097548">
        <w:t>cefiderocol</w:t>
      </w:r>
      <w:proofErr w:type="spellEnd"/>
      <w:r w:rsidR="00571472" w:rsidRPr="00097548">
        <w:t xml:space="preserve"> and </w:t>
      </w:r>
      <w:proofErr w:type="spellStart"/>
      <w:r w:rsidR="00571472" w:rsidRPr="00097548">
        <w:t>fosfomycin</w:t>
      </w:r>
      <w:proofErr w:type="spellEnd"/>
      <w:r w:rsidR="00325A35" w:rsidRPr="00097548">
        <w:t>, also</w:t>
      </w:r>
      <w:r w:rsidR="00571472" w:rsidRPr="00097548">
        <w:t xml:space="preserve"> using CLSI laboratory methods and breakpoints. </w:t>
      </w:r>
      <w:r w:rsidR="00177109" w:rsidRPr="00097548">
        <w:t xml:space="preserve">EEPRU </w:t>
      </w:r>
      <w:r w:rsidR="00571472" w:rsidRPr="00097548">
        <w:t xml:space="preserve">combined </w:t>
      </w:r>
      <w:r w:rsidR="00177109" w:rsidRPr="00097548">
        <w:t xml:space="preserve">these </w:t>
      </w:r>
      <w:r w:rsidR="00571472" w:rsidRPr="00097548">
        <w:t xml:space="preserve">with the UKHSA </w:t>
      </w:r>
      <w:r w:rsidR="00481DB6" w:rsidRPr="00097548">
        <w:t>data</w:t>
      </w:r>
      <w:r w:rsidR="00571472" w:rsidRPr="00097548">
        <w:t xml:space="preserve">, which did not include either of these </w:t>
      </w:r>
      <w:r w:rsidR="009877EC" w:rsidRPr="00097548">
        <w:t xml:space="preserve">2 </w:t>
      </w:r>
      <w:r w:rsidR="00571472" w:rsidRPr="00097548">
        <w:t xml:space="preserve">therapies, </w:t>
      </w:r>
      <w:r w:rsidR="00CD2418" w:rsidRPr="00097548">
        <w:t>to generate relative effectiveness estimates for all the comparators</w:t>
      </w:r>
      <w:r w:rsidR="00481DB6" w:rsidRPr="00097548">
        <w:t>.</w:t>
      </w:r>
      <w:r w:rsidR="003A4505" w:rsidRPr="00097548">
        <w:t xml:space="preserve"> </w:t>
      </w:r>
    </w:p>
    <w:p w14:paraId="64F84533" w14:textId="44822023" w:rsidR="003A4505" w:rsidRPr="00097548" w:rsidRDefault="004307F2" w:rsidP="00211F62">
      <w:pPr>
        <w:pStyle w:val="Numberedlevel2text"/>
        <w:numPr>
          <w:ilvl w:val="0"/>
          <w:numId w:val="0"/>
        </w:numPr>
        <w:ind w:left="1134"/>
        <w:rPr>
          <w:lang w:val="en-GB"/>
        </w:rPr>
      </w:pPr>
      <w:r w:rsidRPr="00097548">
        <w:rPr>
          <w:lang w:val="en-GB"/>
        </w:rPr>
        <w:t xml:space="preserve">There </w:t>
      </w:r>
      <w:r w:rsidRPr="00211F62">
        <w:t>was</w:t>
      </w:r>
      <w:r w:rsidRPr="00097548">
        <w:rPr>
          <w:lang w:val="en-GB"/>
        </w:rPr>
        <w:t xml:space="preserve"> no consensus among consultees on whether EEPRU’s approach of mixing lab</w:t>
      </w:r>
      <w:r w:rsidR="001E4C62" w:rsidRPr="00097548">
        <w:rPr>
          <w:lang w:val="en-GB"/>
        </w:rPr>
        <w:t>oratory</w:t>
      </w:r>
      <w:r w:rsidRPr="00097548">
        <w:rPr>
          <w:lang w:val="en-GB"/>
        </w:rPr>
        <w:t xml:space="preserve"> methods and breakpoints</w:t>
      </w:r>
      <w:r w:rsidR="001E4C62" w:rsidRPr="00097548">
        <w:rPr>
          <w:lang w:val="en-GB"/>
        </w:rPr>
        <w:t xml:space="preserve"> in its base</w:t>
      </w:r>
      <w:r w:rsidR="00331735" w:rsidRPr="00097548">
        <w:rPr>
          <w:lang w:val="en-GB"/>
        </w:rPr>
        <w:t>-</w:t>
      </w:r>
      <w:r w:rsidR="001E4C62" w:rsidRPr="00097548">
        <w:rPr>
          <w:lang w:val="en-GB"/>
        </w:rPr>
        <w:t>case network meta-analysis</w:t>
      </w:r>
      <w:r w:rsidRPr="00097548">
        <w:rPr>
          <w:lang w:val="en-GB"/>
        </w:rPr>
        <w:t xml:space="preserve"> was valid</w:t>
      </w:r>
      <w:r w:rsidR="009877EC" w:rsidRPr="00097548">
        <w:rPr>
          <w:lang w:val="en-GB"/>
        </w:rPr>
        <w:t xml:space="preserve"> or invalid</w:t>
      </w:r>
      <w:r w:rsidRPr="00097548">
        <w:rPr>
          <w:lang w:val="en-GB"/>
        </w:rPr>
        <w:t xml:space="preserve">. </w:t>
      </w:r>
      <w:r w:rsidR="00557EF0" w:rsidRPr="00097548">
        <w:rPr>
          <w:lang w:val="en-GB"/>
        </w:rPr>
        <w:t xml:space="preserve">The committee </w:t>
      </w:r>
      <w:r w:rsidR="00584BE2" w:rsidRPr="00097548">
        <w:rPr>
          <w:lang w:val="en-GB"/>
        </w:rPr>
        <w:t>preferred using</w:t>
      </w:r>
      <w:r w:rsidR="00557EF0" w:rsidRPr="00097548">
        <w:rPr>
          <w:lang w:val="en-GB"/>
        </w:rPr>
        <w:t xml:space="preserve"> EUCAST breakpoints because they are the most applicable to England. It agreed that it was acceptable to apply EUCAST breakpoints to data generated using CLSI laboratory methods, because the EUCAST and CLSI laboratory methods are sufficiently similar. </w:t>
      </w:r>
      <w:r w:rsidR="003A4505" w:rsidRPr="00097548">
        <w:rPr>
          <w:lang w:val="en-GB"/>
        </w:rPr>
        <w:t xml:space="preserve">The committee </w:t>
      </w:r>
      <w:r w:rsidR="003A4505" w:rsidRPr="00097548">
        <w:rPr>
          <w:lang w:val="en-GB"/>
        </w:rPr>
        <w:lastRenderedPageBreak/>
        <w:t>concluded that</w:t>
      </w:r>
      <w:r w:rsidR="00554194" w:rsidRPr="00097548">
        <w:rPr>
          <w:lang w:val="en-GB"/>
        </w:rPr>
        <w:t xml:space="preserve"> the network meta-analysis</w:t>
      </w:r>
      <w:r w:rsidR="003A4505" w:rsidRPr="00097548">
        <w:rPr>
          <w:lang w:val="en-GB"/>
        </w:rPr>
        <w:t xml:space="preserve"> </w:t>
      </w:r>
      <w:r w:rsidR="0026790C" w:rsidRPr="00097548">
        <w:rPr>
          <w:lang w:val="en-GB"/>
        </w:rPr>
        <w:t xml:space="preserve">EEPRU </w:t>
      </w:r>
      <w:r w:rsidR="005B6C09" w:rsidRPr="00097548">
        <w:rPr>
          <w:lang w:val="en-GB"/>
        </w:rPr>
        <w:t>used in its base</w:t>
      </w:r>
      <w:r w:rsidR="00097548">
        <w:rPr>
          <w:lang w:val="en-GB"/>
        </w:rPr>
        <w:t>-</w:t>
      </w:r>
      <w:r w:rsidR="005B6C09" w:rsidRPr="00097548">
        <w:rPr>
          <w:lang w:val="en-GB"/>
        </w:rPr>
        <w:t xml:space="preserve">case </w:t>
      </w:r>
      <w:r w:rsidR="00554194" w:rsidRPr="00097548">
        <w:rPr>
          <w:lang w:val="en-GB"/>
        </w:rPr>
        <w:t xml:space="preserve">economic model </w:t>
      </w:r>
      <w:r w:rsidR="003A4505" w:rsidRPr="00097548">
        <w:rPr>
          <w:lang w:val="en-GB"/>
        </w:rPr>
        <w:t xml:space="preserve">was an appropriate source of </w:t>
      </w:r>
      <w:r w:rsidR="00554194" w:rsidRPr="00097548">
        <w:rPr>
          <w:lang w:val="en-GB"/>
        </w:rPr>
        <w:t xml:space="preserve">susceptibility </w:t>
      </w:r>
      <w:r w:rsidR="003A4505" w:rsidRPr="00097548">
        <w:rPr>
          <w:lang w:val="en-GB"/>
        </w:rPr>
        <w:t>evidence.</w:t>
      </w:r>
    </w:p>
    <w:p w14:paraId="68FB4A3F" w14:textId="7D231CE1" w:rsidR="006E2C3C" w:rsidRPr="00097548" w:rsidRDefault="00367501" w:rsidP="00367501">
      <w:pPr>
        <w:pStyle w:val="Heading2"/>
      </w:pPr>
      <w:r w:rsidRPr="00097548">
        <w:t xml:space="preserve">Economic </w:t>
      </w:r>
      <w:r w:rsidR="0030276D" w:rsidRPr="00097548">
        <w:t>evidence</w:t>
      </w:r>
    </w:p>
    <w:p w14:paraId="0351BC7D" w14:textId="77777777" w:rsidR="000F6426" w:rsidRPr="00097548" w:rsidRDefault="000F6426" w:rsidP="000F6426">
      <w:pPr>
        <w:pStyle w:val="Heading3"/>
      </w:pPr>
      <w:r w:rsidRPr="00097548">
        <w:t>The comparator treatments in EEPRU’s model are appropriate</w:t>
      </w:r>
    </w:p>
    <w:p w14:paraId="136290BD" w14:textId="457A4B20" w:rsidR="00695E72" w:rsidRPr="00097548" w:rsidRDefault="000F6426" w:rsidP="00695E72">
      <w:pPr>
        <w:pStyle w:val="Numberedlevel2text"/>
        <w:rPr>
          <w:lang w:val="en-GB"/>
        </w:rPr>
      </w:pPr>
      <w:r w:rsidRPr="00097548">
        <w:rPr>
          <w:lang w:val="en-GB"/>
        </w:rPr>
        <w:t xml:space="preserve">Current standard care for treating infections </w:t>
      </w:r>
      <w:r w:rsidR="00CA4B16" w:rsidRPr="00097548">
        <w:rPr>
          <w:lang w:val="en-GB"/>
        </w:rPr>
        <w:t>suspected or confirmed to be caused by MBL</w:t>
      </w:r>
      <w:r w:rsidR="00CA4B16">
        <w:rPr>
          <w:lang w:val="en-GB"/>
        </w:rPr>
        <w:t>-producing</w:t>
      </w:r>
      <w:r w:rsidR="00CA4B16" w:rsidRPr="00097548" w:rsidDel="00CA4B16">
        <w:rPr>
          <w:lang w:val="en-GB"/>
        </w:rPr>
        <w:t xml:space="preserve"> </w:t>
      </w:r>
      <w:proofErr w:type="spellStart"/>
      <w:r w:rsidRPr="00451798">
        <w:rPr>
          <w:i/>
          <w:iCs w:val="0"/>
          <w:lang w:val="en-GB"/>
        </w:rPr>
        <w:t>Enterobacterales</w:t>
      </w:r>
      <w:proofErr w:type="spellEnd"/>
      <w:r w:rsidRPr="00097548">
        <w:rPr>
          <w:lang w:val="en-GB"/>
        </w:rPr>
        <w:t xml:space="preserve"> or </w:t>
      </w:r>
      <w:r w:rsidRPr="00451798">
        <w:rPr>
          <w:i/>
          <w:iCs w:val="0"/>
          <w:lang w:val="en-GB"/>
        </w:rPr>
        <w:t>Pseudomonas aeruginosa</w:t>
      </w:r>
      <w:r w:rsidRPr="00097548">
        <w:rPr>
          <w:lang w:val="en-GB"/>
        </w:rPr>
        <w:t xml:space="preserve"> includes a range of antimicrobials. Treatment choice depends on the infection site, the pathogen, whether microbiological testing has confirmed the resistance mechanism, and whether the pathogen has additional mechanisms of resistance. For </w:t>
      </w:r>
      <w:proofErr w:type="spellStart"/>
      <w:r w:rsidRPr="00451798">
        <w:rPr>
          <w:i/>
          <w:iCs w:val="0"/>
          <w:lang w:val="en-GB"/>
        </w:rPr>
        <w:t>Enterobacterales</w:t>
      </w:r>
      <w:proofErr w:type="spellEnd"/>
      <w:r w:rsidRPr="00097548">
        <w:rPr>
          <w:lang w:val="en-GB"/>
        </w:rPr>
        <w:t xml:space="preserve"> infections, the comparators were aminoglycosides and aztreonam, tigecycline</w:t>
      </w:r>
      <w:r w:rsidR="002E40C8" w:rsidRPr="00097548">
        <w:rPr>
          <w:lang w:val="en-GB"/>
        </w:rPr>
        <w:t>,</w:t>
      </w:r>
      <w:r w:rsidRPr="00097548">
        <w:rPr>
          <w:lang w:val="en-GB"/>
        </w:rPr>
        <w:t xml:space="preserve"> or </w:t>
      </w:r>
      <w:proofErr w:type="spellStart"/>
      <w:r w:rsidRPr="00097548">
        <w:rPr>
          <w:lang w:val="en-GB"/>
        </w:rPr>
        <w:t>fosfomycin</w:t>
      </w:r>
      <w:proofErr w:type="spellEnd"/>
      <w:r w:rsidRPr="00097548">
        <w:rPr>
          <w:lang w:val="en-GB"/>
        </w:rPr>
        <w:t xml:space="preserve"> with colistin. For </w:t>
      </w:r>
      <w:r w:rsidR="00067F4E">
        <w:rPr>
          <w:i/>
          <w:iCs w:val="0"/>
          <w:lang w:val="en-GB"/>
        </w:rPr>
        <w:t>Pseudomonas aeruginosa</w:t>
      </w:r>
      <w:r w:rsidRPr="00097548">
        <w:rPr>
          <w:lang w:val="en-GB"/>
        </w:rPr>
        <w:t xml:space="preserve"> infections, comparators were </w:t>
      </w:r>
      <w:proofErr w:type="spellStart"/>
      <w:r w:rsidRPr="00097548">
        <w:rPr>
          <w:lang w:val="en-GB"/>
        </w:rPr>
        <w:t>fosfomycin</w:t>
      </w:r>
      <w:proofErr w:type="spellEnd"/>
      <w:r w:rsidRPr="00097548">
        <w:rPr>
          <w:lang w:val="en-GB"/>
        </w:rPr>
        <w:t xml:space="preserve"> with colistin</w:t>
      </w:r>
      <w:r w:rsidR="00011124" w:rsidRPr="00097548">
        <w:rPr>
          <w:lang w:val="en-GB"/>
        </w:rPr>
        <w:t>,</w:t>
      </w:r>
      <w:r w:rsidRPr="00097548">
        <w:rPr>
          <w:lang w:val="en-GB"/>
        </w:rPr>
        <w:t xml:space="preserve"> or meropenem. </w:t>
      </w:r>
      <w:r w:rsidR="00185E7D" w:rsidRPr="00097548">
        <w:rPr>
          <w:lang w:val="en-GB"/>
        </w:rPr>
        <w:t xml:space="preserve">When more than </w:t>
      </w:r>
      <w:r w:rsidR="003205F2">
        <w:rPr>
          <w:lang w:val="en-GB"/>
        </w:rPr>
        <w:t>1</w:t>
      </w:r>
      <w:r w:rsidR="00185E7D" w:rsidRPr="00097548">
        <w:rPr>
          <w:lang w:val="en-GB"/>
        </w:rPr>
        <w:t xml:space="preserve"> formulation was available, EEPRU assumed all comparators were given intravenously. </w:t>
      </w:r>
      <w:r w:rsidRPr="00097548">
        <w:rPr>
          <w:lang w:val="en-GB"/>
        </w:rPr>
        <w:t xml:space="preserve">The clinical experts explained that treatment is usually a combination of 2 or 3 </w:t>
      </w:r>
      <w:proofErr w:type="gramStart"/>
      <w:r w:rsidRPr="00097548">
        <w:rPr>
          <w:lang w:val="en-GB"/>
        </w:rPr>
        <w:t>agents, and</w:t>
      </w:r>
      <w:proofErr w:type="gramEnd"/>
      <w:r w:rsidRPr="00097548">
        <w:rPr>
          <w:lang w:val="en-GB"/>
        </w:rPr>
        <w:t xml:space="preserve"> confirmed that EEPRU’s comparators were appropriate. To simplify its approach to modelling, EEPRU classified patients </w:t>
      </w:r>
      <w:r w:rsidR="00695E72" w:rsidRPr="00097548">
        <w:rPr>
          <w:lang w:val="en-GB"/>
        </w:rPr>
        <w:t>into 2 groups</w:t>
      </w:r>
      <w:r w:rsidR="00F4448A">
        <w:rPr>
          <w:lang w:val="en-GB"/>
        </w:rPr>
        <w:t xml:space="preserve"> of</w:t>
      </w:r>
      <w:r w:rsidR="00695E72" w:rsidRPr="00097548">
        <w:rPr>
          <w:lang w:val="en-GB"/>
        </w:rPr>
        <w:t xml:space="preserve"> </w:t>
      </w:r>
      <w:r w:rsidR="00CF59FB" w:rsidRPr="00097548">
        <w:rPr>
          <w:lang w:val="en-GB"/>
        </w:rPr>
        <w:t xml:space="preserve">people </w:t>
      </w:r>
      <w:r w:rsidR="00695E72" w:rsidRPr="00097548">
        <w:rPr>
          <w:lang w:val="en-GB"/>
        </w:rPr>
        <w:t xml:space="preserve">with </w:t>
      </w:r>
      <w:r w:rsidR="00A250A3" w:rsidRPr="00097548">
        <w:rPr>
          <w:lang w:val="en-GB"/>
        </w:rPr>
        <w:t xml:space="preserve">an </w:t>
      </w:r>
      <w:r w:rsidR="00695E72" w:rsidRPr="00097548">
        <w:rPr>
          <w:lang w:val="en-GB"/>
        </w:rPr>
        <w:t>infection</w:t>
      </w:r>
      <w:r w:rsidR="003205F2">
        <w:rPr>
          <w:lang w:val="en-GB"/>
        </w:rPr>
        <w:t xml:space="preserve"> that was</w:t>
      </w:r>
      <w:r w:rsidR="00695E72" w:rsidRPr="00097548">
        <w:rPr>
          <w:lang w:val="en-GB"/>
        </w:rPr>
        <w:t>:</w:t>
      </w:r>
    </w:p>
    <w:p w14:paraId="475755D6" w14:textId="59B77DD2" w:rsidR="00695E72" w:rsidRPr="00097548" w:rsidRDefault="00695E72" w:rsidP="003205F2">
      <w:pPr>
        <w:pStyle w:val="Bulletindent1"/>
        <w:numPr>
          <w:ilvl w:val="0"/>
          <w:numId w:val="23"/>
        </w:numPr>
        <w:tabs>
          <w:tab w:val="num" w:pos="1418"/>
        </w:tabs>
        <w:ind w:left="1418" w:hanging="284"/>
      </w:pPr>
      <w:r w:rsidRPr="00097548">
        <w:t>susceptible to colistin-based therapy or aminoglycoside-based therapy</w:t>
      </w:r>
    </w:p>
    <w:p w14:paraId="0BD5018D" w14:textId="06B54141" w:rsidR="00695E72" w:rsidRPr="00097548" w:rsidRDefault="00695E72" w:rsidP="003205F2">
      <w:pPr>
        <w:pStyle w:val="Bulletindent1last"/>
        <w:numPr>
          <w:ilvl w:val="0"/>
          <w:numId w:val="23"/>
        </w:numPr>
        <w:tabs>
          <w:tab w:val="num" w:pos="1418"/>
        </w:tabs>
        <w:ind w:left="1418" w:hanging="284"/>
      </w:pPr>
      <w:r w:rsidRPr="00097548">
        <w:t xml:space="preserve">not susceptible to </w:t>
      </w:r>
      <w:r w:rsidR="00F4448A">
        <w:t xml:space="preserve">either </w:t>
      </w:r>
      <w:r w:rsidRPr="00097548">
        <w:t>colistin-based therapy or aminoglycoside-based therapy</w:t>
      </w:r>
      <w:r w:rsidR="00A250A3" w:rsidRPr="00097548">
        <w:t>.</w:t>
      </w:r>
    </w:p>
    <w:p w14:paraId="4717D9D4" w14:textId="7DF10577" w:rsidR="000F6426" w:rsidRPr="00097548" w:rsidRDefault="000F6426" w:rsidP="00695E72">
      <w:pPr>
        <w:pStyle w:val="Numberedlevel2text"/>
        <w:numPr>
          <w:ilvl w:val="0"/>
          <w:numId w:val="0"/>
        </w:numPr>
        <w:ind w:left="1134"/>
        <w:rPr>
          <w:lang w:val="en-GB"/>
        </w:rPr>
      </w:pPr>
      <w:r w:rsidRPr="00097548">
        <w:rPr>
          <w:lang w:val="en-GB"/>
        </w:rPr>
        <w:t>The clinical experts</w:t>
      </w:r>
      <w:r w:rsidR="00F4448A">
        <w:rPr>
          <w:lang w:val="en-GB"/>
        </w:rPr>
        <w:t xml:space="preserve"> on the committee </w:t>
      </w:r>
      <w:bookmarkStart w:id="11" w:name="_Hlk109203559"/>
      <w:r w:rsidR="00F4448A">
        <w:rPr>
          <w:lang w:val="en-GB"/>
        </w:rPr>
        <w:t>and at the meeting</w:t>
      </w:r>
      <w:r w:rsidRPr="00097548">
        <w:rPr>
          <w:lang w:val="en-GB"/>
        </w:rPr>
        <w:t xml:space="preserve"> </w:t>
      </w:r>
      <w:bookmarkEnd w:id="11"/>
      <w:r w:rsidRPr="00097548">
        <w:rPr>
          <w:lang w:val="en-GB"/>
        </w:rPr>
        <w:t>agreed that it was appropriate to consider colistin and aminoglycosides separately from other antimicrobials because they are associated with a risk of renal toxicity</w:t>
      </w:r>
      <w:r w:rsidR="00A8194A" w:rsidRPr="00097548">
        <w:rPr>
          <w:lang w:val="en-GB"/>
        </w:rPr>
        <w:t>,</w:t>
      </w:r>
      <w:r w:rsidRPr="00097548">
        <w:rPr>
          <w:lang w:val="en-GB"/>
        </w:rPr>
        <w:t xml:space="preserve"> which is higher with colistin than aminoglycosides. The clinical experts explained that a proportion of people at risk of severe and potentially irreversible renal damage would not be offered colistin or aminoglycosides in practice, even if no other effective antimicrobials were available</w:t>
      </w:r>
      <w:bookmarkStart w:id="12" w:name="_Hlk99967392"/>
      <w:r w:rsidR="00502475">
        <w:rPr>
          <w:lang w:val="en-GB"/>
        </w:rPr>
        <w:t xml:space="preserve"> (see section </w:t>
      </w:r>
      <w:r w:rsidR="009B5DCA">
        <w:rPr>
          <w:lang w:val="en-GB"/>
        </w:rPr>
        <w:t>4</w:t>
      </w:r>
      <w:r w:rsidR="00502475">
        <w:rPr>
          <w:lang w:val="en-GB"/>
        </w:rPr>
        <w:t>.16)</w:t>
      </w:r>
      <w:bookmarkEnd w:id="12"/>
      <w:r w:rsidRPr="00097548">
        <w:rPr>
          <w:lang w:val="en-GB"/>
        </w:rPr>
        <w:t xml:space="preserve">. The committee concluded that the </w:t>
      </w:r>
      <w:r w:rsidRPr="00097548">
        <w:rPr>
          <w:lang w:val="en-GB"/>
        </w:rPr>
        <w:lastRenderedPageBreak/>
        <w:t>comparators and classification of comparators in EEPRU’s analyses were appropriate.</w:t>
      </w:r>
    </w:p>
    <w:p w14:paraId="61A6A8F1" w14:textId="6EC40960" w:rsidR="00090108" w:rsidRPr="00097548" w:rsidRDefault="00367501" w:rsidP="00367501">
      <w:pPr>
        <w:pStyle w:val="Heading3"/>
      </w:pPr>
      <w:r w:rsidRPr="00097548">
        <w:t>EEPRU</w:t>
      </w:r>
      <w:r w:rsidR="0030276D" w:rsidRPr="00097548">
        <w:t xml:space="preserve"> model</w:t>
      </w:r>
      <w:r w:rsidR="00C25475" w:rsidRPr="00097548">
        <w:t xml:space="preserve">led benefits of </w:t>
      </w:r>
      <w:proofErr w:type="spellStart"/>
      <w:r w:rsidR="004307F2" w:rsidRPr="00097548">
        <w:t>cefiderocol</w:t>
      </w:r>
      <w:proofErr w:type="spellEnd"/>
      <w:r w:rsidR="00C25475" w:rsidRPr="00097548">
        <w:t xml:space="preserve"> </w:t>
      </w:r>
      <w:r w:rsidR="001C6CA7" w:rsidRPr="00097548">
        <w:t xml:space="preserve">in 2 stages: at the </w:t>
      </w:r>
      <w:r w:rsidR="00692F85" w:rsidRPr="00097548">
        <w:t xml:space="preserve">individual </w:t>
      </w:r>
      <w:r w:rsidR="001C6CA7" w:rsidRPr="00097548">
        <w:t>patient</w:t>
      </w:r>
      <w:r w:rsidR="00562F9D" w:rsidRPr="00097548">
        <w:t xml:space="preserve"> </w:t>
      </w:r>
      <w:r w:rsidR="001C6CA7" w:rsidRPr="00097548">
        <w:t>level and at the population</w:t>
      </w:r>
      <w:r w:rsidR="00562F9D" w:rsidRPr="00097548">
        <w:t xml:space="preserve"> </w:t>
      </w:r>
      <w:r w:rsidR="001C6CA7" w:rsidRPr="00097548">
        <w:t>level</w:t>
      </w:r>
    </w:p>
    <w:p w14:paraId="04069368" w14:textId="453C8340" w:rsidR="0030276D" w:rsidRPr="00097548" w:rsidRDefault="0027197C" w:rsidP="0030276D">
      <w:pPr>
        <w:pStyle w:val="Numberedlevel2text"/>
        <w:rPr>
          <w:lang w:val="en-GB"/>
        </w:rPr>
      </w:pPr>
      <w:r w:rsidRPr="00097548">
        <w:rPr>
          <w:lang w:val="en-GB"/>
        </w:rPr>
        <w:t>EEPRU quantif</w:t>
      </w:r>
      <w:r w:rsidR="00BF77A7" w:rsidRPr="00097548">
        <w:rPr>
          <w:lang w:val="en-GB"/>
        </w:rPr>
        <w:t>ied</w:t>
      </w:r>
      <w:r w:rsidRPr="00097548">
        <w:rPr>
          <w:lang w:val="en-GB"/>
        </w:rPr>
        <w:t xml:space="preserve"> the benefits of </w:t>
      </w:r>
      <w:proofErr w:type="spellStart"/>
      <w:r w:rsidR="00031F60" w:rsidRPr="00097548">
        <w:rPr>
          <w:lang w:val="en-GB"/>
        </w:rPr>
        <w:t>cefiderocol</w:t>
      </w:r>
      <w:proofErr w:type="spellEnd"/>
      <w:r w:rsidR="0051044F" w:rsidRPr="00097548">
        <w:rPr>
          <w:lang w:val="en-GB"/>
        </w:rPr>
        <w:t xml:space="preserve"> </w:t>
      </w:r>
      <w:r w:rsidR="001C6CA7" w:rsidRPr="00097548">
        <w:rPr>
          <w:lang w:val="en-GB"/>
        </w:rPr>
        <w:t>in 2 stages</w:t>
      </w:r>
      <w:r w:rsidRPr="00097548">
        <w:rPr>
          <w:lang w:val="en-GB"/>
        </w:rPr>
        <w:t xml:space="preserve">. First, </w:t>
      </w:r>
      <w:r w:rsidR="007874DE" w:rsidRPr="00097548">
        <w:rPr>
          <w:lang w:val="en-GB"/>
        </w:rPr>
        <w:t xml:space="preserve">it </w:t>
      </w:r>
      <w:r w:rsidRPr="00097548">
        <w:rPr>
          <w:lang w:val="en-GB"/>
        </w:rPr>
        <w:t xml:space="preserve">developed a </w:t>
      </w:r>
      <w:r w:rsidR="007874DE" w:rsidRPr="00097548">
        <w:rPr>
          <w:lang w:val="en-GB"/>
        </w:rPr>
        <w:t>new</w:t>
      </w:r>
      <w:r w:rsidRPr="00097548">
        <w:rPr>
          <w:lang w:val="en-GB"/>
        </w:rPr>
        <w:t xml:space="preserve"> decision analytic model to estimate the </w:t>
      </w:r>
      <w:r w:rsidR="00576EB4" w:rsidRPr="00097548">
        <w:rPr>
          <w:lang w:val="en-GB"/>
        </w:rPr>
        <w:t xml:space="preserve">costs and </w:t>
      </w:r>
      <w:r w:rsidRPr="00097548">
        <w:rPr>
          <w:lang w:val="en-GB"/>
        </w:rPr>
        <w:t xml:space="preserve">benefits of </w:t>
      </w:r>
      <w:proofErr w:type="spellStart"/>
      <w:r w:rsidR="00031F60" w:rsidRPr="00097548">
        <w:rPr>
          <w:lang w:val="en-GB"/>
        </w:rPr>
        <w:t>cefiderocol</w:t>
      </w:r>
      <w:proofErr w:type="spellEnd"/>
      <w:r w:rsidR="00031F60" w:rsidRPr="00097548">
        <w:rPr>
          <w:lang w:val="en-GB"/>
        </w:rPr>
        <w:t xml:space="preserve"> </w:t>
      </w:r>
      <w:r w:rsidR="00DE2728" w:rsidRPr="00097548">
        <w:rPr>
          <w:lang w:val="en-GB"/>
        </w:rPr>
        <w:t>over a patient’s lifetime</w:t>
      </w:r>
      <w:r w:rsidR="00576EB4" w:rsidRPr="00097548">
        <w:rPr>
          <w:lang w:val="en-GB"/>
        </w:rPr>
        <w:t xml:space="preserve"> </w:t>
      </w:r>
      <w:r w:rsidR="00BF77A7" w:rsidRPr="00097548">
        <w:rPr>
          <w:lang w:val="en-GB"/>
        </w:rPr>
        <w:t>(the ‘patient-level model’)</w:t>
      </w:r>
      <w:r w:rsidR="008215F5" w:rsidRPr="00097548">
        <w:rPr>
          <w:lang w:val="en-GB"/>
        </w:rPr>
        <w:t xml:space="preserve">. </w:t>
      </w:r>
      <w:r w:rsidR="007874DE" w:rsidRPr="00097548">
        <w:rPr>
          <w:lang w:val="en-GB"/>
        </w:rPr>
        <w:t xml:space="preserve">It </w:t>
      </w:r>
      <w:r w:rsidR="00692F85" w:rsidRPr="00097548">
        <w:rPr>
          <w:lang w:val="en-GB"/>
        </w:rPr>
        <w:t>modelled the clinical effectiveness, safety, quality of life</w:t>
      </w:r>
      <w:r w:rsidR="000F2D63" w:rsidRPr="00097548">
        <w:rPr>
          <w:lang w:val="en-GB"/>
        </w:rPr>
        <w:t>, costs</w:t>
      </w:r>
      <w:r w:rsidR="00B770D5" w:rsidRPr="00097548">
        <w:rPr>
          <w:lang w:val="en-GB"/>
        </w:rPr>
        <w:t xml:space="preserve"> a</w:t>
      </w:r>
      <w:r w:rsidR="00692F85" w:rsidRPr="00097548">
        <w:rPr>
          <w:lang w:val="en-GB"/>
        </w:rPr>
        <w:t>nd resource</w:t>
      </w:r>
      <w:r w:rsidR="00E1655C" w:rsidRPr="00097548">
        <w:rPr>
          <w:lang w:val="en-GB"/>
        </w:rPr>
        <w:t xml:space="preserve"> </w:t>
      </w:r>
      <w:r w:rsidR="00692F85" w:rsidRPr="00097548">
        <w:rPr>
          <w:lang w:val="en-GB"/>
        </w:rPr>
        <w:t xml:space="preserve">use associated with </w:t>
      </w:r>
      <w:proofErr w:type="spellStart"/>
      <w:r w:rsidR="00444E4E" w:rsidRPr="00097548">
        <w:rPr>
          <w:lang w:val="en-GB"/>
        </w:rPr>
        <w:t>cefiderocol</w:t>
      </w:r>
      <w:proofErr w:type="spellEnd"/>
      <w:r w:rsidR="00692F85" w:rsidRPr="00097548">
        <w:rPr>
          <w:lang w:val="en-GB"/>
        </w:rPr>
        <w:t xml:space="preserve"> and its comparators. </w:t>
      </w:r>
      <w:r w:rsidR="00322A89" w:rsidRPr="00097548">
        <w:rPr>
          <w:lang w:val="en-GB"/>
        </w:rPr>
        <w:t>T</w:t>
      </w:r>
      <w:r w:rsidR="006F28E1" w:rsidRPr="00097548">
        <w:rPr>
          <w:lang w:val="en-GB"/>
        </w:rPr>
        <w:t>o inform a ‘value-based’ delinked payment contract</w:t>
      </w:r>
      <w:r w:rsidR="00827D4F" w:rsidRPr="00097548">
        <w:rPr>
          <w:lang w:val="en-GB"/>
        </w:rPr>
        <w:t xml:space="preserve"> between NHS England and the company</w:t>
      </w:r>
      <w:r w:rsidR="006F28E1" w:rsidRPr="00097548">
        <w:rPr>
          <w:lang w:val="en-GB"/>
        </w:rPr>
        <w:t>, t</w:t>
      </w:r>
      <w:r w:rsidR="008038CA" w:rsidRPr="00097548">
        <w:rPr>
          <w:lang w:val="en-GB"/>
        </w:rPr>
        <w:t xml:space="preserve">he output of the model </w:t>
      </w:r>
      <w:r w:rsidR="00322A89" w:rsidRPr="00097548">
        <w:rPr>
          <w:lang w:val="en-GB"/>
        </w:rPr>
        <w:t xml:space="preserve">is </w:t>
      </w:r>
      <w:r w:rsidR="008038CA" w:rsidRPr="00097548">
        <w:rPr>
          <w:lang w:val="en-GB"/>
        </w:rPr>
        <w:t>incremental net health benefit expressed in QALYs</w:t>
      </w:r>
      <w:r w:rsidR="00322A89" w:rsidRPr="00097548">
        <w:rPr>
          <w:lang w:val="en-GB"/>
        </w:rPr>
        <w:t xml:space="preserve"> at a population level</w:t>
      </w:r>
      <w:r w:rsidR="008038CA" w:rsidRPr="00097548">
        <w:rPr>
          <w:lang w:val="en-GB"/>
        </w:rPr>
        <w:t>.</w:t>
      </w:r>
      <w:r w:rsidR="006F28E1" w:rsidRPr="00097548">
        <w:rPr>
          <w:lang w:val="en-GB"/>
        </w:rPr>
        <w:t xml:space="preserve"> This differs from NICE’s </w:t>
      </w:r>
      <w:r w:rsidR="00CE3DF2" w:rsidRPr="00097548">
        <w:rPr>
          <w:lang w:val="en-GB"/>
        </w:rPr>
        <w:t>usual</w:t>
      </w:r>
      <w:r w:rsidR="006F28E1" w:rsidRPr="00097548">
        <w:rPr>
          <w:lang w:val="en-GB"/>
        </w:rPr>
        <w:t xml:space="preserve"> approach</w:t>
      </w:r>
      <w:r w:rsidR="00322A89" w:rsidRPr="00097548">
        <w:rPr>
          <w:lang w:val="en-GB"/>
        </w:rPr>
        <w:t xml:space="preserve"> in health technology assessment</w:t>
      </w:r>
      <w:r w:rsidR="006F28E1" w:rsidRPr="00097548">
        <w:rPr>
          <w:lang w:val="en-GB"/>
        </w:rPr>
        <w:t xml:space="preserve"> of estimating the incremental cost-effectiveness ratio (ICER)</w:t>
      </w:r>
      <w:r w:rsidR="00322A89" w:rsidRPr="00097548">
        <w:rPr>
          <w:lang w:val="en-GB"/>
        </w:rPr>
        <w:t xml:space="preserve"> at a patient level</w:t>
      </w:r>
      <w:r w:rsidR="006F28E1" w:rsidRPr="00097548">
        <w:rPr>
          <w:lang w:val="en-GB"/>
        </w:rPr>
        <w:t xml:space="preserve">. </w:t>
      </w:r>
      <w:r w:rsidR="00827D4F" w:rsidRPr="00097548">
        <w:rPr>
          <w:lang w:val="en-GB"/>
        </w:rPr>
        <w:t>EEPR</w:t>
      </w:r>
      <w:r w:rsidR="00ED7457" w:rsidRPr="00097548">
        <w:rPr>
          <w:lang w:val="en-GB"/>
        </w:rPr>
        <w:t>U</w:t>
      </w:r>
      <w:r w:rsidR="00827D4F" w:rsidRPr="00097548">
        <w:rPr>
          <w:lang w:val="en-GB"/>
        </w:rPr>
        <w:t xml:space="preserve"> set </w:t>
      </w:r>
      <w:r w:rsidR="000F2D63" w:rsidRPr="00097548">
        <w:rPr>
          <w:lang w:val="en-GB"/>
        </w:rPr>
        <w:t>the price of the drug to zero</w:t>
      </w:r>
      <w:r w:rsidR="001B7533" w:rsidRPr="00097548">
        <w:rPr>
          <w:lang w:val="en-GB"/>
        </w:rPr>
        <w:t>, and</w:t>
      </w:r>
      <w:r w:rsidR="000F2D63" w:rsidRPr="00097548">
        <w:rPr>
          <w:lang w:val="en-GB"/>
        </w:rPr>
        <w:t xml:space="preserve"> </w:t>
      </w:r>
      <w:r w:rsidR="00827D4F" w:rsidRPr="00097548">
        <w:rPr>
          <w:lang w:val="en-GB"/>
        </w:rPr>
        <w:t xml:space="preserve">modelled </w:t>
      </w:r>
      <w:r w:rsidR="000F2D63" w:rsidRPr="00097548">
        <w:rPr>
          <w:lang w:val="en-GB"/>
        </w:rPr>
        <w:t xml:space="preserve">costs of </w:t>
      </w:r>
      <w:proofErr w:type="spellStart"/>
      <w:r w:rsidR="00444E4E" w:rsidRPr="00097548">
        <w:rPr>
          <w:lang w:val="en-GB"/>
        </w:rPr>
        <w:t>cefiderocol</w:t>
      </w:r>
      <w:proofErr w:type="spellEnd"/>
      <w:r w:rsidR="000F2D63" w:rsidRPr="00097548">
        <w:rPr>
          <w:lang w:val="en-GB"/>
        </w:rPr>
        <w:t xml:space="preserve"> related only to </w:t>
      </w:r>
      <w:r w:rsidR="00ED7457" w:rsidRPr="00097548">
        <w:rPr>
          <w:lang w:val="en-GB"/>
        </w:rPr>
        <w:t xml:space="preserve">the </w:t>
      </w:r>
      <w:r w:rsidR="00827D4F" w:rsidRPr="00097548">
        <w:rPr>
          <w:lang w:val="en-GB"/>
        </w:rPr>
        <w:t>u</w:t>
      </w:r>
      <w:r w:rsidR="007652DE" w:rsidRPr="00097548">
        <w:rPr>
          <w:lang w:val="en-GB"/>
        </w:rPr>
        <w:t>s</w:t>
      </w:r>
      <w:r w:rsidR="00827D4F" w:rsidRPr="00097548">
        <w:rPr>
          <w:lang w:val="en-GB"/>
        </w:rPr>
        <w:t xml:space="preserve">e of healthcare </w:t>
      </w:r>
      <w:r w:rsidR="00012863" w:rsidRPr="00097548">
        <w:rPr>
          <w:lang w:val="en-GB"/>
        </w:rPr>
        <w:t>resource</w:t>
      </w:r>
      <w:r w:rsidR="00827D4F" w:rsidRPr="00097548">
        <w:rPr>
          <w:lang w:val="en-GB"/>
        </w:rPr>
        <w:t>s</w:t>
      </w:r>
      <w:r w:rsidR="000F2D63" w:rsidRPr="00097548">
        <w:rPr>
          <w:lang w:val="en-GB"/>
        </w:rPr>
        <w:t xml:space="preserve">. </w:t>
      </w:r>
      <w:r w:rsidR="008038CA" w:rsidRPr="00097548">
        <w:rPr>
          <w:lang w:val="en-GB"/>
        </w:rPr>
        <w:t xml:space="preserve">To convert </w:t>
      </w:r>
      <w:r w:rsidR="001B7533" w:rsidRPr="00097548">
        <w:rPr>
          <w:lang w:val="en-GB"/>
        </w:rPr>
        <w:t xml:space="preserve">any </w:t>
      </w:r>
      <w:r w:rsidR="008038CA" w:rsidRPr="00097548">
        <w:rPr>
          <w:lang w:val="en-GB"/>
        </w:rPr>
        <w:t xml:space="preserve">cost savings </w:t>
      </w:r>
      <w:r w:rsidR="00827D4F" w:rsidRPr="00097548">
        <w:rPr>
          <w:lang w:val="en-GB"/>
        </w:rPr>
        <w:t xml:space="preserve">(or losses) </w:t>
      </w:r>
      <w:r w:rsidR="008038CA" w:rsidRPr="00097548">
        <w:rPr>
          <w:lang w:val="en-GB"/>
        </w:rPr>
        <w:t xml:space="preserve">associated with </w:t>
      </w:r>
      <w:proofErr w:type="spellStart"/>
      <w:r w:rsidR="00031F60" w:rsidRPr="00097548">
        <w:rPr>
          <w:lang w:val="en-GB"/>
        </w:rPr>
        <w:t>cefiderocol</w:t>
      </w:r>
      <w:proofErr w:type="spellEnd"/>
      <w:r w:rsidR="00031F60" w:rsidRPr="00097548">
        <w:rPr>
          <w:lang w:val="en-GB"/>
        </w:rPr>
        <w:t xml:space="preserve"> </w:t>
      </w:r>
      <w:r w:rsidR="008038CA" w:rsidRPr="00097548">
        <w:rPr>
          <w:lang w:val="en-GB"/>
        </w:rPr>
        <w:t>(for example, reduc</w:t>
      </w:r>
      <w:r w:rsidR="00E95C87" w:rsidRPr="00097548">
        <w:rPr>
          <w:lang w:val="en-GB"/>
        </w:rPr>
        <w:t xml:space="preserve">ed </w:t>
      </w:r>
      <w:r w:rsidR="00827D4F" w:rsidRPr="00097548">
        <w:rPr>
          <w:lang w:val="en-GB"/>
        </w:rPr>
        <w:t xml:space="preserve">or increased </w:t>
      </w:r>
      <w:r w:rsidR="008038CA" w:rsidRPr="00097548">
        <w:rPr>
          <w:lang w:val="en-GB"/>
        </w:rPr>
        <w:t xml:space="preserve">time spent in hospital) into health benefits measured in </w:t>
      </w:r>
      <w:r w:rsidR="003526A4" w:rsidRPr="00097548">
        <w:rPr>
          <w:lang w:val="en-GB"/>
        </w:rPr>
        <w:t>QALYs</w:t>
      </w:r>
      <w:r w:rsidR="008038CA" w:rsidRPr="00097548">
        <w:rPr>
          <w:lang w:val="en-GB"/>
        </w:rPr>
        <w:t xml:space="preserve">, EEPRU </w:t>
      </w:r>
      <w:r w:rsidR="00322A89" w:rsidRPr="00097548">
        <w:rPr>
          <w:lang w:val="en-GB"/>
        </w:rPr>
        <w:t xml:space="preserve">used </w:t>
      </w:r>
      <w:r w:rsidR="00E638C0" w:rsidRPr="00097548">
        <w:rPr>
          <w:lang w:val="en-GB"/>
        </w:rPr>
        <w:t xml:space="preserve">an </w:t>
      </w:r>
      <w:r w:rsidR="008038CA" w:rsidRPr="00097548">
        <w:rPr>
          <w:lang w:val="en-GB"/>
        </w:rPr>
        <w:t>estimate</w:t>
      </w:r>
      <w:r w:rsidR="00E638C0" w:rsidRPr="00097548">
        <w:rPr>
          <w:lang w:val="en-GB"/>
        </w:rPr>
        <w:t xml:space="preserve"> of</w:t>
      </w:r>
      <w:r w:rsidR="008038CA" w:rsidRPr="00097548">
        <w:rPr>
          <w:lang w:val="en-GB"/>
        </w:rPr>
        <w:t xml:space="preserve"> health opportunity cost.</w:t>
      </w:r>
      <w:r w:rsidR="004436D8" w:rsidRPr="00097548">
        <w:rPr>
          <w:lang w:val="en-GB"/>
        </w:rPr>
        <w:t xml:space="preserve"> </w:t>
      </w:r>
      <w:r w:rsidR="00E1655C" w:rsidRPr="00097548">
        <w:rPr>
          <w:lang w:val="en-GB"/>
        </w:rPr>
        <w:t>As p</w:t>
      </w:r>
      <w:r w:rsidR="004436D8" w:rsidRPr="00097548">
        <w:rPr>
          <w:lang w:val="en-GB"/>
        </w:rPr>
        <w:t>er the</w:t>
      </w:r>
      <w:r w:rsidR="008038CA" w:rsidRPr="00097548">
        <w:rPr>
          <w:lang w:val="en-GB"/>
        </w:rPr>
        <w:t xml:space="preserve"> </w:t>
      </w:r>
      <w:hyperlink r:id="rId16" w:history="1">
        <w:r w:rsidR="004436D8" w:rsidRPr="00097548">
          <w:rPr>
            <w:rStyle w:val="Hyperlink"/>
            <w:lang w:val="en-GB"/>
          </w:rPr>
          <w:t>NICE scope for this evaluation</w:t>
        </w:r>
      </w:hyperlink>
      <w:r w:rsidR="004436D8" w:rsidRPr="00097548">
        <w:rPr>
          <w:lang w:val="en-GB"/>
        </w:rPr>
        <w:t>,</w:t>
      </w:r>
      <w:r w:rsidR="008038CA" w:rsidRPr="00097548">
        <w:rPr>
          <w:lang w:val="en-GB"/>
        </w:rPr>
        <w:t xml:space="preserve"> EEPRU used £20,000</w:t>
      </w:r>
      <w:r w:rsidR="00331735" w:rsidRPr="00097548">
        <w:rPr>
          <w:lang w:val="en-GB"/>
        </w:rPr>
        <w:t xml:space="preserve"> per </w:t>
      </w:r>
      <w:r w:rsidR="008038CA" w:rsidRPr="00097548">
        <w:rPr>
          <w:lang w:val="en-GB"/>
        </w:rPr>
        <w:t xml:space="preserve">QALY as the estimate of health opportunity cost. This means that for every £20,000 saved, 1 QALY of health can be generated in the NHS. </w:t>
      </w:r>
      <w:r w:rsidR="00E52A18" w:rsidRPr="00097548">
        <w:rPr>
          <w:lang w:val="en-GB"/>
        </w:rPr>
        <w:t xml:space="preserve">In the second stage, after </w:t>
      </w:r>
      <w:r w:rsidR="008038CA" w:rsidRPr="00097548">
        <w:rPr>
          <w:lang w:val="en-GB"/>
        </w:rPr>
        <w:t xml:space="preserve">estimating the per-patient benefits of </w:t>
      </w:r>
      <w:proofErr w:type="spellStart"/>
      <w:r w:rsidR="00031F60" w:rsidRPr="00097548">
        <w:rPr>
          <w:lang w:val="en-GB"/>
        </w:rPr>
        <w:t>cefiderocol</w:t>
      </w:r>
      <w:proofErr w:type="spellEnd"/>
      <w:r w:rsidR="008038CA" w:rsidRPr="00097548">
        <w:rPr>
          <w:lang w:val="en-GB"/>
        </w:rPr>
        <w:t>,</w:t>
      </w:r>
      <w:r w:rsidR="008038CA" w:rsidRPr="00097548" w:rsidDel="00D048B1">
        <w:rPr>
          <w:lang w:val="en-GB"/>
        </w:rPr>
        <w:t xml:space="preserve"> </w:t>
      </w:r>
      <w:r w:rsidR="00C70D45" w:rsidRPr="00097548">
        <w:rPr>
          <w:lang w:val="en-GB"/>
        </w:rPr>
        <w:t xml:space="preserve">EEPRU </w:t>
      </w:r>
      <w:r w:rsidR="00162B2F" w:rsidRPr="00097548">
        <w:rPr>
          <w:lang w:val="en-GB"/>
        </w:rPr>
        <w:t xml:space="preserve">considered the size of the population currently eligible for </w:t>
      </w:r>
      <w:r w:rsidR="008038CA" w:rsidRPr="00097548">
        <w:rPr>
          <w:lang w:val="en-GB"/>
        </w:rPr>
        <w:t>treatment</w:t>
      </w:r>
      <w:r w:rsidR="00162B2F" w:rsidRPr="00097548">
        <w:rPr>
          <w:lang w:val="en-GB"/>
        </w:rPr>
        <w:t xml:space="preserve"> and how this would change over time</w:t>
      </w:r>
      <w:r w:rsidR="000602E4" w:rsidRPr="00097548">
        <w:rPr>
          <w:lang w:val="en-GB"/>
        </w:rPr>
        <w:t xml:space="preserve"> to</w:t>
      </w:r>
      <w:r w:rsidR="00331735" w:rsidRPr="00097548">
        <w:rPr>
          <w:lang w:val="en-GB"/>
        </w:rPr>
        <w:t xml:space="preserve"> account</w:t>
      </w:r>
      <w:r w:rsidR="00162B2F" w:rsidRPr="00097548">
        <w:rPr>
          <w:lang w:val="en-GB"/>
        </w:rPr>
        <w:t xml:space="preserve"> for</w:t>
      </w:r>
      <w:r w:rsidR="003526A4" w:rsidRPr="00097548">
        <w:rPr>
          <w:lang w:val="en-GB"/>
        </w:rPr>
        <w:t xml:space="preserve"> a</w:t>
      </w:r>
      <w:r w:rsidR="00162B2F" w:rsidRPr="00097548">
        <w:rPr>
          <w:lang w:val="en-GB"/>
        </w:rPr>
        <w:t xml:space="preserve"> grow</w:t>
      </w:r>
      <w:r w:rsidR="001C6CA7" w:rsidRPr="00097548">
        <w:rPr>
          <w:lang w:val="en-GB"/>
        </w:rPr>
        <w:t>ing</w:t>
      </w:r>
      <w:r w:rsidR="00162B2F" w:rsidRPr="00097548">
        <w:rPr>
          <w:lang w:val="en-GB"/>
        </w:rPr>
        <w:t xml:space="preserve"> </w:t>
      </w:r>
      <w:r w:rsidR="00A955D8" w:rsidRPr="00097548">
        <w:rPr>
          <w:lang w:val="en-GB"/>
        </w:rPr>
        <w:t xml:space="preserve">number of people with </w:t>
      </w:r>
      <w:r w:rsidR="00162B2F" w:rsidRPr="00097548">
        <w:rPr>
          <w:lang w:val="en-GB"/>
        </w:rPr>
        <w:t>infection</w:t>
      </w:r>
      <w:r w:rsidR="00A955D8" w:rsidRPr="00097548">
        <w:rPr>
          <w:lang w:val="en-GB"/>
        </w:rPr>
        <w:t>s</w:t>
      </w:r>
      <w:r w:rsidR="00162B2F" w:rsidRPr="00097548">
        <w:rPr>
          <w:lang w:val="en-GB"/>
        </w:rPr>
        <w:t xml:space="preserve"> and</w:t>
      </w:r>
      <w:r w:rsidR="001C6CA7" w:rsidRPr="00097548">
        <w:rPr>
          <w:lang w:val="en-GB"/>
        </w:rPr>
        <w:t xml:space="preserve"> </w:t>
      </w:r>
      <w:r w:rsidR="00162B2F" w:rsidRPr="00097548">
        <w:rPr>
          <w:lang w:val="en-GB"/>
        </w:rPr>
        <w:t>emerg</w:t>
      </w:r>
      <w:r w:rsidR="001C6CA7" w:rsidRPr="00097548">
        <w:rPr>
          <w:lang w:val="en-GB"/>
        </w:rPr>
        <w:t>ing</w:t>
      </w:r>
      <w:r w:rsidR="00162B2F" w:rsidRPr="00097548">
        <w:rPr>
          <w:lang w:val="en-GB"/>
        </w:rPr>
        <w:t xml:space="preserve"> resistance to </w:t>
      </w:r>
      <w:proofErr w:type="spellStart"/>
      <w:r w:rsidR="00031F60" w:rsidRPr="00097548">
        <w:rPr>
          <w:lang w:val="en-GB"/>
        </w:rPr>
        <w:t>cefiderocol</w:t>
      </w:r>
      <w:proofErr w:type="spellEnd"/>
      <w:r w:rsidR="00031F60" w:rsidRPr="00097548">
        <w:rPr>
          <w:lang w:val="en-GB"/>
        </w:rPr>
        <w:t xml:space="preserve"> </w:t>
      </w:r>
      <w:r w:rsidR="00A4449E" w:rsidRPr="00097548">
        <w:rPr>
          <w:lang w:val="en-GB"/>
        </w:rPr>
        <w:t>and other antimicrobials</w:t>
      </w:r>
      <w:r w:rsidR="00692F85" w:rsidRPr="00097548">
        <w:rPr>
          <w:lang w:val="en-GB"/>
        </w:rPr>
        <w:t xml:space="preserve">. </w:t>
      </w:r>
      <w:r w:rsidR="00A955D8" w:rsidRPr="00097548">
        <w:rPr>
          <w:lang w:val="en-GB"/>
        </w:rPr>
        <w:t xml:space="preserve">EEPRU modelled the benefits of </w:t>
      </w:r>
      <w:proofErr w:type="spellStart"/>
      <w:r w:rsidR="00031F60" w:rsidRPr="00097548">
        <w:rPr>
          <w:lang w:val="en-GB"/>
        </w:rPr>
        <w:t>cefiderocol</w:t>
      </w:r>
      <w:proofErr w:type="spellEnd"/>
      <w:r w:rsidR="00031F60" w:rsidRPr="00097548">
        <w:rPr>
          <w:lang w:val="en-GB"/>
        </w:rPr>
        <w:t xml:space="preserve"> </w:t>
      </w:r>
      <w:r w:rsidR="00A955D8" w:rsidRPr="00097548">
        <w:rPr>
          <w:lang w:val="en-GB"/>
        </w:rPr>
        <w:t xml:space="preserve">over a 20-year time horizon. </w:t>
      </w:r>
      <w:r w:rsidR="00692F85" w:rsidRPr="00097548">
        <w:rPr>
          <w:lang w:val="en-GB"/>
        </w:rPr>
        <w:t xml:space="preserve">This allowed </w:t>
      </w:r>
      <w:r w:rsidR="00A955D8" w:rsidRPr="00097548">
        <w:rPr>
          <w:lang w:val="en-GB"/>
        </w:rPr>
        <w:t xml:space="preserve">EEPRU </w:t>
      </w:r>
      <w:r w:rsidR="008215F5" w:rsidRPr="00097548">
        <w:rPr>
          <w:lang w:val="en-GB"/>
        </w:rPr>
        <w:t xml:space="preserve">to estimate the long-term costs and benefits of </w:t>
      </w:r>
      <w:proofErr w:type="spellStart"/>
      <w:r w:rsidR="00031F60" w:rsidRPr="00097548">
        <w:rPr>
          <w:lang w:val="en-GB"/>
        </w:rPr>
        <w:t>cefiderocol</w:t>
      </w:r>
      <w:proofErr w:type="spellEnd"/>
      <w:r w:rsidR="00031F60" w:rsidRPr="00097548">
        <w:rPr>
          <w:lang w:val="en-GB"/>
        </w:rPr>
        <w:t xml:space="preserve"> </w:t>
      </w:r>
      <w:r w:rsidR="008215F5" w:rsidRPr="00097548">
        <w:rPr>
          <w:lang w:val="en-GB"/>
        </w:rPr>
        <w:t xml:space="preserve">at </w:t>
      </w:r>
      <w:r w:rsidR="00692F85" w:rsidRPr="00097548">
        <w:rPr>
          <w:lang w:val="en-GB"/>
        </w:rPr>
        <w:t>the</w:t>
      </w:r>
      <w:r w:rsidR="008215F5" w:rsidRPr="00097548">
        <w:rPr>
          <w:lang w:val="en-GB"/>
        </w:rPr>
        <w:t xml:space="preserve"> population level</w:t>
      </w:r>
      <w:r w:rsidR="00162B2F" w:rsidRPr="00097548">
        <w:rPr>
          <w:lang w:val="en-GB"/>
        </w:rPr>
        <w:t>.</w:t>
      </w:r>
    </w:p>
    <w:p w14:paraId="78A18C83" w14:textId="69D46D72" w:rsidR="00F51162" w:rsidRPr="00097548" w:rsidRDefault="00773300" w:rsidP="00F51162">
      <w:pPr>
        <w:pStyle w:val="Heading3"/>
      </w:pPr>
      <w:r w:rsidRPr="00097548">
        <w:lastRenderedPageBreak/>
        <w:t xml:space="preserve">The </w:t>
      </w:r>
      <w:r w:rsidR="00117BB2" w:rsidRPr="00097548">
        <w:t xml:space="preserve">modelled </w:t>
      </w:r>
      <w:r w:rsidRPr="00097548">
        <w:t xml:space="preserve">population </w:t>
      </w:r>
      <w:r w:rsidR="00117BB2" w:rsidRPr="00097548">
        <w:t xml:space="preserve">is smaller than the population that </w:t>
      </w:r>
      <w:r w:rsidRPr="00097548">
        <w:t xml:space="preserve">would be offered </w:t>
      </w:r>
      <w:proofErr w:type="spellStart"/>
      <w:r w:rsidR="00DF42BA" w:rsidRPr="00097548">
        <w:t>cefiderocol</w:t>
      </w:r>
      <w:proofErr w:type="spellEnd"/>
      <w:r w:rsidRPr="00097548">
        <w:t xml:space="preserve"> in practice</w:t>
      </w:r>
    </w:p>
    <w:p w14:paraId="68986F2E" w14:textId="463A3DD2" w:rsidR="00F51162" w:rsidRPr="00097548" w:rsidRDefault="00F51162" w:rsidP="00F51162">
      <w:pPr>
        <w:pStyle w:val="Numberedlevel2text"/>
        <w:rPr>
          <w:lang w:val="en-GB"/>
        </w:rPr>
      </w:pPr>
      <w:r w:rsidRPr="00097548">
        <w:rPr>
          <w:lang w:val="en-GB"/>
        </w:rPr>
        <w:t xml:space="preserve">The marketing authorisation of </w:t>
      </w:r>
      <w:proofErr w:type="spellStart"/>
      <w:r w:rsidR="00031F60" w:rsidRPr="00097548">
        <w:rPr>
          <w:lang w:val="en-GB"/>
        </w:rPr>
        <w:t>cefiderocol</w:t>
      </w:r>
      <w:proofErr w:type="spellEnd"/>
      <w:r w:rsidRPr="00097548">
        <w:rPr>
          <w:lang w:val="en-GB"/>
        </w:rPr>
        <w:t xml:space="preserve"> is broad. EEPRU’s analysis was narrower than the marketing authorisation and focused on populations </w:t>
      </w:r>
      <w:r w:rsidR="00F4448A">
        <w:rPr>
          <w:lang w:val="en-GB"/>
        </w:rPr>
        <w:t xml:space="preserve">in </w:t>
      </w:r>
      <w:r w:rsidR="00E0753F">
        <w:rPr>
          <w:lang w:val="en-GB"/>
        </w:rPr>
        <w:t>which</w:t>
      </w:r>
      <w:r w:rsidR="00F4448A">
        <w:rPr>
          <w:lang w:val="en-GB"/>
        </w:rPr>
        <w:t xml:space="preserve"> </w:t>
      </w:r>
      <w:r w:rsidR="00A955D8" w:rsidRPr="00097548">
        <w:rPr>
          <w:lang w:val="en-GB"/>
        </w:rPr>
        <w:t xml:space="preserve">it expected </w:t>
      </w:r>
      <w:proofErr w:type="spellStart"/>
      <w:r w:rsidR="004F594F" w:rsidRPr="00097548">
        <w:rPr>
          <w:lang w:val="en-GB"/>
        </w:rPr>
        <w:t>cefiderocol</w:t>
      </w:r>
      <w:proofErr w:type="spellEnd"/>
      <w:r w:rsidR="004F594F" w:rsidRPr="00097548">
        <w:rPr>
          <w:lang w:val="en-GB"/>
        </w:rPr>
        <w:t xml:space="preserve"> </w:t>
      </w:r>
      <w:r w:rsidRPr="00097548">
        <w:rPr>
          <w:lang w:val="en-GB"/>
        </w:rPr>
        <w:t xml:space="preserve">to have the greatest clinical </w:t>
      </w:r>
      <w:proofErr w:type="gramStart"/>
      <w:r w:rsidRPr="00097548">
        <w:rPr>
          <w:lang w:val="en-GB"/>
        </w:rPr>
        <w:t>benefit</w:t>
      </w:r>
      <w:r w:rsidR="00E52A18" w:rsidRPr="00097548">
        <w:rPr>
          <w:lang w:val="en-GB"/>
        </w:rPr>
        <w:t xml:space="preserve">, </w:t>
      </w:r>
      <w:r w:rsidR="00F4448A">
        <w:rPr>
          <w:lang w:val="en-GB"/>
        </w:rPr>
        <w:t>and</w:t>
      </w:r>
      <w:proofErr w:type="gramEnd"/>
      <w:r w:rsidR="00F4448A">
        <w:rPr>
          <w:lang w:val="en-GB"/>
        </w:rPr>
        <w:t xml:space="preserve"> </w:t>
      </w:r>
      <w:r w:rsidR="00E52A18" w:rsidRPr="00097548">
        <w:rPr>
          <w:lang w:val="en-GB"/>
        </w:rPr>
        <w:t>referred to</w:t>
      </w:r>
      <w:r w:rsidR="00F5708E" w:rsidRPr="00097548">
        <w:rPr>
          <w:lang w:val="en-GB"/>
        </w:rPr>
        <w:t xml:space="preserve"> </w:t>
      </w:r>
      <w:r w:rsidR="00F4448A">
        <w:rPr>
          <w:lang w:val="en-GB"/>
        </w:rPr>
        <w:t xml:space="preserve">these </w:t>
      </w:r>
      <w:r w:rsidR="00F5708E" w:rsidRPr="00097548">
        <w:rPr>
          <w:lang w:val="en-GB"/>
        </w:rPr>
        <w:t>as</w:t>
      </w:r>
      <w:r w:rsidR="00EE170E" w:rsidRPr="00097548">
        <w:rPr>
          <w:lang w:val="en-GB"/>
        </w:rPr>
        <w:t xml:space="preserve"> ‘high</w:t>
      </w:r>
      <w:r w:rsidR="007134E7" w:rsidRPr="00097548">
        <w:rPr>
          <w:lang w:val="en-GB"/>
        </w:rPr>
        <w:t>-</w:t>
      </w:r>
      <w:r w:rsidR="00EE170E" w:rsidRPr="00097548">
        <w:rPr>
          <w:lang w:val="en-GB"/>
        </w:rPr>
        <w:t>value clinical scenarios</w:t>
      </w:r>
      <w:r w:rsidR="00031F60" w:rsidRPr="00097548">
        <w:rPr>
          <w:lang w:val="en-GB"/>
        </w:rPr>
        <w:t>’</w:t>
      </w:r>
      <w:r w:rsidR="00881E0B" w:rsidRPr="00097548">
        <w:rPr>
          <w:lang w:val="en-GB"/>
        </w:rPr>
        <w:t xml:space="preserve">. </w:t>
      </w:r>
      <w:r w:rsidR="000251E2" w:rsidRPr="00097548">
        <w:rPr>
          <w:lang w:val="en-GB"/>
        </w:rPr>
        <w:t xml:space="preserve">EEPRU </w:t>
      </w:r>
      <w:r w:rsidR="00881E0B" w:rsidRPr="00097548">
        <w:rPr>
          <w:lang w:val="en-GB"/>
        </w:rPr>
        <w:t xml:space="preserve">divided the clinical scenarios </w:t>
      </w:r>
      <w:r w:rsidRPr="00097548">
        <w:rPr>
          <w:lang w:val="en-GB"/>
        </w:rPr>
        <w:t>into 2 treatment settings</w:t>
      </w:r>
      <w:r w:rsidR="000A2D47" w:rsidRPr="00097548">
        <w:rPr>
          <w:lang w:val="en-GB"/>
        </w:rPr>
        <w:t>: ‘empiric’ and ‘microbiology</w:t>
      </w:r>
      <w:r w:rsidR="00906CEC" w:rsidRPr="00097548">
        <w:rPr>
          <w:lang w:val="en-GB"/>
        </w:rPr>
        <w:t>-</w:t>
      </w:r>
      <w:r w:rsidR="000A2D47" w:rsidRPr="00097548">
        <w:rPr>
          <w:lang w:val="en-GB"/>
        </w:rPr>
        <w:t>directed’. ‘</w:t>
      </w:r>
      <w:r w:rsidR="00F4448A">
        <w:rPr>
          <w:lang w:val="en-GB"/>
        </w:rPr>
        <w:t>E</w:t>
      </w:r>
      <w:r w:rsidR="000A2D47" w:rsidRPr="00097548">
        <w:rPr>
          <w:lang w:val="en-GB"/>
        </w:rPr>
        <w:t>mpiric</w:t>
      </w:r>
      <w:r w:rsidR="00244981" w:rsidRPr="00097548">
        <w:rPr>
          <w:lang w:val="en-GB"/>
        </w:rPr>
        <w:t>’</w:t>
      </w:r>
      <w:r w:rsidR="00881E0B" w:rsidRPr="00097548">
        <w:rPr>
          <w:lang w:val="en-GB"/>
        </w:rPr>
        <w:t xml:space="preserve"> </w:t>
      </w:r>
      <w:r w:rsidR="000A2D47" w:rsidRPr="00097548">
        <w:rPr>
          <w:lang w:val="en-GB"/>
        </w:rPr>
        <w:t xml:space="preserve">reflects </w:t>
      </w:r>
      <w:r w:rsidRPr="00097548">
        <w:rPr>
          <w:lang w:val="en-GB"/>
        </w:rPr>
        <w:t>clinically</w:t>
      </w:r>
      <w:r w:rsidR="0082001C" w:rsidRPr="00097548">
        <w:rPr>
          <w:lang w:val="en-GB"/>
        </w:rPr>
        <w:t xml:space="preserve"> </w:t>
      </w:r>
      <w:r w:rsidRPr="00097548">
        <w:rPr>
          <w:lang w:val="en-GB"/>
        </w:rPr>
        <w:t>urgent infections</w:t>
      </w:r>
      <w:r w:rsidR="004A6EA7" w:rsidRPr="00097548">
        <w:rPr>
          <w:lang w:val="en-GB"/>
        </w:rPr>
        <w:t xml:space="preserve"> requiring </w:t>
      </w:r>
      <w:r w:rsidR="0099325E">
        <w:rPr>
          <w:lang w:val="en-GB"/>
        </w:rPr>
        <w:t>‘</w:t>
      </w:r>
      <w:r w:rsidR="004A6EA7" w:rsidRPr="00097548">
        <w:rPr>
          <w:lang w:val="en-GB"/>
        </w:rPr>
        <w:t>empiric</w:t>
      </w:r>
      <w:r w:rsidR="0099325E">
        <w:rPr>
          <w:lang w:val="en-GB"/>
        </w:rPr>
        <w:t xml:space="preserve">; </w:t>
      </w:r>
      <w:proofErr w:type="gramStart"/>
      <w:r w:rsidR="004A6EA7" w:rsidRPr="00097548">
        <w:rPr>
          <w:lang w:val="en-GB"/>
        </w:rPr>
        <w:t>treatment</w:t>
      </w:r>
      <w:r w:rsidRPr="00097548">
        <w:rPr>
          <w:lang w:val="en-GB"/>
        </w:rPr>
        <w:t>, whe</w:t>
      </w:r>
      <w:r w:rsidR="00CE2168" w:rsidRPr="00097548">
        <w:rPr>
          <w:lang w:val="en-GB"/>
        </w:rPr>
        <w:t>n</w:t>
      </w:r>
      <w:proofErr w:type="gramEnd"/>
      <w:r w:rsidRPr="00097548">
        <w:rPr>
          <w:lang w:val="en-GB"/>
        </w:rPr>
        <w:t xml:space="preserve"> </w:t>
      </w:r>
      <w:r w:rsidR="00177109" w:rsidRPr="00097548">
        <w:rPr>
          <w:lang w:val="en-GB"/>
        </w:rPr>
        <w:t>clinicians</w:t>
      </w:r>
      <w:r w:rsidRPr="00097548">
        <w:rPr>
          <w:lang w:val="en-GB"/>
        </w:rPr>
        <w:t xml:space="preserve"> strong</w:t>
      </w:r>
      <w:r w:rsidR="00177109" w:rsidRPr="00097548">
        <w:rPr>
          <w:lang w:val="en-GB"/>
        </w:rPr>
        <w:t>ly</w:t>
      </w:r>
      <w:r w:rsidRPr="00097548">
        <w:rPr>
          <w:lang w:val="en-GB"/>
        </w:rPr>
        <w:t xml:space="preserve"> susp</w:t>
      </w:r>
      <w:r w:rsidR="00177109" w:rsidRPr="00097548">
        <w:rPr>
          <w:lang w:val="en-GB"/>
        </w:rPr>
        <w:t>ect</w:t>
      </w:r>
      <w:r w:rsidRPr="00097548">
        <w:rPr>
          <w:lang w:val="en-GB"/>
        </w:rPr>
        <w:t xml:space="preserve"> </w:t>
      </w:r>
      <w:r w:rsidR="00881E0B" w:rsidRPr="00097548">
        <w:rPr>
          <w:lang w:val="en-GB"/>
        </w:rPr>
        <w:t xml:space="preserve">a </w:t>
      </w:r>
      <w:r w:rsidR="00E1655C" w:rsidRPr="00097548">
        <w:rPr>
          <w:lang w:val="en-GB"/>
        </w:rPr>
        <w:t xml:space="preserve">particular </w:t>
      </w:r>
      <w:r w:rsidR="00881E0B" w:rsidRPr="00097548">
        <w:rPr>
          <w:lang w:val="en-GB"/>
        </w:rPr>
        <w:t xml:space="preserve">resistant organism and its mechanism of </w:t>
      </w:r>
      <w:r w:rsidRPr="00097548">
        <w:rPr>
          <w:lang w:val="en-GB"/>
        </w:rPr>
        <w:t>resistance</w:t>
      </w:r>
      <w:r w:rsidR="00881E0B" w:rsidRPr="00097548">
        <w:rPr>
          <w:lang w:val="en-GB"/>
        </w:rPr>
        <w:t xml:space="preserve">. EEPRU defined </w:t>
      </w:r>
      <w:r w:rsidR="00E52A18" w:rsidRPr="00097548">
        <w:rPr>
          <w:lang w:val="en-GB"/>
        </w:rPr>
        <w:t>the empiric treatment setting</w:t>
      </w:r>
      <w:r w:rsidR="004A6EA7" w:rsidRPr="00097548">
        <w:rPr>
          <w:lang w:val="en-GB"/>
        </w:rPr>
        <w:t xml:space="preserve"> </w:t>
      </w:r>
      <w:r w:rsidR="00881E0B" w:rsidRPr="00097548">
        <w:rPr>
          <w:lang w:val="en-GB"/>
        </w:rPr>
        <w:t xml:space="preserve">as </w:t>
      </w:r>
      <w:r w:rsidRPr="00097548">
        <w:rPr>
          <w:lang w:val="en-GB"/>
        </w:rPr>
        <w:t xml:space="preserve">fulfilling one of the following criteria: </w:t>
      </w:r>
      <w:r w:rsidR="00881E0B" w:rsidRPr="00097548">
        <w:rPr>
          <w:lang w:val="en-GB"/>
        </w:rPr>
        <w:t xml:space="preserve">a </w:t>
      </w:r>
      <w:r w:rsidR="00117BB2" w:rsidRPr="00097548">
        <w:rPr>
          <w:lang w:val="en-GB"/>
        </w:rPr>
        <w:t xml:space="preserve">person </w:t>
      </w:r>
      <w:r w:rsidRPr="00097548">
        <w:rPr>
          <w:lang w:val="en-GB"/>
        </w:rPr>
        <w:t xml:space="preserve">previously </w:t>
      </w:r>
      <w:r w:rsidR="00117BB2" w:rsidRPr="00097548">
        <w:rPr>
          <w:lang w:val="en-GB"/>
        </w:rPr>
        <w:t xml:space="preserve">admitted to a </w:t>
      </w:r>
      <w:r w:rsidRPr="00097548">
        <w:rPr>
          <w:lang w:val="en-GB"/>
        </w:rPr>
        <w:t xml:space="preserve">hospital with </w:t>
      </w:r>
      <w:r w:rsidR="00881E0B" w:rsidRPr="00097548">
        <w:rPr>
          <w:lang w:val="en-GB"/>
        </w:rPr>
        <w:t xml:space="preserve">a </w:t>
      </w:r>
      <w:r w:rsidRPr="00097548">
        <w:rPr>
          <w:lang w:val="en-GB"/>
        </w:rPr>
        <w:t xml:space="preserve">high prevalence of </w:t>
      </w:r>
      <w:r w:rsidR="00881E0B" w:rsidRPr="00097548">
        <w:rPr>
          <w:lang w:val="en-GB"/>
        </w:rPr>
        <w:t xml:space="preserve">the suspected </w:t>
      </w:r>
      <w:r w:rsidRPr="00097548">
        <w:rPr>
          <w:lang w:val="en-GB"/>
        </w:rPr>
        <w:t>pathogen, a ward outbreak</w:t>
      </w:r>
      <w:r w:rsidR="004A6EA7" w:rsidRPr="00097548">
        <w:rPr>
          <w:lang w:val="en-GB"/>
        </w:rPr>
        <w:t xml:space="preserve">, or </w:t>
      </w:r>
      <w:r w:rsidRPr="00097548">
        <w:rPr>
          <w:lang w:val="en-GB"/>
        </w:rPr>
        <w:t xml:space="preserve">cultures </w:t>
      </w:r>
      <w:r w:rsidR="004829A2" w:rsidRPr="00097548">
        <w:rPr>
          <w:lang w:val="en-GB"/>
        </w:rPr>
        <w:t xml:space="preserve">taken </w:t>
      </w:r>
      <w:r w:rsidRPr="00097548">
        <w:rPr>
          <w:lang w:val="en-GB"/>
        </w:rPr>
        <w:t xml:space="preserve">during </w:t>
      </w:r>
      <w:r w:rsidR="00117BB2" w:rsidRPr="00097548">
        <w:rPr>
          <w:lang w:val="en-GB"/>
        </w:rPr>
        <w:t xml:space="preserve">the </w:t>
      </w:r>
      <w:r w:rsidRPr="00097548">
        <w:rPr>
          <w:lang w:val="en-GB"/>
        </w:rPr>
        <w:t>current or previous hospital stay show</w:t>
      </w:r>
      <w:r w:rsidR="00117BB2" w:rsidRPr="00097548">
        <w:rPr>
          <w:lang w:val="en-GB"/>
        </w:rPr>
        <w:t>ing</w:t>
      </w:r>
      <w:r w:rsidR="00E52A18" w:rsidRPr="00097548">
        <w:rPr>
          <w:lang w:val="en-GB"/>
        </w:rPr>
        <w:t xml:space="preserve"> the person ha</w:t>
      </w:r>
      <w:r w:rsidR="00D60E3B" w:rsidRPr="00097548">
        <w:rPr>
          <w:lang w:val="en-GB"/>
        </w:rPr>
        <w:t>d</w:t>
      </w:r>
      <w:r w:rsidR="00E52A18" w:rsidRPr="00097548">
        <w:rPr>
          <w:lang w:val="en-GB"/>
        </w:rPr>
        <w:t xml:space="preserve"> an</w:t>
      </w:r>
      <w:r w:rsidRPr="00097548">
        <w:rPr>
          <w:lang w:val="en-GB"/>
        </w:rPr>
        <w:t xml:space="preserve"> infection or </w:t>
      </w:r>
      <w:r w:rsidR="00E52A18" w:rsidRPr="00097548">
        <w:rPr>
          <w:lang w:val="en-GB"/>
        </w:rPr>
        <w:t xml:space="preserve">bacterial </w:t>
      </w:r>
      <w:r w:rsidRPr="00097548">
        <w:rPr>
          <w:lang w:val="en-GB"/>
        </w:rPr>
        <w:t xml:space="preserve">colonisation. </w:t>
      </w:r>
      <w:r w:rsidR="004A6EA7" w:rsidRPr="00097548">
        <w:rPr>
          <w:lang w:val="en-GB"/>
        </w:rPr>
        <w:t xml:space="preserve">The second </w:t>
      </w:r>
      <w:r w:rsidR="0099325E">
        <w:rPr>
          <w:lang w:val="en-GB"/>
        </w:rPr>
        <w:t>setting</w:t>
      </w:r>
      <w:r w:rsidR="004A6EA7" w:rsidRPr="00097548">
        <w:rPr>
          <w:lang w:val="en-GB"/>
        </w:rPr>
        <w:t xml:space="preserve"> was ‘microbiology</w:t>
      </w:r>
      <w:r w:rsidR="00906CEC" w:rsidRPr="00097548">
        <w:rPr>
          <w:lang w:val="en-GB"/>
        </w:rPr>
        <w:t>-</w:t>
      </w:r>
      <w:r w:rsidR="004A6EA7" w:rsidRPr="00097548">
        <w:rPr>
          <w:lang w:val="en-GB"/>
        </w:rPr>
        <w:t xml:space="preserve">directed’ and referred to </w:t>
      </w:r>
      <w:r w:rsidR="0099325E">
        <w:rPr>
          <w:lang w:val="en-GB"/>
        </w:rPr>
        <w:t xml:space="preserve">an identified </w:t>
      </w:r>
      <w:r w:rsidR="001B5E3B" w:rsidRPr="00097548">
        <w:rPr>
          <w:lang w:val="en-GB"/>
        </w:rPr>
        <w:t xml:space="preserve">organism </w:t>
      </w:r>
      <w:r w:rsidR="0099325E">
        <w:rPr>
          <w:lang w:val="en-GB"/>
        </w:rPr>
        <w:t xml:space="preserve">with tested and confirmed </w:t>
      </w:r>
      <w:r w:rsidRPr="00097548">
        <w:rPr>
          <w:lang w:val="en-GB"/>
        </w:rPr>
        <w:t>microbiological susceptibility. EEPRU included several high</w:t>
      </w:r>
      <w:r w:rsidR="00CE2168" w:rsidRPr="00097548">
        <w:rPr>
          <w:lang w:val="en-GB"/>
        </w:rPr>
        <w:t>-</w:t>
      </w:r>
      <w:r w:rsidRPr="00097548">
        <w:rPr>
          <w:lang w:val="en-GB"/>
        </w:rPr>
        <w:t xml:space="preserve">value clinical scenarios in its </w:t>
      </w:r>
      <w:r w:rsidR="00E52A18" w:rsidRPr="00097548">
        <w:rPr>
          <w:lang w:val="en-GB"/>
        </w:rPr>
        <w:t>patient</w:t>
      </w:r>
      <w:r w:rsidR="00906CEC" w:rsidRPr="00097548">
        <w:rPr>
          <w:lang w:val="en-GB"/>
        </w:rPr>
        <w:t>-</w:t>
      </w:r>
      <w:r w:rsidR="00E52A18" w:rsidRPr="00097548">
        <w:rPr>
          <w:lang w:val="en-GB"/>
        </w:rPr>
        <w:t>level analysis</w:t>
      </w:r>
      <w:r w:rsidRPr="00097548">
        <w:rPr>
          <w:lang w:val="en-GB"/>
        </w:rPr>
        <w:t xml:space="preserve">: </w:t>
      </w:r>
      <w:bookmarkStart w:id="13" w:name="_Hlk94523409"/>
      <w:r w:rsidRPr="00097548">
        <w:rPr>
          <w:lang w:val="en-GB"/>
        </w:rPr>
        <w:t>hospital-acquired pneumonia and ventilator-associated pneumonia</w:t>
      </w:r>
      <w:bookmarkEnd w:id="13"/>
      <w:r w:rsidRPr="00097548">
        <w:rPr>
          <w:lang w:val="en-GB"/>
        </w:rPr>
        <w:t xml:space="preserve"> treated empirically</w:t>
      </w:r>
      <w:r w:rsidR="00906CEC" w:rsidRPr="00097548">
        <w:rPr>
          <w:lang w:val="en-GB"/>
        </w:rPr>
        <w:t>; and</w:t>
      </w:r>
      <w:r w:rsidRPr="00097548">
        <w:rPr>
          <w:lang w:val="en-GB"/>
        </w:rPr>
        <w:t xml:space="preserve"> complicated urinary tract infection, hospital-acquired pneumonia</w:t>
      </w:r>
      <w:r w:rsidR="00906CEC" w:rsidRPr="00097548">
        <w:rPr>
          <w:lang w:val="en-GB"/>
        </w:rPr>
        <w:t>,</w:t>
      </w:r>
      <w:r w:rsidRPr="00097548">
        <w:rPr>
          <w:lang w:val="en-GB"/>
        </w:rPr>
        <w:t xml:space="preserve"> and ventilator-associated pneumonia</w:t>
      </w:r>
      <w:r w:rsidR="0099325E">
        <w:rPr>
          <w:lang w:val="en-GB"/>
        </w:rPr>
        <w:t xml:space="preserve"> treated</w:t>
      </w:r>
      <w:r w:rsidRPr="00097548">
        <w:rPr>
          <w:lang w:val="en-GB"/>
        </w:rPr>
        <w:t xml:space="preserve"> in the microbiology-directed setting. EEPRU focused on </w:t>
      </w:r>
      <w:r w:rsidR="00D60E3B" w:rsidRPr="00097548">
        <w:rPr>
          <w:lang w:val="en-GB"/>
        </w:rPr>
        <w:t xml:space="preserve">infections with </w:t>
      </w:r>
      <w:proofErr w:type="spellStart"/>
      <w:r w:rsidRPr="003B3021">
        <w:rPr>
          <w:i/>
          <w:iCs w:val="0"/>
          <w:lang w:val="en-GB"/>
        </w:rPr>
        <w:t>Enterobacterales</w:t>
      </w:r>
      <w:proofErr w:type="spellEnd"/>
      <w:r w:rsidRPr="00097548">
        <w:rPr>
          <w:lang w:val="en-GB"/>
        </w:rPr>
        <w:t xml:space="preserve"> </w:t>
      </w:r>
      <w:r w:rsidR="00966AC0" w:rsidRPr="00097548">
        <w:rPr>
          <w:lang w:val="en-GB"/>
        </w:rPr>
        <w:t xml:space="preserve">and </w:t>
      </w:r>
      <w:r w:rsidR="00067F4E">
        <w:rPr>
          <w:i/>
          <w:iCs w:val="0"/>
          <w:lang w:val="en-GB"/>
        </w:rPr>
        <w:t>Pseudomonas aeruginosa</w:t>
      </w:r>
      <w:r w:rsidR="00966AC0" w:rsidRPr="00097548">
        <w:rPr>
          <w:lang w:val="en-GB"/>
        </w:rPr>
        <w:t xml:space="preserve"> </w:t>
      </w:r>
      <w:r w:rsidRPr="00097548">
        <w:rPr>
          <w:lang w:val="en-GB"/>
        </w:rPr>
        <w:t xml:space="preserve">with </w:t>
      </w:r>
      <w:r w:rsidR="00966AC0" w:rsidRPr="00097548">
        <w:rPr>
          <w:lang w:val="en-GB"/>
        </w:rPr>
        <w:t>MBL</w:t>
      </w:r>
      <w:r w:rsidRPr="00097548">
        <w:rPr>
          <w:lang w:val="en-GB"/>
        </w:rPr>
        <w:t xml:space="preserve"> mechanism</w:t>
      </w:r>
      <w:r w:rsidR="00DF42BA" w:rsidRPr="00097548">
        <w:rPr>
          <w:lang w:val="en-GB"/>
        </w:rPr>
        <w:t>s</w:t>
      </w:r>
      <w:r w:rsidRPr="00097548">
        <w:rPr>
          <w:lang w:val="en-GB"/>
        </w:rPr>
        <w:t xml:space="preserve"> of resistance. In </w:t>
      </w:r>
      <w:r w:rsidR="00B8683D" w:rsidRPr="00097548">
        <w:rPr>
          <w:lang w:val="en-GB"/>
        </w:rPr>
        <w:t xml:space="preserve">its population-level model, </w:t>
      </w:r>
      <w:r w:rsidR="00906CEC" w:rsidRPr="00097548">
        <w:rPr>
          <w:lang w:val="en-GB"/>
        </w:rPr>
        <w:t xml:space="preserve">EEPRU </w:t>
      </w:r>
      <w:r w:rsidR="00B8683D" w:rsidRPr="00097548">
        <w:rPr>
          <w:lang w:val="en-GB"/>
        </w:rPr>
        <w:t xml:space="preserve">included </w:t>
      </w:r>
      <w:bookmarkStart w:id="14" w:name="_Hlk109206647"/>
      <w:r w:rsidRPr="00097548">
        <w:rPr>
          <w:lang w:val="en-GB"/>
        </w:rPr>
        <w:t xml:space="preserve">additional </w:t>
      </w:r>
      <w:r w:rsidR="00BE4FBE" w:rsidRPr="00097548">
        <w:rPr>
          <w:lang w:val="en-GB"/>
        </w:rPr>
        <w:t xml:space="preserve">groups of patients </w:t>
      </w:r>
      <w:r w:rsidR="00117BB2" w:rsidRPr="00097548">
        <w:rPr>
          <w:lang w:val="en-GB"/>
        </w:rPr>
        <w:t xml:space="preserve">in </w:t>
      </w:r>
      <w:r w:rsidR="00E0753F">
        <w:rPr>
          <w:lang w:val="en-GB"/>
        </w:rPr>
        <w:t>which</w:t>
      </w:r>
      <w:r w:rsidR="00117BB2" w:rsidRPr="00097548">
        <w:rPr>
          <w:lang w:val="en-GB"/>
        </w:rPr>
        <w:t xml:space="preserve"> </w:t>
      </w:r>
      <w:proofErr w:type="spellStart"/>
      <w:r w:rsidR="00966AC0" w:rsidRPr="00097548">
        <w:rPr>
          <w:lang w:val="en-GB"/>
        </w:rPr>
        <w:t>cefiderocol</w:t>
      </w:r>
      <w:proofErr w:type="spellEnd"/>
      <w:r w:rsidRPr="00097548">
        <w:rPr>
          <w:lang w:val="en-GB"/>
        </w:rPr>
        <w:t xml:space="preserve"> is expected to have clinical benefit and be used in practice</w:t>
      </w:r>
      <w:r w:rsidR="0099325E">
        <w:rPr>
          <w:lang w:val="en-GB"/>
        </w:rPr>
        <w:t>:</w:t>
      </w:r>
      <w:r w:rsidR="00966AC0" w:rsidRPr="00097548">
        <w:rPr>
          <w:lang w:val="en-GB"/>
        </w:rPr>
        <w:t xml:space="preserve"> people with b</w:t>
      </w:r>
      <w:r w:rsidRPr="00097548">
        <w:rPr>
          <w:lang w:val="en-GB"/>
        </w:rPr>
        <w:t>loodstream and intrabdominal infections</w:t>
      </w:r>
      <w:r w:rsidR="00966AC0" w:rsidRPr="00097548">
        <w:rPr>
          <w:lang w:val="en-GB"/>
        </w:rPr>
        <w:t xml:space="preserve"> and </w:t>
      </w:r>
      <w:r w:rsidR="0023383F" w:rsidRPr="00097548">
        <w:rPr>
          <w:lang w:val="en-GB"/>
        </w:rPr>
        <w:t xml:space="preserve">people with </w:t>
      </w:r>
      <w:r w:rsidR="00966AC0" w:rsidRPr="00097548">
        <w:rPr>
          <w:lang w:val="en-GB"/>
        </w:rPr>
        <w:t xml:space="preserve">infections caused by </w:t>
      </w:r>
      <w:r w:rsidR="00966AC0" w:rsidRPr="003B3021">
        <w:rPr>
          <w:i/>
          <w:iCs w:val="0"/>
          <w:lang w:val="en-GB"/>
        </w:rPr>
        <w:t xml:space="preserve">Stenotrophomonas </w:t>
      </w:r>
      <w:proofErr w:type="spellStart"/>
      <w:r w:rsidR="00966AC0" w:rsidRPr="003B3021">
        <w:rPr>
          <w:i/>
          <w:iCs w:val="0"/>
          <w:lang w:val="en-GB"/>
        </w:rPr>
        <w:t>maltophilia</w:t>
      </w:r>
      <w:bookmarkEnd w:id="14"/>
      <w:proofErr w:type="spellEnd"/>
      <w:r w:rsidR="00966AC0" w:rsidRPr="00097548">
        <w:rPr>
          <w:lang w:val="en-GB"/>
        </w:rPr>
        <w:t>.</w:t>
      </w:r>
      <w:r w:rsidRPr="00097548">
        <w:rPr>
          <w:lang w:val="en-GB"/>
        </w:rPr>
        <w:t xml:space="preserve"> </w:t>
      </w:r>
      <w:r w:rsidR="00966AC0" w:rsidRPr="00097548">
        <w:rPr>
          <w:lang w:val="en-GB"/>
        </w:rPr>
        <w:t xml:space="preserve">Based on clinical advice, EEPRU considered </w:t>
      </w:r>
      <w:r w:rsidR="00855292" w:rsidRPr="00097548">
        <w:rPr>
          <w:lang w:val="en-GB"/>
        </w:rPr>
        <w:t xml:space="preserve">that </w:t>
      </w:r>
      <w:proofErr w:type="spellStart"/>
      <w:r w:rsidR="00CD4AB3" w:rsidRPr="00097548">
        <w:rPr>
          <w:lang w:val="en-GB"/>
        </w:rPr>
        <w:t>cefiderocol</w:t>
      </w:r>
      <w:proofErr w:type="spellEnd"/>
      <w:r w:rsidR="00CD4AB3" w:rsidRPr="00097548">
        <w:rPr>
          <w:lang w:val="en-GB"/>
        </w:rPr>
        <w:t xml:space="preserve"> would be suitable for </w:t>
      </w:r>
      <w:r w:rsidR="00855292" w:rsidRPr="00097548">
        <w:rPr>
          <w:lang w:val="en-GB"/>
        </w:rPr>
        <w:t xml:space="preserve">only </w:t>
      </w:r>
      <w:r w:rsidR="00966AC0" w:rsidRPr="00097548">
        <w:rPr>
          <w:lang w:val="en-GB"/>
        </w:rPr>
        <w:t xml:space="preserve">15% of </w:t>
      </w:r>
      <w:r w:rsidR="00067F4E">
        <w:rPr>
          <w:i/>
          <w:iCs w:val="0"/>
          <w:lang w:val="en-GB"/>
        </w:rPr>
        <w:t xml:space="preserve">Stenotrophomonas </w:t>
      </w:r>
      <w:proofErr w:type="spellStart"/>
      <w:r w:rsidR="00067F4E">
        <w:rPr>
          <w:i/>
          <w:iCs w:val="0"/>
          <w:lang w:val="en-GB"/>
        </w:rPr>
        <w:t>maltophilia</w:t>
      </w:r>
      <w:proofErr w:type="spellEnd"/>
      <w:r w:rsidR="00966AC0" w:rsidRPr="00097548">
        <w:rPr>
          <w:lang w:val="en-GB"/>
        </w:rPr>
        <w:t xml:space="preserve"> infections</w:t>
      </w:r>
      <w:r w:rsidR="00A022D1" w:rsidRPr="00097548">
        <w:rPr>
          <w:lang w:val="en-GB"/>
        </w:rPr>
        <w:t>, which the committee agreed was a reasonable assumption</w:t>
      </w:r>
      <w:r w:rsidR="00966AC0" w:rsidRPr="00097548">
        <w:rPr>
          <w:lang w:val="en-GB"/>
        </w:rPr>
        <w:t xml:space="preserve">. </w:t>
      </w:r>
      <w:r w:rsidR="00DE0EEA" w:rsidRPr="00097548">
        <w:rPr>
          <w:lang w:val="en-GB"/>
        </w:rPr>
        <w:t xml:space="preserve">EEPRU’s estimates </w:t>
      </w:r>
      <w:r w:rsidR="00472C91" w:rsidRPr="00097548">
        <w:rPr>
          <w:lang w:val="en-GB"/>
        </w:rPr>
        <w:t xml:space="preserve">of the number of </w:t>
      </w:r>
      <w:r w:rsidR="00906CEC" w:rsidRPr="00097548">
        <w:rPr>
          <w:lang w:val="en-GB"/>
        </w:rPr>
        <w:t xml:space="preserve">people </w:t>
      </w:r>
      <w:r w:rsidR="00B63EDA" w:rsidRPr="00097548">
        <w:rPr>
          <w:lang w:val="en-GB"/>
        </w:rPr>
        <w:t>eligible</w:t>
      </w:r>
      <w:r w:rsidR="00906CEC" w:rsidRPr="00097548">
        <w:rPr>
          <w:lang w:val="en-GB"/>
        </w:rPr>
        <w:t xml:space="preserve"> </w:t>
      </w:r>
      <w:r w:rsidR="00B63EDA" w:rsidRPr="00097548">
        <w:rPr>
          <w:lang w:val="en-GB"/>
        </w:rPr>
        <w:t>for</w:t>
      </w:r>
      <w:r w:rsidR="00906CEC" w:rsidRPr="00097548">
        <w:rPr>
          <w:lang w:val="en-GB"/>
        </w:rPr>
        <w:t xml:space="preserve"> </w:t>
      </w:r>
      <w:proofErr w:type="spellStart"/>
      <w:r w:rsidR="00906CEC" w:rsidRPr="00097548">
        <w:rPr>
          <w:lang w:val="en-GB"/>
        </w:rPr>
        <w:t>cefiderocol</w:t>
      </w:r>
      <w:proofErr w:type="spellEnd"/>
      <w:r w:rsidR="00906CEC" w:rsidRPr="00097548">
        <w:rPr>
          <w:lang w:val="en-GB"/>
        </w:rPr>
        <w:t xml:space="preserve"> </w:t>
      </w:r>
      <w:r w:rsidR="00DE0EEA" w:rsidRPr="00097548">
        <w:rPr>
          <w:lang w:val="en-GB"/>
        </w:rPr>
        <w:t xml:space="preserve">ranged between 600 and 1,300 people </w:t>
      </w:r>
      <w:r w:rsidR="00855292" w:rsidRPr="00097548">
        <w:rPr>
          <w:lang w:val="en-GB"/>
        </w:rPr>
        <w:t xml:space="preserve">per year </w:t>
      </w:r>
      <w:r w:rsidR="00DE0EEA" w:rsidRPr="00097548">
        <w:rPr>
          <w:lang w:val="en-GB"/>
        </w:rPr>
        <w:t xml:space="preserve">in England. A committee member with specialist expertise in </w:t>
      </w:r>
      <w:r w:rsidR="00DE0EEA" w:rsidRPr="00097548">
        <w:rPr>
          <w:lang w:val="en-GB"/>
        </w:rPr>
        <w:lastRenderedPageBreak/>
        <w:t xml:space="preserve">infectious disease noted that data on current </w:t>
      </w:r>
      <w:proofErr w:type="spellStart"/>
      <w:r w:rsidR="00DE0EEA" w:rsidRPr="00097548">
        <w:rPr>
          <w:lang w:val="en-GB"/>
        </w:rPr>
        <w:t>cefiderocol</w:t>
      </w:r>
      <w:proofErr w:type="spellEnd"/>
      <w:r w:rsidR="00DE0EEA" w:rsidRPr="00097548">
        <w:rPr>
          <w:lang w:val="en-GB"/>
        </w:rPr>
        <w:t xml:space="preserve"> usage in England may not </w:t>
      </w:r>
      <w:r w:rsidR="00E1655C" w:rsidRPr="00097548">
        <w:rPr>
          <w:lang w:val="en-GB"/>
        </w:rPr>
        <w:t>accurately reflect</w:t>
      </w:r>
      <w:r w:rsidR="00DE0EEA" w:rsidRPr="00097548">
        <w:rPr>
          <w:lang w:val="en-GB"/>
        </w:rPr>
        <w:t xml:space="preserve"> population size. This is because temporary shortages of another antimicrobial, </w:t>
      </w:r>
      <w:proofErr w:type="spellStart"/>
      <w:r w:rsidR="00DE0EEA" w:rsidRPr="00097548">
        <w:rPr>
          <w:lang w:val="en-GB"/>
        </w:rPr>
        <w:t>ceftolozane</w:t>
      </w:r>
      <w:proofErr w:type="spellEnd"/>
      <w:r w:rsidR="00855292" w:rsidRPr="00097548">
        <w:rPr>
          <w:lang w:val="en-GB"/>
        </w:rPr>
        <w:t>–</w:t>
      </w:r>
      <w:r w:rsidR="00DE0EEA" w:rsidRPr="00097548">
        <w:rPr>
          <w:lang w:val="en-GB"/>
        </w:rPr>
        <w:t xml:space="preserve">tazobactam, has likely led to increased use of </w:t>
      </w:r>
      <w:proofErr w:type="spellStart"/>
      <w:r w:rsidR="00DE0EEA" w:rsidRPr="00097548">
        <w:rPr>
          <w:lang w:val="en-GB"/>
        </w:rPr>
        <w:t>cefiderocol</w:t>
      </w:r>
      <w:proofErr w:type="spellEnd"/>
      <w:r w:rsidR="00DE0EEA" w:rsidRPr="00097548">
        <w:rPr>
          <w:lang w:val="en-GB"/>
        </w:rPr>
        <w:t xml:space="preserve"> that would not be sustained in future. The company noted that because </w:t>
      </w:r>
      <w:proofErr w:type="spellStart"/>
      <w:r w:rsidR="00DE0EEA" w:rsidRPr="00097548">
        <w:rPr>
          <w:lang w:val="en-GB"/>
        </w:rPr>
        <w:t>cefiderocol</w:t>
      </w:r>
      <w:proofErr w:type="spellEnd"/>
      <w:r w:rsidR="00DE0EEA" w:rsidRPr="00097548">
        <w:rPr>
          <w:lang w:val="en-GB"/>
        </w:rPr>
        <w:t xml:space="preserve"> was a relatively new therapy, current usage data could underestimate patient numbers, </w:t>
      </w:r>
      <w:r w:rsidR="00906CEC" w:rsidRPr="00097548">
        <w:rPr>
          <w:lang w:val="en-GB"/>
        </w:rPr>
        <w:t xml:space="preserve">and use </w:t>
      </w:r>
      <w:r w:rsidR="00DE0EEA" w:rsidRPr="00097548">
        <w:rPr>
          <w:lang w:val="en-GB"/>
        </w:rPr>
        <w:t xml:space="preserve">would increase as </w:t>
      </w:r>
      <w:proofErr w:type="spellStart"/>
      <w:r w:rsidR="00906CEC" w:rsidRPr="00097548">
        <w:rPr>
          <w:lang w:val="en-GB"/>
        </w:rPr>
        <w:t>cefiderocol</w:t>
      </w:r>
      <w:proofErr w:type="spellEnd"/>
      <w:r w:rsidR="00906CEC" w:rsidRPr="00097548">
        <w:rPr>
          <w:lang w:val="en-GB"/>
        </w:rPr>
        <w:t xml:space="preserve"> </w:t>
      </w:r>
      <w:r w:rsidR="00DE0EEA" w:rsidRPr="00097548">
        <w:rPr>
          <w:lang w:val="en-GB"/>
        </w:rPr>
        <w:t xml:space="preserve">becomes more established in clinical practice. The committee agreed that </w:t>
      </w:r>
      <w:r w:rsidR="001E0ECF" w:rsidRPr="00097548">
        <w:rPr>
          <w:lang w:val="en-GB"/>
        </w:rPr>
        <w:t xml:space="preserve">data on </w:t>
      </w:r>
      <w:r w:rsidR="00DE0EEA" w:rsidRPr="00097548">
        <w:rPr>
          <w:lang w:val="en-GB"/>
        </w:rPr>
        <w:t xml:space="preserve">usage was not reliable for verifying EEPRU’s population estimates. </w:t>
      </w:r>
      <w:r w:rsidRPr="00097548">
        <w:rPr>
          <w:lang w:val="en-GB"/>
        </w:rPr>
        <w:t xml:space="preserve">Consultation comments on EEPRU’s report suggested that </w:t>
      </w:r>
      <w:proofErr w:type="spellStart"/>
      <w:r w:rsidR="00966AC0" w:rsidRPr="00097548">
        <w:rPr>
          <w:lang w:val="en-GB"/>
        </w:rPr>
        <w:t>cefiderocol</w:t>
      </w:r>
      <w:proofErr w:type="spellEnd"/>
      <w:r w:rsidRPr="00097548">
        <w:rPr>
          <w:lang w:val="en-GB"/>
        </w:rPr>
        <w:t xml:space="preserve"> is effective against, and would be used to treat, pathogens and resistance mechanisms that EEPRU had</w:t>
      </w:r>
      <w:r w:rsidR="00BE4FBE" w:rsidRPr="00097548">
        <w:rPr>
          <w:lang w:val="en-GB"/>
        </w:rPr>
        <w:t xml:space="preserve"> </w:t>
      </w:r>
      <w:r w:rsidRPr="00097548">
        <w:rPr>
          <w:lang w:val="en-GB"/>
        </w:rPr>
        <w:t>n</w:t>
      </w:r>
      <w:r w:rsidR="00BE4FBE" w:rsidRPr="00097548">
        <w:rPr>
          <w:lang w:val="en-GB"/>
        </w:rPr>
        <w:t>o</w:t>
      </w:r>
      <w:r w:rsidRPr="00097548">
        <w:rPr>
          <w:lang w:val="en-GB"/>
        </w:rPr>
        <w:t>t included in</w:t>
      </w:r>
      <w:r w:rsidR="00B8683D" w:rsidRPr="00097548">
        <w:rPr>
          <w:lang w:val="en-GB"/>
        </w:rPr>
        <w:t xml:space="preserve"> either</w:t>
      </w:r>
      <w:r w:rsidRPr="00097548">
        <w:rPr>
          <w:lang w:val="en-GB"/>
        </w:rPr>
        <w:t xml:space="preserve"> its </w:t>
      </w:r>
      <w:r w:rsidR="00B8683D" w:rsidRPr="00097548">
        <w:rPr>
          <w:lang w:val="en-GB"/>
        </w:rPr>
        <w:t xml:space="preserve">patient- or population-level </w:t>
      </w:r>
      <w:r w:rsidRPr="00097548">
        <w:rPr>
          <w:lang w:val="en-GB"/>
        </w:rPr>
        <w:t>analysis</w:t>
      </w:r>
      <w:r w:rsidR="008C314C" w:rsidRPr="00097548">
        <w:rPr>
          <w:lang w:val="en-GB"/>
        </w:rPr>
        <w:t xml:space="preserve">. For example, </w:t>
      </w:r>
      <w:r w:rsidR="00481B4B" w:rsidRPr="00097548">
        <w:rPr>
          <w:lang w:val="en-GB"/>
        </w:rPr>
        <w:t xml:space="preserve">infections caused by </w:t>
      </w:r>
      <w:r w:rsidR="00481B4B" w:rsidRPr="003B3021">
        <w:rPr>
          <w:i/>
          <w:iCs w:val="0"/>
          <w:lang w:val="en-GB"/>
        </w:rPr>
        <w:t xml:space="preserve">Acinetobacter </w:t>
      </w:r>
      <w:proofErr w:type="spellStart"/>
      <w:r w:rsidR="00481B4B" w:rsidRPr="003B3021">
        <w:rPr>
          <w:i/>
          <w:iCs w:val="0"/>
          <w:lang w:val="en-GB"/>
        </w:rPr>
        <w:t>baumannii</w:t>
      </w:r>
      <w:proofErr w:type="spellEnd"/>
      <w:r w:rsidR="00481B4B" w:rsidRPr="00097548">
        <w:rPr>
          <w:lang w:val="en-GB"/>
        </w:rPr>
        <w:t xml:space="preserve"> with MBL</w:t>
      </w:r>
      <w:r w:rsidR="000C1FE8" w:rsidRPr="00097548">
        <w:rPr>
          <w:lang w:val="en-GB"/>
        </w:rPr>
        <w:t xml:space="preserve"> resistance mechanisms</w:t>
      </w:r>
      <w:r w:rsidR="009E2F8A" w:rsidRPr="00097548">
        <w:rPr>
          <w:lang w:val="en-GB"/>
        </w:rPr>
        <w:t xml:space="preserve"> or </w:t>
      </w:r>
      <w:r w:rsidR="000C1FE8" w:rsidRPr="00097548">
        <w:rPr>
          <w:lang w:val="en-GB"/>
        </w:rPr>
        <w:t xml:space="preserve">pathogens with </w:t>
      </w:r>
      <w:r w:rsidR="009E2F8A" w:rsidRPr="00097548">
        <w:rPr>
          <w:lang w:val="en-GB"/>
        </w:rPr>
        <w:t xml:space="preserve">serine </w:t>
      </w:r>
      <w:proofErr w:type="spellStart"/>
      <w:r w:rsidR="009E2F8A" w:rsidRPr="00097548">
        <w:rPr>
          <w:lang w:val="en-GB"/>
        </w:rPr>
        <w:t>carbapenemase</w:t>
      </w:r>
      <w:proofErr w:type="spellEnd"/>
      <w:r w:rsidR="009E2F8A" w:rsidRPr="00097548">
        <w:rPr>
          <w:lang w:val="en-GB"/>
        </w:rPr>
        <w:t>-mediated</w:t>
      </w:r>
      <w:r w:rsidR="00481B4B" w:rsidRPr="00097548">
        <w:rPr>
          <w:lang w:val="en-GB"/>
        </w:rPr>
        <w:t xml:space="preserve"> resistance</w:t>
      </w:r>
      <w:r w:rsidR="000C1FE8" w:rsidRPr="00097548">
        <w:rPr>
          <w:lang w:val="en-GB"/>
        </w:rPr>
        <w:t xml:space="preserve"> </w:t>
      </w:r>
      <w:r w:rsidR="00C10DF8" w:rsidRPr="00097548">
        <w:rPr>
          <w:lang w:val="en-GB"/>
        </w:rPr>
        <w:t xml:space="preserve">against which </w:t>
      </w:r>
      <w:r w:rsidR="000C1FE8" w:rsidRPr="00097548">
        <w:rPr>
          <w:lang w:val="en-GB"/>
        </w:rPr>
        <w:t xml:space="preserve">other treatment options </w:t>
      </w:r>
      <w:r w:rsidR="00472C91" w:rsidRPr="00097548">
        <w:rPr>
          <w:lang w:val="en-GB"/>
        </w:rPr>
        <w:t>are</w:t>
      </w:r>
      <w:r w:rsidR="000C1FE8" w:rsidRPr="00097548">
        <w:rPr>
          <w:lang w:val="en-GB"/>
        </w:rPr>
        <w:t xml:space="preserve"> not available or appropriate</w:t>
      </w:r>
      <w:r w:rsidR="00481B4B" w:rsidRPr="00097548">
        <w:rPr>
          <w:lang w:val="en-GB"/>
        </w:rPr>
        <w:t xml:space="preserve">. </w:t>
      </w:r>
      <w:r w:rsidRPr="00097548">
        <w:rPr>
          <w:lang w:val="en-GB"/>
        </w:rPr>
        <w:t xml:space="preserve">Consultees highlighted the importance of </w:t>
      </w:r>
      <w:proofErr w:type="spellStart"/>
      <w:r w:rsidR="00481B4B" w:rsidRPr="00097548">
        <w:rPr>
          <w:lang w:val="en-GB"/>
        </w:rPr>
        <w:t>cefiderocol</w:t>
      </w:r>
      <w:proofErr w:type="spellEnd"/>
      <w:r w:rsidRPr="00097548">
        <w:rPr>
          <w:lang w:val="en-GB"/>
        </w:rPr>
        <w:t xml:space="preserve"> for people with compromised immune systems (</w:t>
      </w:r>
      <w:r w:rsidR="00BE4FBE" w:rsidRPr="00097548">
        <w:rPr>
          <w:lang w:val="en-GB"/>
        </w:rPr>
        <w:t>for example,</w:t>
      </w:r>
      <w:r w:rsidRPr="00097548">
        <w:rPr>
          <w:lang w:val="en-GB"/>
        </w:rPr>
        <w:t xml:space="preserve"> pre</w:t>
      </w:r>
      <w:r w:rsidR="00E95C87" w:rsidRPr="00097548">
        <w:rPr>
          <w:lang w:val="en-GB"/>
        </w:rPr>
        <w:t>-</w:t>
      </w:r>
      <w:r w:rsidRPr="00097548">
        <w:rPr>
          <w:lang w:val="en-GB"/>
        </w:rPr>
        <w:t xml:space="preserve"> or post-transplant</w:t>
      </w:r>
      <w:r w:rsidR="00BE4FBE" w:rsidRPr="00097548">
        <w:rPr>
          <w:lang w:val="en-GB"/>
        </w:rPr>
        <w:t>ation</w:t>
      </w:r>
      <w:r w:rsidRPr="00097548">
        <w:rPr>
          <w:lang w:val="en-GB"/>
        </w:rPr>
        <w:t xml:space="preserve">, or during cancer treatment), </w:t>
      </w:r>
      <w:r w:rsidR="000C1FE8" w:rsidRPr="00097548">
        <w:rPr>
          <w:lang w:val="en-GB"/>
        </w:rPr>
        <w:t>and other scenarios including</w:t>
      </w:r>
      <w:r w:rsidR="0099325E">
        <w:rPr>
          <w:lang w:val="en-GB"/>
        </w:rPr>
        <w:t>,</w:t>
      </w:r>
      <w:r w:rsidR="000C1FE8" w:rsidRPr="00097548">
        <w:rPr>
          <w:lang w:val="en-GB"/>
        </w:rPr>
        <w:t xml:space="preserve"> but not limited to </w:t>
      </w:r>
      <w:r w:rsidRPr="00097548">
        <w:rPr>
          <w:lang w:val="en-GB"/>
        </w:rPr>
        <w:t xml:space="preserve">renal complications, cystic </w:t>
      </w:r>
      <w:proofErr w:type="gramStart"/>
      <w:r w:rsidRPr="00097548">
        <w:rPr>
          <w:lang w:val="en-GB"/>
        </w:rPr>
        <w:t>fibrosis</w:t>
      </w:r>
      <w:proofErr w:type="gramEnd"/>
      <w:r w:rsidR="0008362E" w:rsidRPr="00097548">
        <w:rPr>
          <w:lang w:val="en-GB"/>
        </w:rPr>
        <w:t xml:space="preserve"> and</w:t>
      </w:r>
      <w:r w:rsidRPr="00097548">
        <w:rPr>
          <w:lang w:val="en-GB"/>
        </w:rPr>
        <w:t xml:space="preserve"> burns. The committee agreed that EEPRU’s analysis excluded populations that would benefit </w:t>
      </w:r>
      <w:r w:rsidR="007A47B0" w:rsidRPr="00097548">
        <w:rPr>
          <w:lang w:val="en-GB"/>
        </w:rPr>
        <w:t xml:space="preserve">from </w:t>
      </w:r>
      <w:proofErr w:type="spellStart"/>
      <w:r w:rsidR="00481B4B" w:rsidRPr="00097548">
        <w:rPr>
          <w:lang w:val="en-GB"/>
        </w:rPr>
        <w:t>cefiderocol</w:t>
      </w:r>
      <w:proofErr w:type="spellEnd"/>
      <w:r w:rsidRPr="00097548">
        <w:rPr>
          <w:lang w:val="en-GB"/>
        </w:rPr>
        <w:t xml:space="preserve">. The committee concluded that the current population size is likely to be </w:t>
      </w:r>
      <w:r w:rsidR="00A834DE" w:rsidRPr="00097548">
        <w:rPr>
          <w:lang w:val="en-GB"/>
        </w:rPr>
        <w:t xml:space="preserve">at least </w:t>
      </w:r>
      <w:r w:rsidR="00C141A3" w:rsidRPr="00097548">
        <w:rPr>
          <w:lang w:val="en-GB"/>
        </w:rPr>
        <w:t>2</w:t>
      </w:r>
      <w:r w:rsidRPr="00097548">
        <w:rPr>
          <w:lang w:val="en-GB"/>
        </w:rPr>
        <w:t xml:space="preserve"> times bigger than EEPRU’s estimate.</w:t>
      </w:r>
    </w:p>
    <w:p w14:paraId="13413C5A" w14:textId="1D16DC03" w:rsidR="00D048B1" w:rsidRPr="00097548" w:rsidRDefault="00D048B1" w:rsidP="00D048B1">
      <w:pPr>
        <w:pStyle w:val="Heading3"/>
      </w:pPr>
      <w:r w:rsidRPr="00097548">
        <w:t xml:space="preserve">It is reasonable to </w:t>
      </w:r>
      <w:r w:rsidR="00BD5BB3" w:rsidRPr="00097548">
        <w:t xml:space="preserve">generalise </w:t>
      </w:r>
      <w:r w:rsidRPr="00097548">
        <w:t xml:space="preserve">incremental benefits of </w:t>
      </w:r>
      <w:proofErr w:type="spellStart"/>
      <w:r w:rsidR="00A834DE" w:rsidRPr="00097548">
        <w:t>cefiderocol</w:t>
      </w:r>
      <w:proofErr w:type="spellEnd"/>
      <w:r w:rsidR="009C3C03" w:rsidRPr="00097548">
        <w:t xml:space="preserve"> </w:t>
      </w:r>
      <w:r w:rsidR="00BD5BB3" w:rsidRPr="00097548">
        <w:t xml:space="preserve">to </w:t>
      </w:r>
      <w:r w:rsidR="003A2B6D" w:rsidRPr="00097548">
        <w:t xml:space="preserve">a </w:t>
      </w:r>
      <w:r w:rsidR="009C3C03" w:rsidRPr="00097548">
        <w:t>wider population</w:t>
      </w:r>
      <w:r w:rsidRPr="00097548">
        <w:t xml:space="preserve"> </w:t>
      </w:r>
      <w:r w:rsidR="009C3C03" w:rsidRPr="00097548">
        <w:t>using results from the</w:t>
      </w:r>
      <w:r w:rsidRPr="00097548">
        <w:t xml:space="preserve"> high</w:t>
      </w:r>
      <w:r w:rsidR="005101FC" w:rsidRPr="00097548">
        <w:t>-</w:t>
      </w:r>
      <w:r w:rsidRPr="00097548">
        <w:t>value clinical scenarios</w:t>
      </w:r>
    </w:p>
    <w:p w14:paraId="6E4B8C8C" w14:textId="324E875A" w:rsidR="00F51162" w:rsidRPr="00097548" w:rsidRDefault="008D2CAF" w:rsidP="00067E6B">
      <w:pPr>
        <w:pStyle w:val="Numberedlevel2text"/>
        <w:rPr>
          <w:lang w:val="en-GB"/>
        </w:rPr>
      </w:pPr>
      <w:r w:rsidRPr="0092406A">
        <w:rPr>
          <w:lang w:val="en-GB"/>
        </w:rPr>
        <w:t xml:space="preserve">When modelling benefits of </w:t>
      </w:r>
      <w:proofErr w:type="spellStart"/>
      <w:r>
        <w:rPr>
          <w:lang w:val="en-GB"/>
        </w:rPr>
        <w:t>cefiderocol</w:t>
      </w:r>
      <w:proofErr w:type="spellEnd"/>
      <w:r w:rsidRPr="0092406A">
        <w:rPr>
          <w:lang w:val="en-GB"/>
        </w:rPr>
        <w:t xml:space="preserve"> at the population level, EEPRU included additional </w:t>
      </w:r>
      <w:r w:rsidRPr="00097548">
        <w:rPr>
          <w:lang w:val="en-GB"/>
        </w:rPr>
        <w:t xml:space="preserve">groups of patients in </w:t>
      </w:r>
      <w:r w:rsidR="00E0753F">
        <w:rPr>
          <w:lang w:val="en-GB"/>
        </w:rPr>
        <w:t>which</w:t>
      </w:r>
      <w:r w:rsidRPr="00097548">
        <w:rPr>
          <w:lang w:val="en-GB"/>
        </w:rPr>
        <w:t xml:space="preserve"> </w:t>
      </w:r>
      <w:proofErr w:type="spellStart"/>
      <w:r>
        <w:rPr>
          <w:lang w:val="en-GB"/>
        </w:rPr>
        <w:t>cefiderocol</w:t>
      </w:r>
      <w:proofErr w:type="spellEnd"/>
      <w:r w:rsidRPr="00097548">
        <w:rPr>
          <w:lang w:val="en-GB"/>
        </w:rPr>
        <w:t xml:space="preserve"> is expected to have clinical benefit and be used in practice</w:t>
      </w:r>
      <w:r>
        <w:rPr>
          <w:lang w:val="en-GB"/>
        </w:rPr>
        <w:t xml:space="preserve"> (see section 4.10)</w:t>
      </w:r>
      <w:r w:rsidRPr="0092406A">
        <w:rPr>
          <w:lang w:val="en-GB"/>
        </w:rPr>
        <w:t>.</w:t>
      </w:r>
      <w:r w:rsidR="00D048B1" w:rsidRPr="00097548">
        <w:rPr>
          <w:lang w:val="en-GB"/>
        </w:rPr>
        <w:t xml:space="preserve"> Because </w:t>
      </w:r>
      <w:r w:rsidR="005101FC" w:rsidRPr="00097548">
        <w:rPr>
          <w:lang w:val="en-GB"/>
        </w:rPr>
        <w:t xml:space="preserve">EEPRU did not include </w:t>
      </w:r>
      <w:r w:rsidR="00D048B1" w:rsidRPr="00097548">
        <w:rPr>
          <w:lang w:val="en-GB"/>
        </w:rPr>
        <w:t xml:space="preserve">these </w:t>
      </w:r>
      <w:r>
        <w:rPr>
          <w:lang w:val="en-GB"/>
        </w:rPr>
        <w:t>groups</w:t>
      </w:r>
      <w:r w:rsidR="00D048B1" w:rsidRPr="00097548">
        <w:rPr>
          <w:lang w:val="en-GB"/>
        </w:rPr>
        <w:t xml:space="preserve"> in </w:t>
      </w:r>
      <w:r w:rsidR="005101FC" w:rsidRPr="00097548">
        <w:rPr>
          <w:lang w:val="en-GB"/>
        </w:rPr>
        <w:t xml:space="preserve">its </w:t>
      </w:r>
      <w:r w:rsidR="00D048B1" w:rsidRPr="00097548">
        <w:rPr>
          <w:lang w:val="en-GB"/>
        </w:rPr>
        <w:t xml:space="preserve">patient-level model, </w:t>
      </w:r>
      <w:r w:rsidR="005D027B" w:rsidRPr="00097548">
        <w:rPr>
          <w:lang w:val="en-GB"/>
        </w:rPr>
        <w:t xml:space="preserve">it </w:t>
      </w:r>
      <w:r w:rsidR="00D048B1" w:rsidRPr="00097548">
        <w:rPr>
          <w:lang w:val="en-GB"/>
        </w:rPr>
        <w:t>w</w:t>
      </w:r>
      <w:r w:rsidR="005101FC" w:rsidRPr="00097548">
        <w:rPr>
          <w:lang w:val="en-GB"/>
        </w:rPr>
        <w:t>as</w:t>
      </w:r>
      <w:r w:rsidR="00D048B1" w:rsidRPr="00097548">
        <w:rPr>
          <w:lang w:val="en-GB"/>
        </w:rPr>
        <w:t xml:space="preserve"> unable to estimate the patient-level QALY gains. </w:t>
      </w:r>
      <w:r w:rsidR="00472C91" w:rsidRPr="00097548">
        <w:rPr>
          <w:lang w:val="en-GB"/>
        </w:rPr>
        <w:t xml:space="preserve">EEPRU assumed that QALY gains in people with </w:t>
      </w:r>
      <w:r w:rsidR="00FD3335" w:rsidRPr="00097548">
        <w:rPr>
          <w:lang w:val="en-GB"/>
        </w:rPr>
        <w:t>bloodstream infections</w:t>
      </w:r>
      <w:r w:rsidR="00472C91" w:rsidRPr="00097548">
        <w:rPr>
          <w:lang w:val="en-GB"/>
        </w:rPr>
        <w:t xml:space="preserve"> </w:t>
      </w:r>
      <w:r w:rsidR="00D048B1" w:rsidRPr="00097548">
        <w:rPr>
          <w:lang w:val="en-GB"/>
        </w:rPr>
        <w:t xml:space="preserve">were the same as </w:t>
      </w:r>
      <w:r w:rsidR="005101FC" w:rsidRPr="00097548">
        <w:rPr>
          <w:lang w:val="en-GB"/>
        </w:rPr>
        <w:t xml:space="preserve">those </w:t>
      </w:r>
      <w:r w:rsidR="00D048B1" w:rsidRPr="00097548">
        <w:rPr>
          <w:lang w:val="en-GB"/>
        </w:rPr>
        <w:t xml:space="preserve">in </w:t>
      </w:r>
      <w:r w:rsidR="00472C91" w:rsidRPr="00097548">
        <w:rPr>
          <w:lang w:val="en-GB"/>
        </w:rPr>
        <w:t xml:space="preserve">people with </w:t>
      </w:r>
      <w:r w:rsidR="00D048B1" w:rsidRPr="00097548">
        <w:rPr>
          <w:lang w:val="en-GB"/>
        </w:rPr>
        <w:t>hospital-acquired pneumonia and ventilator</w:t>
      </w:r>
      <w:r w:rsidR="002268BB" w:rsidRPr="00097548">
        <w:rPr>
          <w:lang w:val="en-GB"/>
        </w:rPr>
        <w:t>-</w:t>
      </w:r>
      <w:r w:rsidR="0007781D" w:rsidRPr="00097548">
        <w:rPr>
          <w:lang w:val="en-GB"/>
        </w:rPr>
        <w:lastRenderedPageBreak/>
        <w:t xml:space="preserve">associated </w:t>
      </w:r>
      <w:r w:rsidR="00D048B1" w:rsidRPr="00097548">
        <w:rPr>
          <w:lang w:val="en-GB"/>
        </w:rPr>
        <w:t>pneumonia</w:t>
      </w:r>
      <w:r w:rsidR="005101FC" w:rsidRPr="00097548">
        <w:rPr>
          <w:lang w:val="en-GB"/>
        </w:rPr>
        <w:t xml:space="preserve">. </w:t>
      </w:r>
      <w:r w:rsidR="00472C91" w:rsidRPr="00097548">
        <w:rPr>
          <w:lang w:val="en-GB"/>
        </w:rPr>
        <w:t xml:space="preserve">It </w:t>
      </w:r>
      <w:r w:rsidR="00FD3335" w:rsidRPr="00097548">
        <w:rPr>
          <w:lang w:val="en-GB"/>
        </w:rPr>
        <w:t xml:space="preserve">assumed that QALY </w:t>
      </w:r>
      <w:r w:rsidR="00061767" w:rsidRPr="00097548">
        <w:rPr>
          <w:lang w:val="en-GB"/>
        </w:rPr>
        <w:t xml:space="preserve">gains </w:t>
      </w:r>
      <w:r w:rsidR="00472C91" w:rsidRPr="00097548">
        <w:rPr>
          <w:lang w:val="en-GB"/>
        </w:rPr>
        <w:t xml:space="preserve">in people with intra-abdominal infections </w:t>
      </w:r>
      <w:r w:rsidR="00FD3335" w:rsidRPr="00097548">
        <w:rPr>
          <w:lang w:val="en-GB"/>
        </w:rPr>
        <w:t xml:space="preserve">were the same as those in </w:t>
      </w:r>
      <w:r w:rsidR="00472C91" w:rsidRPr="00097548">
        <w:rPr>
          <w:lang w:val="en-GB"/>
        </w:rPr>
        <w:t xml:space="preserve">people with </w:t>
      </w:r>
      <w:r w:rsidR="00D048B1" w:rsidRPr="00097548">
        <w:rPr>
          <w:lang w:val="en-GB"/>
        </w:rPr>
        <w:t>complicated urinary tract infection</w:t>
      </w:r>
      <w:r w:rsidR="005101FC" w:rsidRPr="00097548">
        <w:rPr>
          <w:lang w:val="en-GB"/>
        </w:rPr>
        <w:t>s</w:t>
      </w:r>
      <w:r w:rsidR="00D048B1" w:rsidRPr="00097548">
        <w:rPr>
          <w:lang w:val="en-GB"/>
        </w:rPr>
        <w:t xml:space="preserve">. </w:t>
      </w:r>
      <w:r w:rsidR="00FD3335" w:rsidRPr="00097548">
        <w:rPr>
          <w:lang w:val="en-GB"/>
        </w:rPr>
        <w:t xml:space="preserve">For </w:t>
      </w:r>
      <w:r w:rsidR="00067F4E">
        <w:rPr>
          <w:i/>
          <w:iCs w:val="0"/>
          <w:lang w:val="en-GB"/>
        </w:rPr>
        <w:t xml:space="preserve">Stenotrophomonas </w:t>
      </w:r>
      <w:proofErr w:type="spellStart"/>
      <w:r w:rsidR="00067F4E">
        <w:rPr>
          <w:i/>
          <w:iCs w:val="0"/>
          <w:lang w:val="en-GB"/>
        </w:rPr>
        <w:t>maltophilia</w:t>
      </w:r>
      <w:proofErr w:type="spellEnd"/>
      <w:r w:rsidR="00FD3335" w:rsidRPr="00097548">
        <w:rPr>
          <w:lang w:val="en-GB"/>
        </w:rPr>
        <w:t xml:space="preserve"> infections, it assumed that </w:t>
      </w:r>
      <w:r w:rsidR="00237348" w:rsidRPr="00097548">
        <w:rPr>
          <w:lang w:val="en-GB"/>
        </w:rPr>
        <w:t xml:space="preserve">the </w:t>
      </w:r>
      <w:r w:rsidR="00FD3335" w:rsidRPr="00097548">
        <w:rPr>
          <w:lang w:val="en-GB"/>
        </w:rPr>
        <w:t xml:space="preserve">QALY </w:t>
      </w:r>
      <w:r w:rsidR="00061767" w:rsidRPr="00097548">
        <w:rPr>
          <w:lang w:val="en-GB"/>
        </w:rPr>
        <w:t xml:space="preserve">gains </w:t>
      </w:r>
      <w:r w:rsidR="00FD3335" w:rsidRPr="00097548">
        <w:rPr>
          <w:lang w:val="en-GB"/>
        </w:rPr>
        <w:t>in</w:t>
      </w:r>
      <w:r w:rsidR="00DF42BA" w:rsidRPr="00097548">
        <w:rPr>
          <w:lang w:val="en-GB"/>
        </w:rPr>
        <w:t xml:space="preserve"> </w:t>
      </w:r>
      <w:r w:rsidR="00237348" w:rsidRPr="00097548">
        <w:rPr>
          <w:lang w:val="en-GB"/>
        </w:rPr>
        <w:t xml:space="preserve">each </w:t>
      </w:r>
      <w:r w:rsidR="00FD3335" w:rsidRPr="00097548">
        <w:rPr>
          <w:lang w:val="en-GB"/>
        </w:rPr>
        <w:t xml:space="preserve">infection site </w:t>
      </w:r>
      <w:r w:rsidR="00BB2561" w:rsidRPr="00097548">
        <w:rPr>
          <w:lang w:val="en-GB"/>
        </w:rPr>
        <w:t xml:space="preserve">reflected </w:t>
      </w:r>
      <w:r w:rsidR="00FD3335" w:rsidRPr="00097548">
        <w:rPr>
          <w:lang w:val="en-GB"/>
        </w:rPr>
        <w:t xml:space="preserve">a weighted average of those in the </w:t>
      </w:r>
      <w:r w:rsidR="00DF42BA" w:rsidRPr="00097548">
        <w:rPr>
          <w:lang w:val="en-GB"/>
        </w:rPr>
        <w:t>same</w:t>
      </w:r>
      <w:r w:rsidR="00FD3335" w:rsidRPr="00097548">
        <w:rPr>
          <w:lang w:val="en-GB"/>
        </w:rPr>
        <w:t xml:space="preserve"> infection site for </w:t>
      </w:r>
      <w:proofErr w:type="spellStart"/>
      <w:r w:rsidR="00FD3335" w:rsidRPr="00357168">
        <w:rPr>
          <w:i/>
          <w:iCs w:val="0"/>
          <w:lang w:val="en-GB"/>
        </w:rPr>
        <w:t>Enterobacterales</w:t>
      </w:r>
      <w:proofErr w:type="spellEnd"/>
      <w:r w:rsidR="00FD3335" w:rsidRPr="00097548">
        <w:rPr>
          <w:lang w:val="en-GB"/>
        </w:rPr>
        <w:t xml:space="preserve"> and </w:t>
      </w:r>
      <w:r w:rsidR="00067F4E">
        <w:rPr>
          <w:i/>
          <w:iCs w:val="0"/>
          <w:lang w:val="en-GB"/>
        </w:rPr>
        <w:t>Pseudomonas aeruginosa</w:t>
      </w:r>
      <w:r w:rsidR="00FD3335" w:rsidRPr="00097548">
        <w:rPr>
          <w:lang w:val="en-GB"/>
        </w:rPr>
        <w:t xml:space="preserve">. </w:t>
      </w:r>
      <w:r w:rsidR="00D048B1" w:rsidRPr="00097548">
        <w:rPr>
          <w:lang w:val="en-GB"/>
        </w:rPr>
        <w:t>The committee noted there was no evidence to show that QALY gains would</w:t>
      </w:r>
      <w:r w:rsidR="00A4033C" w:rsidRPr="00097548">
        <w:rPr>
          <w:lang w:val="en-GB"/>
        </w:rPr>
        <w:t xml:space="preserve"> </w:t>
      </w:r>
      <w:r w:rsidR="00D048B1" w:rsidRPr="00097548">
        <w:rPr>
          <w:lang w:val="en-GB"/>
        </w:rPr>
        <w:t>differ between high</w:t>
      </w:r>
      <w:r w:rsidR="00CE2168" w:rsidRPr="00097548">
        <w:rPr>
          <w:lang w:val="en-GB"/>
        </w:rPr>
        <w:t>-</w:t>
      </w:r>
      <w:r w:rsidR="00D048B1" w:rsidRPr="00097548">
        <w:rPr>
          <w:lang w:val="en-GB"/>
        </w:rPr>
        <w:t>value clinical scenarios and these other infection sites</w:t>
      </w:r>
      <w:r w:rsidR="00BB2561" w:rsidRPr="00097548">
        <w:rPr>
          <w:lang w:val="en-GB"/>
        </w:rPr>
        <w:t xml:space="preserve"> in a wider-use population</w:t>
      </w:r>
      <w:r w:rsidR="00D048B1" w:rsidRPr="00097548">
        <w:rPr>
          <w:lang w:val="en-GB"/>
        </w:rPr>
        <w:t xml:space="preserve">. In the absence of evidence, the committee </w:t>
      </w:r>
      <w:r w:rsidR="005101FC" w:rsidRPr="00097548">
        <w:rPr>
          <w:lang w:val="en-GB"/>
        </w:rPr>
        <w:t xml:space="preserve">recognised that </w:t>
      </w:r>
      <w:r w:rsidR="00F16C0F" w:rsidRPr="00097548">
        <w:rPr>
          <w:lang w:val="en-GB"/>
        </w:rPr>
        <w:t xml:space="preserve">EEPRU’s </w:t>
      </w:r>
      <w:r w:rsidR="005101FC" w:rsidRPr="00097548">
        <w:rPr>
          <w:lang w:val="en-GB"/>
        </w:rPr>
        <w:t xml:space="preserve">assumptions introduced </w:t>
      </w:r>
      <w:r w:rsidR="00D60E3B" w:rsidRPr="00097548">
        <w:rPr>
          <w:lang w:val="en-GB"/>
        </w:rPr>
        <w:t xml:space="preserve">further </w:t>
      </w:r>
      <w:r w:rsidR="005101FC" w:rsidRPr="00097548">
        <w:rPr>
          <w:lang w:val="en-GB"/>
        </w:rPr>
        <w:t xml:space="preserve">uncertainty in the </w:t>
      </w:r>
      <w:proofErr w:type="gramStart"/>
      <w:r w:rsidR="005101FC" w:rsidRPr="00097548">
        <w:rPr>
          <w:lang w:val="en-GB"/>
        </w:rPr>
        <w:t>model</w:t>
      </w:r>
      <w:r w:rsidR="00D60E3B" w:rsidRPr="00097548">
        <w:rPr>
          <w:lang w:val="en-GB"/>
        </w:rPr>
        <w:t>,</w:t>
      </w:r>
      <w:r w:rsidR="005101FC" w:rsidRPr="00097548">
        <w:rPr>
          <w:lang w:val="en-GB"/>
        </w:rPr>
        <w:t xml:space="preserve"> but</w:t>
      </w:r>
      <w:proofErr w:type="gramEnd"/>
      <w:r w:rsidR="005101FC" w:rsidRPr="00097548">
        <w:rPr>
          <w:lang w:val="en-GB"/>
        </w:rPr>
        <w:t xml:space="preserve"> </w:t>
      </w:r>
      <w:r w:rsidR="00D048B1" w:rsidRPr="00097548">
        <w:rPr>
          <w:lang w:val="en-GB"/>
        </w:rPr>
        <w:t xml:space="preserve">concluded </w:t>
      </w:r>
      <w:r w:rsidR="005101FC" w:rsidRPr="00097548">
        <w:rPr>
          <w:lang w:val="en-GB"/>
        </w:rPr>
        <w:t xml:space="preserve">that </w:t>
      </w:r>
      <w:r w:rsidR="006D3366" w:rsidRPr="00097548">
        <w:rPr>
          <w:lang w:val="en-GB"/>
        </w:rPr>
        <w:t xml:space="preserve">it is </w:t>
      </w:r>
      <w:bookmarkStart w:id="15" w:name="_Hlk98516234"/>
      <w:r w:rsidR="006D3366" w:rsidRPr="00097548">
        <w:rPr>
          <w:lang w:val="en-GB"/>
        </w:rPr>
        <w:t xml:space="preserve">reasonable to generalise incremental benefits of </w:t>
      </w:r>
      <w:proofErr w:type="spellStart"/>
      <w:r w:rsidR="006D3366" w:rsidRPr="00097548">
        <w:rPr>
          <w:lang w:val="en-GB"/>
        </w:rPr>
        <w:t>cefiderocol</w:t>
      </w:r>
      <w:proofErr w:type="spellEnd"/>
      <w:r w:rsidR="006D3366" w:rsidRPr="00097548">
        <w:rPr>
          <w:lang w:val="en-GB"/>
        </w:rPr>
        <w:t xml:space="preserve"> to a wider population using results from the high-value clinical scenarios</w:t>
      </w:r>
      <w:bookmarkEnd w:id="15"/>
      <w:r w:rsidR="00D048B1" w:rsidRPr="00097548">
        <w:rPr>
          <w:lang w:val="en-GB"/>
        </w:rPr>
        <w:t>.</w:t>
      </w:r>
    </w:p>
    <w:p w14:paraId="16F3A14E" w14:textId="3E222817" w:rsidR="0030276D" w:rsidRPr="00097548" w:rsidRDefault="00896D5C" w:rsidP="00C219F1">
      <w:pPr>
        <w:pStyle w:val="Heading3"/>
      </w:pPr>
      <w:r w:rsidRPr="00097548">
        <w:t>The c</w:t>
      </w:r>
      <w:r w:rsidR="00B1421B" w:rsidRPr="00097548">
        <w:t>linical advis</w:t>
      </w:r>
      <w:r w:rsidR="00CE2168" w:rsidRPr="00097548">
        <w:t>e</w:t>
      </w:r>
      <w:r w:rsidR="00B1421B" w:rsidRPr="00097548">
        <w:t>rs</w:t>
      </w:r>
      <w:r w:rsidR="00B372FC" w:rsidRPr="00097548">
        <w:t>’</w:t>
      </w:r>
      <w:r w:rsidR="00B1421B" w:rsidRPr="00097548">
        <w:t xml:space="preserve"> classification of </w:t>
      </w:r>
      <w:r w:rsidR="00B372FC" w:rsidRPr="00097548">
        <w:t xml:space="preserve">infection site should be used to </w:t>
      </w:r>
      <w:r w:rsidR="003E6322" w:rsidRPr="00097548">
        <w:t xml:space="preserve">estimate the number of </w:t>
      </w:r>
      <w:r w:rsidR="00CF59FB" w:rsidRPr="00097548">
        <w:t xml:space="preserve">people </w:t>
      </w:r>
      <w:r w:rsidR="003E6322" w:rsidRPr="00097548">
        <w:t>eligible</w:t>
      </w:r>
      <w:r w:rsidR="00E4098F" w:rsidRPr="00097548">
        <w:t xml:space="preserve"> for </w:t>
      </w:r>
      <w:proofErr w:type="spellStart"/>
      <w:r w:rsidR="00B14717" w:rsidRPr="00097548">
        <w:t>cefiderocol</w:t>
      </w:r>
      <w:proofErr w:type="spellEnd"/>
    </w:p>
    <w:p w14:paraId="54B3831F" w14:textId="5FC14C86" w:rsidR="00C219F1" w:rsidRPr="00097548" w:rsidRDefault="0072349C" w:rsidP="00C219F1">
      <w:pPr>
        <w:pStyle w:val="Numberedlevel2text"/>
        <w:rPr>
          <w:lang w:val="en-GB"/>
        </w:rPr>
      </w:pPr>
      <w:r w:rsidRPr="00097548">
        <w:rPr>
          <w:lang w:val="en-GB"/>
        </w:rPr>
        <w:t>EEPRU estimated t</w:t>
      </w:r>
      <w:r w:rsidR="00650EEC" w:rsidRPr="00097548">
        <w:rPr>
          <w:lang w:val="en-GB"/>
        </w:rPr>
        <w:t>he</w:t>
      </w:r>
      <w:r w:rsidR="00BF15A0" w:rsidRPr="00097548">
        <w:rPr>
          <w:lang w:val="en-GB"/>
        </w:rPr>
        <w:t xml:space="preserve"> number of </w:t>
      </w:r>
      <w:r w:rsidR="00CF59FB" w:rsidRPr="00097548">
        <w:rPr>
          <w:lang w:val="en-GB"/>
        </w:rPr>
        <w:t xml:space="preserve">people </w:t>
      </w:r>
      <w:r w:rsidR="00BF15A0" w:rsidRPr="00097548">
        <w:rPr>
          <w:lang w:val="en-GB"/>
        </w:rPr>
        <w:t xml:space="preserve">currently eligible for </w:t>
      </w:r>
      <w:proofErr w:type="spellStart"/>
      <w:r w:rsidR="00B14717" w:rsidRPr="00097548">
        <w:rPr>
          <w:lang w:val="en-GB"/>
        </w:rPr>
        <w:t>cefiderocol</w:t>
      </w:r>
      <w:proofErr w:type="spellEnd"/>
      <w:r w:rsidR="0051044F" w:rsidRPr="00097548">
        <w:rPr>
          <w:lang w:val="en-GB"/>
        </w:rPr>
        <w:t xml:space="preserve"> </w:t>
      </w:r>
      <w:r w:rsidR="00A31F05" w:rsidRPr="00097548">
        <w:rPr>
          <w:lang w:val="en-GB"/>
        </w:rPr>
        <w:t xml:space="preserve">using </w:t>
      </w:r>
      <w:r w:rsidR="00EF1A73" w:rsidRPr="00097548">
        <w:rPr>
          <w:lang w:val="en-GB"/>
        </w:rPr>
        <w:t xml:space="preserve">data from </w:t>
      </w:r>
      <w:r w:rsidR="00A31F05" w:rsidRPr="00097548">
        <w:rPr>
          <w:lang w:val="en-GB"/>
        </w:rPr>
        <w:t xml:space="preserve">the </w:t>
      </w:r>
      <w:r w:rsidR="0028744F" w:rsidRPr="00097548">
        <w:rPr>
          <w:lang w:val="en-GB"/>
        </w:rPr>
        <w:t>UKHSA</w:t>
      </w:r>
      <w:r w:rsidR="00A31F05" w:rsidRPr="00097548">
        <w:rPr>
          <w:lang w:val="en-GB"/>
        </w:rPr>
        <w:t xml:space="preserve"> </w:t>
      </w:r>
      <w:r w:rsidRPr="00097548">
        <w:rPr>
          <w:lang w:val="en-GB"/>
        </w:rPr>
        <w:t>Second Generation Surveillance System (</w:t>
      </w:r>
      <w:r w:rsidR="00A31F05" w:rsidRPr="00097548">
        <w:rPr>
          <w:lang w:val="en-GB"/>
        </w:rPr>
        <w:t>SG</w:t>
      </w:r>
      <w:r w:rsidR="00820079" w:rsidRPr="00097548">
        <w:rPr>
          <w:lang w:val="en-GB"/>
        </w:rPr>
        <w:t>S</w:t>
      </w:r>
      <w:r w:rsidR="00A31F05" w:rsidRPr="00097548">
        <w:rPr>
          <w:lang w:val="en-GB"/>
        </w:rPr>
        <w:t>S</w:t>
      </w:r>
      <w:r w:rsidRPr="00097548">
        <w:rPr>
          <w:lang w:val="en-GB"/>
        </w:rPr>
        <w:t>)</w:t>
      </w:r>
      <w:r w:rsidR="002954AD" w:rsidRPr="00097548">
        <w:rPr>
          <w:lang w:val="en-GB"/>
        </w:rPr>
        <w:t xml:space="preserve">, a national database </w:t>
      </w:r>
      <w:r w:rsidR="00E4098F" w:rsidRPr="00097548">
        <w:rPr>
          <w:lang w:val="en-GB"/>
        </w:rPr>
        <w:t xml:space="preserve">of microbiology test results from </w:t>
      </w:r>
      <w:r w:rsidR="0039359D" w:rsidRPr="00097548">
        <w:rPr>
          <w:lang w:val="en-GB"/>
        </w:rPr>
        <w:t xml:space="preserve">98% of hospital laboratories in England. </w:t>
      </w:r>
      <w:r w:rsidRPr="00097548">
        <w:rPr>
          <w:lang w:val="en-GB"/>
        </w:rPr>
        <w:t>It</w:t>
      </w:r>
      <w:r w:rsidR="0039359D" w:rsidRPr="00097548">
        <w:rPr>
          <w:lang w:val="en-GB"/>
        </w:rPr>
        <w:t xml:space="preserve"> includes</w:t>
      </w:r>
      <w:r w:rsidR="002954AD" w:rsidRPr="00097548">
        <w:rPr>
          <w:lang w:val="en-GB"/>
        </w:rPr>
        <w:t xml:space="preserve"> </w:t>
      </w:r>
      <w:r w:rsidRPr="00097548">
        <w:rPr>
          <w:lang w:val="en-GB"/>
        </w:rPr>
        <w:t>information</w:t>
      </w:r>
      <w:r w:rsidR="002232D7" w:rsidRPr="00097548">
        <w:rPr>
          <w:lang w:val="en-GB"/>
        </w:rPr>
        <w:t xml:space="preserve"> on</w:t>
      </w:r>
      <w:r w:rsidRPr="00097548">
        <w:rPr>
          <w:lang w:val="en-GB"/>
        </w:rPr>
        <w:t xml:space="preserve"> </w:t>
      </w:r>
      <w:r w:rsidR="00E4098F" w:rsidRPr="00097548">
        <w:rPr>
          <w:lang w:val="en-GB"/>
        </w:rPr>
        <w:t xml:space="preserve">the </w:t>
      </w:r>
      <w:r w:rsidR="002954AD" w:rsidRPr="00097548">
        <w:rPr>
          <w:lang w:val="en-GB"/>
        </w:rPr>
        <w:t>mechanism</w:t>
      </w:r>
      <w:r w:rsidR="00DB59C9" w:rsidRPr="00097548">
        <w:rPr>
          <w:lang w:val="en-GB"/>
        </w:rPr>
        <w:t xml:space="preserve"> of resistance </w:t>
      </w:r>
      <w:r w:rsidR="002954AD" w:rsidRPr="00097548">
        <w:rPr>
          <w:lang w:val="en-GB"/>
        </w:rPr>
        <w:t xml:space="preserve">and susceptibility </w:t>
      </w:r>
      <w:r w:rsidRPr="00097548">
        <w:rPr>
          <w:lang w:val="en-GB"/>
        </w:rPr>
        <w:t xml:space="preserve">to </w:t>
      </w:r>
      <w:r w:rsidR="002232D7" w:rsidRPr="00097548">
        <w:rPr>
          <w:lang w:val="en-GB"/>
        </w:rPr>
        <w:t xml:space="preserve">different </w:t>
      </w:r>
      <w:r w:rsidRPr="00097548">
        <w:rPr>
          <w:lang w:val="en-GB"/>
        </w:rPr>
        <w:t>antimicrobials</w:t>
      </w:r>
      <w:r w:rsidR="00E4098F" w:rsidRPr="00097548">
        <w:rPr>
          <w:lang w:val="en-GB"/>
        </w:rPr>
        <w:t xml:space="preserve"> for each isolate tested</w:t>
      </w:r>
      <w:r w:rsidR="00B93717" w:rsidRPr="00097548">
        <w:rPr>
          <w:lang w:val="en-GB"/>
        </w:rPr>
        <w:t xml:space="preserve"> and submitted</w:t>
      </w:r>
      <w:r w:rsidR="00650EEC" w:rsidRPr="00097548">
        <w:rPr>
          <w:lang w:val="en-GB"/>
        </w:rPr>
        <w:t>.</w:t>
      </w:r>
      <w:r w:rsidR="00B93717" w:rsidRPr="00097548">
        <w:rPr>
          <w:lang w:val="en-GB"/>
        </w:rPr>
        <w:t xml:space="preserve"> </w:t>
      </w:r>
      <w:r w:rsidR="00206E13" w:rsidRPr="00097548">
        <w:rPr>
          <w:lang w:val="en-GB"/>
        </w:rPr>
        <w:t>It does not include</w:t>
      </w:r>
      <w:r w:rsidR="006C63EF" w:rsidRPr="00097548">
        <w:rPr>
          <w:lang w:val="en-GB"/>
        </w:rPr>
        <w:t xml:space="preserve"> direct</w:t>
      </w:r>
      <w:r w:rsidR="00206E13" w:rsidRPr="00097548">
        <w:rPr>
          <w:lang w:val="en-GB"/>
        </w:rPr>
        <w:t xml:space="preserve"> information on the </w:t>
      </w:r>
      <w:r w:rsidR="00EF1A73" w:rsidRPr="00097548">
        <w:rPr>
          <w:lang w:val="en-GB"/>
        </w:rPr>
        <w:t xml:space="preserve">site of </w:t>
      </w:r>
      <w:r w:rsidR="00206E13" w:rsidRPr="00097548">
        <w:rPr>
          <w:lang w:val="en-GB"/>
        </w:rPr>
        <w:t>infection</w:t>
      </w:r>
      <w:r w:rsidR="00EF1A73" w:rsidRPr="00097548">
        <w:rPr>
          <w:lang w:val="en-GB"/>
        </w:rPr>
        <w:t xml:space="preserve">, which </w:t>
      </w:r>
      <w:r w:rsidR="00206E13" w:rsidRPr="00097548">
        <w:rPr>
          <w:lang w:val="en-GB"/>
        </w:rPr>
        <w:t>must</w:t>
      </w:r>
      <w:r w:rsidR="00B93717" w:rsidRPr="00097548">
        <w:rPr>
          <w:lang w:val="en-GB"/>
        </w:rPr>
        <w:t xml:space="preserve"> be inferred from the specimen type</w:t>
      </w:r>
      <w:r w:rsidR="00206E13" w:rsidRPr="00097548">
        <w:rPr>
          <w:lang w:val="en-GB"/>
        </w:rPr>
        <w:t xml:space="preserve"> submitted</w:t>
      </w:r>
      <w:r w:rsidR="00EF1A73" w:rsidRPr="00097548">
        <w:rPr>
          <w:lang w:val="en-GB"/>
        </w:rPr>
        <w:t xml:space="preserve"> and </w:t>
      </w:r>
      <w:r w:rsidR="00CD4AB3" w:rsidRPr="00097548">
        <w:rPr>
          <w:lang w:val="en-GB"/>
        </w:rPr>
        <w:t xml:space="preserve">so </w:t>
      </w:r>
      <w:r w:rsidR="00EF1A73" w:rsidRPr="00097548">
        <w:rPr>
          <w:lang w:val="en-GB"/>
        </w:rPr>
        <w:t>is uncertain</w:t>
      </w:r>
      <w:r w:rsidR="00061767" w:rsidRPr="00097548">
        <w:rPr>
          <w:lang w:val="en-GB"/>
        </w:rPr>
        <w:t>,</w:t>
      </w:r>
      <w:r w:rsidR="000D6E53" w:rsidRPr="00097548">
        <w:rPr>
          <w:lang w:val="en-GB"/>
        </w:rPr>
        <w:t xml:space="preserve"> as confirmed by t</w:t>
      </w:r>
      <w:r w:rsidR="002A1568" w:rsidRPr="00097548">
        <w:rPr>
          <w:lang w:val="en-GB"/>
        </w:rPr>
        <w:t xml:space="preserve">he clinical experts at the committee meeting. </w:t>
      </w:r>
      <w:r w:rsidR="000D6E53" w:rsidRPr="00097548">
        <w:rPr>
          <w:lang w:val="en-GB"/>
        </w:rPr>
        <w:t xml:space="preserve">The clinical experts </w:t>
      </w:r>
      <w:r w:rsidR="002A1568" w:rsidRPr="00097548">
        <w:rPr>
          <w:lang w:val="en-GB"/>
        </w:rPr>
        <w:t xml:space="preserve">explained that the UKHSA SGSS data represent isolates classified as susceptible to </w:t>
      </w:r>
      <w:proofErr w:type="spellStart"/>
      <w:r w:rsidR="002A1568" w:rsidRPr="00097548">
        <w:rPr>
          <w:lang w:val="en-GB"/>
        </w:rPr>
        <w:t>cefiderocol</w:t>
      </w:r>
      <w:proofErr w:type="spellEnd"/>
      <w:r w:rsidR="002A1568" w:rsidRPr="00097548">
        <w:rPr>
          <w:lang w:val="en-GB"/>
        </w:rPr>
        <w:t xml:space="preserve"> through laboratory testing, rather than infections treated by </w:t>
      </w:r>
      <w:proofErr w:type="spellStart"/>
      <w:r w:rsidR="002A1568" w:rsidRPr="00097548">
        <w:rPr>
          <w:lang w:val="en-GB"/>
        </w:rPr>
        <w:t>cefiderocol</w:t>
      </w:r>
      <w:proofErr w:type="spellEnd"/>
      <w:r w:rsidR="002A1568" w:rsidRPr="00097548">
        <w:rPr>
          <w:lang w:val="en-GB"/>
        </w:rPr>
        <w:t xml:space="preserve"> in practice. Therefore, the UKHSA SGSS data may overestimate the eligible population because it includes isolates that may not cause significant clinical illness needing antimicrobial</w:t>
      </w:r>
      <w:r w:rsidR="00071DD7">
        <w:rPr>
          <w:lang w:val="en-GB"/>
        </w:rPr>
        <w:t xml:space="preserve"> treatment</w:t>
      </w:r>
      <w:r w:rsidR="002A1568" w:rsidRPr="00097548">
        <w:rPr>
          <w:lang w:val="en-GB"/>
        </w:rPr>
        <w:t xml:space="preserve">. </w:t>
      </w:r>
      <w:r w:rsidR="00071DD7">
        <w:rPr>
          <w:lang w:val="en-GB"/>
        </w:rPr>
        <w:t>The committee also heard that</w:t>
      </w:r>
      <w:r w:rsidR="00071DD7" w:rsidRPr="005F2A72">
        <w:rPr>
          <w:lang w:val="en-GB"/>
        </w:rPr>
        <w:t xml:space="preserve"> </w:t>
      </w:r>
      <w:r w:rsidR="00071DD7">
        <w:rPr>
          <w:lang w:val="en-GB"/>
        </w:rPr>
        <w:t>t</w:t>
      </w:r>
      <w:r w:rsidR="00071DD7" w:rsidRPr="005F2A72">
        <w:rPr>
          <w:lang w:val="en-GB"/>
        </w:rPr>
        <w:t xml:space="preserve">he UKHSA SGSS data might underestimate the eligible population </w:t>
      </w:r>
      <w:r w:rsidR="002A1568" w:rsidRPr="00097548">
        <w:rPr>
          <w:lang w:val="en-GB"/>
        </w:rPr>
        <w:t xml:space="preserve">because not all hospitals have a microbiology laboratory, and the data submitted to the SGSS from </w:t>
      </w:r>
      <w:r w:rsidR="000D6E53" w:rsidRPr="00097548">
        <w:rPr>
          <w:lang w:val="en-GB"/>
        </w:rPr>
        <w:t xml:space="preserve">some </w:t>
      </w:r>
      <w:r w:rsidR="002A1568" w:rsidRPr="00097548">
        <w:rPr>
          <w:lang w:val="en-GB"/>
        </w:rPr>
        <w:t xml:space="preserve">hospitals may be incomplete. </w:t>
      </w:r>
      <w:bookmarkStart w:id="16" w:name="_Hlk96422472"/>
      <w:r w:rsidR="002D07B5" w:rsidRPr="00097548">
        <w:rPr>
          <w:lang w:val="en-GB"/>
        </w:rPr>
        <w:t xml:space="preserve">The clinical experts did not know whether </w:t>
      </w:r>
      <w:r w:rsidR="00061767" w:rsidRPr="00097548">
        <w:rPr>
          <w:lang w:val="en-GB"/>
        </w:rPr>
        <w:t xml:space="preserve">the overall effect of these factors </w:t>
      </w:r>
      <w:r w:rsidR="00061767" w:rsidRPr="00097548">
        <w:rPr>
          <w:lang w:val="en-GB"/>
        </w:rPr>
        <w:lastRenderedPageBreak/>
        <w:t>resulted in</w:t>
      </w:r>
      <w:r w:rsidR="007E7DC0" w:rsidRPr="00097548">
        <w:rPr>
          <w:lang w:val="en-GB"/>
        </w:rPr>
        <w:t xml:space="preserve"> EEPRU</w:t>
      </w:r>
      <w:r w:rsidR="00061767" w:rsidRPr="00097548">
        <w:rPr>
          <w:lang w:val="en-GB"/>
        </w:rPr>
        <w:t xml:space="preserve"> </w:t>
      </w:r>
      <w:r w:rsidR="007E7DC0" w:rsidRPr="00097548">
        <w:rPr>
          <w:lang w:val="en-GB"/>
        </w:rPr>
        <w:t xml:space="preserve">overestimating </w:t>
      </w:r>
      <w:r w:rsidR="002D07B5" w:rsidRPr="00097548">
        <w:rPr>
          <w:lang w:val="en-GB"/>
        </w:rPr>
        <w:t xml:space="preserve">or </w:t>
      </w:r>
      <w:r w:rsidR="007E7DC0" w:rsidRPr="00097548">
        <w:rPr>
          <w:lang w:val="en-GB"/>
        </w:rPr>
        <w:t xml:space="preserve">underestimating </w:t>
      </w:r>
      <w:r w:rsidR="00061767" w:rsidRPr="00097548">
        <w:rPr>
          <w:lang w:val="en-GB"/>
        </w:rPr>
        <w:t>the eligible population size</w:t>
      </w:r>
      <w:r w:rsidR="002D07B5" w:rsidRPr="00097548">
        <w:rPr>
          <w:lang w:val="en-GB"/>
        </w:rPr>
        <w:t xml:space="preserve">. </w:t>
      </w:r>
      <w:bookmarkEnd w:id="16"/>
      <w:r w:rsidR="002A1568" w:rsidRPr="00097548">
        <w:rPr>
          <w:lang w:val="en-GB"/>
        </w:rPr>
        <w:t xml:space="preserve">The committee also noted that </w:t>
      </w:r>
      <w:r w:rsidR="002D07B5" w:rsidRPr="00097548">
        <w:rPr>
          <w:lang w:val="en-GB"/>
        </w:rPr>
        <w:t xml:space="preserve">each isolate in the database was </w:t>
      </w:r>
      <w:r w:rsidR="00025B3F" w:rsidRPr="00097548">
        <w:rPr>
          <w:lang w:val="en-GB"/>
        </w:rPr>
        <w:t xml:space="preserve">tested for </w:t>
      </w:r>
      <w:r w:rsidR="002D07B5" w:rsidRPr="00097548">
        <w:rPr>
          <w:lang w:val="en-GB"/>
        </w:rPr>
        <w:t xml:space="preserve">several </w:t>
      </w:r>
      <w:r w:rsidR="00025B3F" w:rsidRPr="00097548">
        <w:rPr>
          <w:lang w:val="en-GB"/>
        </w:rPr>
        <w:t xml:space="preserve">MBL resistance mechanisms. EEPRU assumed that each </w:t>
      </w:r>
      <w:proofErr w:type="spellStart"/>
      <w:r w:rsidR="00025B3F" w:rsidRPr="003B3021">
        <w:rPr>
          <w:i/>
          <w:iCs w:val="0"/>
          <w:lang w:val="en-GB"/>
        </w:rPr>
        <w:t>Enter</w:t>
      </w:r>
      <w:r w:rsidR="002D07B5" w:rsidRPr="003B3021">
        <w:rPr>
          <w:i/>
          <w:iCs w:val="0"/>
          <w:lang w:val="en-GB"/>
        </w:rPr>
        <w:t>o</w:t>
      </w:r>
      <w:r w:rsidR="00025B3F" w:rsidRPr="003B3021">
        <w:rPr>
          <w:i/>
          <w:iCs w:val="0"/>
          <w:lang w:val="en-GB"/>
        </w:rPr>
        <w:t>bacterales</w:t>
      </w:r>
      <w:proofErr w:type="spellEnd"/>
      <w:r w:rsidR="00025B3F" w:rsidRPr="00097548">
        <w:rPr>
          <w:lang w:val="en-GB"/>
        </w:rPr>
        <w:t xml:space="preserve"> specimen was tested for 3 resistance mechanisms and each </w:t>
      </w:r>
      <w:r w:rsidR="00067F4E">
        <w:rPr>
          <w:i/>
          <w:iCs w:val="0"/>
          <w:lang w:val="en-GB"/>
        </w:rPr>
        <w:t>Pseudomonas aeruginosa</w:t>
      </w:r>
      <w:r w:rsidR="00025B3F" w:rsidRPr="00097548">
        <w:rPr>
          <w:lang w:val="en-GB"/>
        </w:rPr>
        <w:t xml:space="preserve"> specimen was tested for 4</w:t>
      </w:r>
      <w:r w:rsidR="002D07B5" w:rsidRPr="00097548">
        <w:rPr>
          <w:lang w:val="en-GB"/>
        </w:rPr>
        <w:t xml:space="preserve">, so divided the number of isolates by 3 and 4 to estimate the number of eligible </w:t>
      </w:r>
      <w:r w:rsidR="00CF59FB" w:rsidRPr="00097548">
        <w:rPr>
          <w:lang w:val="en-GB"/>
        </w:rPr>
        <w:t>people</w:t>
      </w:r>
      <w:r w:rsidR="00025B3F" w:rsidRPr="00097548">
        <w:rPr>
          <w:lang w:val="en-GB"/>
        </w:rPr>
        <w:t xml:space="preserve">. </w:t>
      </w:r>
      <w:r w:rsidR="002D07B5" w:rsidRPr="00097548">
        <w:rPr>
          <w:lang w:val="en-GB"/>
        </w:rPr>
        <w:t xml:space="preserve">The committee agreed that this introduced further uncertainty in </w:t>
      </w:r>
      <w:r w:rsidR="00415392">
        <w:rPr>
          <w:lang w:val="en-GB"/>
        </w:rPr>
        <w:t xml:space="preserve">the </w:t>
      </w:r>
      <w:r w:rsidR="00E168E7" w:rsidRPr="00097548">
        <w:rPr>
          <w:lang w:val="en-GB"/>
        </w:rPr>
        <w:t>estimates of the</w:t>
      </w:r>
      <w:r w:rsidR="00E168E7" w:rsidRPr="00097548" w:rsidDel="00E168E7">
        <w:rPr>
          <w:lang w:val="en-GB"/>
        </w:rPr>
        <w:t xml:space="preserve"> </w:t>
      </w:r>
      <w:r w:rsidR="002D07B5" w:rsidRPr="00097548">
        <w:rPr>
          <w:lang w:val="en-GB"/>
        </w:rPr>
        <w:t xml:space="preserve">population size. </w:t>
      </w:r>
      <w:r w:rsidR="00206E13" w:rsidRPr="00097548">
        <w:rPr>
          <w:lang w:val="en-GB"/>
        </w:rPr>
        <w:t xml:space="preserve">EEPRU explored 2 ways of </w:t>
      </w:r>
      <w:r w:rsidR="005544B2" w:rsidRPr="00097548">
        <w:rPr>
          <w:lang w:val="en-GB"/>
        </w:rPr>
        <w:t xml:space="preserve">establishing </w:t>
      </w:r>
      <w:r w:rsidR="00AC18F0" w:rsidRPr="00097548">
        <w:rPr>
          <w:lang w:val="en-GB"/>
        </w:rPr>
        <w:t xml:space="preserve">the </w:t>
      </w:r>
      <w:r w:rsidR="00206E13" w:rsidRPr="00097548">
        <w:rPr>
          <w:lang w:val="en-GB"/>
        </w:rPr>
        <w:t>infection site</w:t>
      </w:r>
      <w:r w:rsidR="00AC18F0" w:rsidRPr="00097548">
        <w:rPr>
          <w:lang w:val="en-GB"/>
        </w:rPr>
        <w:t xml:space="preserve"> from the SGSS data</w:t>
      </w:r>
      <w:r w:rsidR="00206E13" w:rsidRPr="00097548">
        <w:rPr>
          <w:lang w:val="en-GB"/>
        </w:rPr>
        <w:t xml:space="preserve">: </w:t>
      </w:r>
      <w:r w:rsidR="00EF1A73" w:rsidRPr="00097548">
        <w:rPr>
          <w:lang w:val="en-GB"/>
        </w:rPr>
        <w:t xml:space="preserve">based on </w:t>
      </w:r>
      <w:r w:rsidR="00DD71CC" w:rsidRPr="00097548">
        <w:rPr>
          <w:lang w:val="en-GB"/>
        </w:rPr>
        <w:t xml:space="preserve">the </w:t>
      </w:r>
      <w:r w:rsidR="0028744F" w:rsidRPr="00097548">
        <w:rPr>
          <w:lang w:val="en-GB"/>
        </w:rPr>
        <w:t>UKHSA</w:t>
      </w:r>
      <w:r w:rsidR="00EF1A73" w:rsidRPr="00097548">
        <w:rPr>
          <w:lang w:val="en-GB"/>
        </w:rPr>
        <w:t xml:space="preserve">’s </w:t>
      </w:r>
      <w:r w:rsidR="00AC18F0" w:rsidRPr="00097548">
        <w:rPr>
          <w:lang w:val="en-GB"/>
        </w:rPr>
        <w:t xml:space="preserve">classification </w:t>
      </w:r>
      <w:r w:rsidR="006C63EF" w:rsidRPr="00097548">
        <w:rPr>
          <w:lang w:val="en-GB"/>
        </w:rPr>
        <w:t>of the specimens</w:t>
      </w:r>
      <w:r w:rsidR="00AC18F0" w:rsidRPr="00097548">
        <w:rPr>
          <w:lang w:val="en-GB"/>
        </w:rPr>
        <w:t xml:space="preserve"> </w:t>
      </w:r>
      <w:r w:rsidR="00071DD7">
        <w:rPr>
          <w:lang w:val="en-GB"/>
        </w:rPr>
        <w:t xml:space="preserve">or </w:t>
      </w:r>
      <w:r w:rsidR="00EF1A73" w:rsidRPr="00097548">
        <w:rPr>
          <w:lang w:val="en-GB"/>
        </w:rPr>
        <w:t xml:space="preserve">based on </w:t>
      </w:r>
      <w:r w:rsidR="00AC18F0" w:rsidRPr="00097548">
        <w:rPr>
          <w:lang w:val="en-GB"/>
        </w:rPr>
        <w:t xml:space="preserve">classification by EEPRU’s </w:t>
      </w:r>
      <w:r w:rsidR="00EF1A73" w:rsidRPr="00097548">
        <w:rPr>
          <w:lang w:val="en-GB"/>
        </w:rPr>
        <w:t>clinical advis</w:t>
      </w:r>
      <w:r w:rsidR="00CE2168" w:rsidRPr="00097548">
        <w:rPr>
          <w:lang w:val="en-GB"/>
        </w:rPr>
        <w:t>e</w:t>
      </w:r>
      <w:r w:rsidR="00EF1A73" w:rsidRPr="00097548">
        <w:rPr>
          <w:lang w:val="en-GB"/>
        </w:rPr>
        <w:t>rs.</w:t>
      </w:r>
      <w:r w:rsidR="00AC18F0" w:rsidRPr="00097548">
        <w:rPr>
          <w:lang w:val="en-GB"/>
        </w:rPr>
        <w:t xml:space="preserve"> EEPRU’s clinical advis</w:t>
      </w:r>
      <w:r w:rsidR="00CE2168" w:rsidRPr="00097548">
        <w:rPr>
          <w:lang w:val="en-GB"/>
        </w:rPr>
        <w:t>e</w:t>
      </w:r>
      <w:r w:rsidR="00AC18F0" w:rsidRPr="00097548">
        <w:rPr>
          <w:lang w:val="en-GB"/>
        </w:rPr>
        <w:t xml:space="preserve">rs considered </w:t>
      </w:r>
      <w:r w:rsidR="00896D5C" w:rsidRPr="00097548">
        <w:rPr>
          <w:lang w:val="en-GB"/>
        </w:rPr>
        <w:t xml:space="preserve">that </w:t>
      </w:r>
      <w:r w:rsidR="00DD71CC" w:rsidRPr="00097548">
        <w:rPr>
          <w:lang w:val="en-GB"/>
        </w:rPr>
        <w:t xml:space="preserve">the </w:t>
      </w:r>
      <w:r w:rsidR="0028744F" w:rsidRPr="00097548">
        <w:rPr>
          <w:lang w:val="en-GB"/>
        </w:rPr>
        <w:t>UKHSA</w:t>
      </w:r>
      <w:r w:rsidR="00AC18F0" w:rsidRPr="00097548">
        <w:rPr>
          <w:lang w:val="en-GB"/>
        </w:rPr>
        <w:t xml:space="preserve">’s classification </w:t>
      </w:r>
      <w:r w:rsidR="005544B2" w:rsidRPr="00097548">
        <w:rPr>
          <w:lang w:val="en-GB"/>
        </w:rPr>
        <w:t xml:space="preserve">system </w:t>
      </w:r>
      <w:r w:rsidR="002D6328" w:rsidRPr="00097548">
        <w:rPr>
          <w:lang w:val="en-GB"/>
        </w:rPr>
        <w:t xml:space="preserve">would underestimate the number of people eligible for </w:t>
      </w:r>
      <w:proofErr w:type="spellStart"/>
      <w:r w:rsidR="001C1ED2" w:rsidRPr="00097548">
        <w:rPr>
          <w:lang w:val="en-GB"/>
        </w:rPr>
        <w:t>cefiderocol</w:t>
      </w:r>
      <w:proofErr w:type="spellEnd"/>
      <w:r w:rsidR="002D6328" w:rsidRPr="00097548">
        <w:rPr>
          <w:lang w:val="en-GB"/>
        </w:rPr>
        <w:t>,</w:t>
      </w:r>
      <w:r w:rsidR="00AC18F0" w:rsidRPr="00097548">
        <w:rPr>
          <w:lang w:val="en-GB"/>
        </w:rPr>
        <w:t xml:space="preserve"> because it excluded several </w:t>
      </w:r>
      <w:r w:rsidR="002D6328" w:rsidRPr="00097548">
        <w:rPr>
          <w:lang w:val="en-GB"/>
        </w:rPr>
        <w:t>specimen types.</w:t>
      </w:r>
      <w:r w:rsidR="00AC18F0" w:rsidRPr="00097548">
        <w:rPr>
          <w:lang w:val="en-GB"/>
        </w:rPr>
        <w:t xml:space="preserve"> </w:t>
      </w:r>
      <w:r w:rsidR="002D6328" w:rsidRPr="00097548">
        <w:rPr>
          <w:lang w:val="en-GB"/>
        </w:rPr>
        <w:t>F</w:t>
      </w:r>
      <w:r w:rsidR="00AC18F0" w:rsidRPr="00097548">
        <w:rPr>
          <w:lang w:val="en-GB"/>
        </w:rPr>
        <w:t>or example</w:t>
      </w:r>
      <w:r w:rsidR="002D6328" w:rsidRPr="00097548">
        <w:rPr>
          <w:lang w:val="en-GB"/>
        </w:rPr>
        <w:t xml:space="preserve">, </w:t>
      </w:r>
      <w:r w:rsidR="0028744F" w:rsidRPr="00097548">
        <w:rPr>
          <w:lang w:val="en-GB"/>
        </w:rPr>
        <w:t>the UKHSA</w:t>
      </w:r>
      <w:r w:rsidR="002D6328" w:rsidRPr="00097548">
        <w:rPr>
          <w:lang w:val="en-GB"/>
        </w:rPr>
        <w:t>’s</w:t>
      </w:r>
      <w:r w:rsidR="00AC18F0" w:rsidRPr="00097548">
        <w:rPr>
          <w:lang w:val="en-GB"/>
        </w:rPr>
        <w:t xml:space="preserve"> </w:t>
      </w:r>
      <w:r w:rsidR="002D6328" w:rsidRPr="00097548">
        <w:rPr>
          <w:lang w:val="en-GB"/>
        </w:rPr>
        <w:t xml:space="preserve">classification excluded </w:t>
      </w:r>
      <w:r w:rsidR="00896D5C" w:rsidRPr="00097548">
        <w:rPr>
          <w:lang w:val="en-GB"/>
        </w:rPr>
        <w:t xml:space="preserve">sputum samples </w:t>
      </w:r>
      <w:r w:rsidR="002D6328" w:rsidRPr="00097548">
        <w:rPr>
          <w:lang w:val="en-GB"/>
        </w:rPr>
        <w:t>from estimates of</w:t>
      </w:r>
      <w:r w:rsidR="00AC18F0" w:rsidRPr="00097548">
        <w:rPr>
          <w:lang w:val="en-GB"/>
        </w:rPr>
        <w:t xml:space="preserve"> </w:t>
      </w:r>
      <w:proofErr w:type="gramStart"/>
      <w:r w:rsidR="00AC18F0" w:rsidRPr="00097548">
        <w:rPr>
          <w:lang w:val="en-GB"/>
        </w:rPr>
        <w:t>pneumonia</w:t>
      </w:r>
      <w:r w:rsidR="00071DD7">
        <w:rPr>
          <w:lang w:val="en-GB"/>
        </w:rPr>
        <w:t>,</w:t>
      </w:r>
      <w:r w:rsidR="00AC18F0" w:rsidRPr="00097548">
        <w:rPr>
          <w:lang w:val="en-GB"/>
        </w:rPr>
        <w:t xml:space="preserve"> and</w:t>
      </w:r>
      <w:proofErr w:type="gramEnd"/>
      <w:r w:rsidR="00AC18F0" w:rsidRPr="00097548">
        <w:rPr>
          <w:lang w:val="en-GB"/>
        </w:rPr>
        <w:t xml:space="preserve"> </w:t>
      </w:r>
      <w:r w:rsidR="00896D5C" w:rsidRPr="00097548">
        <w:rPr>
          <w:lang w:val="en-GB"/>
        </w:rPr>
        <w:t xml:space="preserve">excluded </w:t>
      </w:r>
      <w:r w:rsidR="002D6328" w:rsidRPr="00097548">
        <w:rPr>
          <w:lang w:val="en-GB"/>
        </w:rPr>
        <w:t>urine</w:t>
      </w:r>
      <w:r w:rsidR="00644CEB" w:rsidRPr="00097548">
        <w:rPr>
          <w:lang w:val="en-GB"/>
        </w:rPr>
        <w:t xml:space="preserve"> specimens</w:t>
      </w:r>
      <w:r w:rsidR="002D6328" w:rsidRPr="00097548">
        <w:rPr>
          <w:lang w:val="en-GB"/>
        </w:rPr>
        <w:t xml:space="preserve"> </w:t>
      </w:r>
      <w:r w:rsidR="00AC18F0" w:rsidRPr="00097548">
        <w:rPr>
          <w:lang w:val="en-GB"/>
        </w:rPr>
        <w:t xml:space="preserve">from </w:t>
      </w:r>
      <w:r w:rsidR="00F91DAE" w:rsidRPr="00097548">
        <w:rPr>
          <w:lang w:val="en-GB"/>
        </w:rPr>
        <w:t>women</w:t>
      </w:r>
      <w:r w:rsidR="00AC18F0" w:rsidRPr="00097548">
        <w:rPr>
          <w:lang w:val="en-GB"/>
        </w:rPr>
        <w:t xml:space="preserve"> </w:t>
      </w:r>
      <w:r w:rsidR="00AB2896" w:rsidRPr="00097548">
        <w:rPr>
          <w:lang w:val="en-GB"/>
        </w:rPr>
        <w:t xml:space="preserve">from </w:t>
      </w:r>
      <w:r w:rsidR="002D6328" w:rsidRPr="00097548">
        <w:rPr>
          <w:lang w:val="en-GB"/>
        </w:rPr>
        <w:t>estimat</w:t>
      </w:r>
      <w:r w:rsidR="00AB2896" w:rsidRPr="00097548">
        <w:rPr>
          <w:lang w:val="en-GB"/>
        </w:rPr>
        <w:t>es</w:t>
      </w:r>
      <w:r w:rsidR="002D6328" w:rsidRPr="00097548">
        <w:rPr>
          <w:lang w:val="en-GB"/>
        </w:rPr>
        <w:t xml:space="preserve"> of </w:t>
      </w:r>
      <w:r w:rsidR="00AC18F0" w:rsidRPr="00097548">
        <w:rPr>
          <w:lang w:val="en-GB"/>
        </w:rPr>
        <w:t>complicated urinary tract infection</w:t>
      </w:r>
      <w:r w:rsidR="00AB2896" w:rsidRPr="00097548">
        <w:rPr>
          <w:lang w:val="en-GB"/>
        </w:rPr>
        <w:t>s</w:t>
      </w:r>
      <w:r w:rsidR="002D6328" w:rsidRPr="00097548">
        <w:rPr>
          <w:lang w:val="en-GB"/>
        </w:rPr>
        <w:t>.</w:t>
      </w:r>
      <w:r w:rsidR="00AB2896" w:rsidRPr="00097548">
        <w:rPr>
          <w:lang w:val="en-GB"/>
        </w:rPr>
        <w:t xml:space="preserve"> </w:t>
      </w:r>
      <w:r w:rsidR="00CB2AB9" w:rsidRPr="00097548">
        <w:rPr>
          <w:lang w:val="en-GB"/>
        </w:rPr>
        <w:t xml:space="preserve">The committee noted that EEPRU estimated an eligible population size of </w:t>
      </w:r>
      <w:r w:rsidR="001C1ED2" w:rsidRPr="00097548">
        <w:rPr>
          <w:lang w:val="en-GB"/>
        </w:rPr>
        <w:t>600</w:t>
      </w:r>
      <w:r w:rsidR="00CB2AB9" w:rsidRPr="00097548">
        <w:rPr>
          <w:lang w:val="en-GB"/>
        </w:rPr>
        <w:t xml:space="preserve"> people when using </w:t>
      </w:r>
      <w:r w:rsidR="0028744F" w:rsidRPr="00097548">
        <w:rPr>
          <w:lang w:val="en-GB"/>
        </w:rPr>
        <w:t>the UKHSA</w:t>
      </w:r>
      <w:r w:rsidR="00CB2AB9" w:rsidRPr="00097548">
        <w:rPr>
          <w:lang w:val="en-GB"/>
        </w:rPr>
        <w:t xml:space="preserve">’s classification, and </w:t>
      </w:r>
      <w:r w:rsidR="001C1ED2" w:rsidRPr="00097548">
        <w:rPr>
          <w:lang w:val="en-GB"/>
        </w:rPr>
        <w:t>1,300</w:t>
      </w:r>
      <w:r w:rsidR="00CB2AB9" w:rsidRPr="00097548">
        <w:rPr>
          <w:lang w:val="en-GB"/>
        </w:rPr>
        <w:t xml:space="preserve"> people when using the clinical advis</w:t>
      </w:r>
      <w:r w:rsidR="00CE2168" w:rsidRPr="00097548">
        <w:rPr>
          <w:lang w:val="en-GB"/>
        </w:rPr>
        <w:t>e</w:t>
      </w:r>
      <w:r w:rsidR="00CB2AB9" w:rsidRPr="00097548">
        <w:rPr>
          <w:lang w:val="en-GB"/>
        </w:rPr>
        <w:t>r</w:t>
      </w:r>
      <w:r w:rsidR="002B351A" w:rsidRPr="00097548">
        <w:rPr>
          <w:lang w:val="en-GB"/>
        </w:rPr>
        <w:t>s’</w:t>
      </w:r>
      <w:r w:rsidR="00CB2AB9" w:rsidRPr="00097548">
        <w:rPr>
          <w:lang w:val="en-GB"/>
        </w:rPr>
        <w:t xml:space="preserve"> classification. </w:t>
      </w:r>
      <w:r w:rsidR="0041751E" w:rsidRPr="00097548">
        <w:rPr>
          <w:lang w:val="en-GB"/>
        </w:rPr>
        <w:t xml:space="preserve">On balance, </w:t>
      </w:r>
      <w:r w:rsidR="00A127A7" w:rsidRPr="00097548">
        <w:rPr>
          <w:lang w:val="en-GB"/>
        </w:rPr>
        <w:t>while acknowledging uncertain</w:t>
      </w:r>
      <w:r w:rsidR="003B32D1" w:rsidRPr="00097548">
        <w:rPr>
          <w:lang w:val="en-GB"/>
        </w:rPr>
        <w:t>t</w:t>
      </w:r>
      <w:r w:rsidR="00A127A7" w:rsidRPr="00097548">
        <w:rPr>
          <w:lang w:val="en-GB"/>
        </w:rPr>
        <w:t xml:space="preserve">y, </w:t>
      </w:r>
      <w:r w:rsidR="0041751E" w:rsidRPr="00097548">
        <w:rPr>
          <w:lang w:val="en-GB"/>
        </w:rPr>
        <w:t xml:space="preserve">the committee concluded that it </w:t>
      </w:r>
      <w:r w:rsidR="00CB2AB9" w:rsidRPr="00097548">
        <w:rPr>
          <w:lang w:val="en-GB"/>
        </w:rPr>
        <w:t xml:space="preserve">preferred </w:t>
      </w:r>
      <w:r w:rsidR="00927CD1" w:rsidRPr="00097548">
        <w:rPr>
          <w:lang w:val="en-GB"/>
        </w:rPr>
        <w:t>the clinical advis</w:t>
      </w:r>
      <w:r w:rsidR="00CE2168" w:rsidRPr="00097548">
        <w:rPr>
          <w:lang w:val="en-GB"/>
        </w:rPr>
        <w:t>e</w:t>
      </w:r>
      <w:r w:rsidR="00927CD1" w:rsidRPr="00097548">
        <w:rPr>
          <w:lang w:val="en-GB"/>
        </w:rPr>
        <w:t xml:space="preserve">rs’ </w:t>
      </w:r>
      <w:r w:rsidR="00CB2AB9" w:rsidRPr="00097548">
        <w:rPr>
          <w:lang w:val="en-GB"/>
        </w:rPr>
        <w:t>infection site</w:t>
      </w:r>
      <w:r w:rsidR="00BC6854" w:rsidRPr="00097548">
        <w:rPr>
          <w:lang w:val="en-GB"/>
        </w:rPr>
        <w:t xml:space="preserve"> classification</w:t>
      </w:r>
      <w:r w:rsidR="0041751E" w:rsidRPr="00097548">
        <w:rPr>
          <w:lang w:val="en-GB"/>
        </w:rPr>
        <w:t>.</w:t>
      </w:r>
    </w:p>
    <w:p w14:paraId="45303BA8" w14:textId="69FC22F5" w:rsidR="00CF12EA" w:rsidRPr="00097548" w:rsidRDefault="00037353" w:rsidP="00C219F1">
      <w:pPr>
        <w:pStyle w:val="Heading3"/>
      </w:pPr>
      <w:r w:rsidRPr="00097548">
        <w:t>The number</w:t>
      </w:r>
      <w:r w:rsidR="008F0881" w:rsidRPr="00097548">
        <w:t xml:space="preserve"> of</w:t>
      </w:r>
      <w:r w:rsidR="00B65BB9" w:rsidRPr="00097548">
        <w:t xml:space="preserve"> people wit</w:t>
      </w:r>
      <w:r w:rsidR="00BC6151" w:rsidRPr="00097548">
        <w:t xml:space="preserve">h </w:t>
      </w:r>
      <w:r w:rsidR="006F32F1" w:rsidRPr="00097548">
        <w:t>infections</w:t>
      </w:r>
      <w:r w:rsidR="00BC6151" w:rsidRPr="00097548">
        <w:t xml:space="preserve"> with MBL resistance mechanisms</w:t>
      </w:r>
      <w:r w:rsidR="006F32F1" w:rsidRPr="00097548">
        <w:t xml:space="preserve"> </w:t>
      </w:r>
      <w:r w:rsidR="008F0881" w:rsidRPr="00097548">
        <w:t xml:space="preserve">is </w:t>
      </w:r>
      <w:r w:rsidR="00A36505" w:rsidRPr="00097548">
        <w:t xml:space="preserve">likely to </w:t>
      </w:r>
      <w:r w:rsidR="00374C9A" w:rsidRPr="00097548">
        <w:t xml:space="preserve">continue increasing </w:t>
      </w:r>
      <w:r w:rsidR="00E119CC" w:rsidRPr="00097548">
        <w:t>in the long term</w:t>
      </w:r>
    </w:p>
    <w:p w14:paraId="0B575055" w14:textId="63785D86" w:rsidR="000D1420" w:rsidRPr="00097548" w:rsidRDefault="003F64CD" w:rsidP="0028793D">
      <w:pPr>
        <w:pStyle w:val="Numberedlevel2text"/>
        <w:rPr>
          <w:lang w:val="en-GB"/>
        </w:rPr>
      </w:pPr>
      <w:r w:rsidRPr="00097548">
        <w:rPr>
          <w:lang w:val="en-GB"/>
        </w:rPr>
        <w:t>To</w:t>
      </w:r>
      <w:r w:rsidR="000D1420" w:rsidRPr="00097548">
        <w:rPr>
          <w:lang w:val="en-GB"/>
        </w:rPr>
        <w:t xml:space="preserve"> </w:t>
      </w:r>
      <w:r w:rsidR="00F72EF2" w:rsidRPr="00097548">
        <w:rPr>
          <w:lang w:val="en-GB"/>
        </w:rPr>
        <w:t xml:space="preserve">forecast </w:t>
      </w:r>
      <w:r w:rsidR="00F53D15" w:rsidRPr="00097548">
        <w:rPr>
          <w:lang w:val="en-GB"/>
        </w:rPr>
        <w:t xml:space="preserve">how the </w:t>
      </w:r>
      <w:r w:rsidR="000D1420" w:rsidRPr="00097548">
        <w:rPr>
          <w:lang w:val="en-GB"/>
        </w:rPr>
        <w:t xml:space="preserve">population </w:t>
      </w:r>
      <w:r w:rsidR="00E11F4F" w:rsidRPr="00097548">
        <w:rPr>
          <w:lang w:val="en-GB"/>
        </w:rPr>
        <w:t xml:space="preserve">eligible for </w:t>
      </w:r>
      <w:proofErr w:type="spellStart"/>
      <w:r w:rsidR="00BC6151" w:rsidRPr="00097548">
        <w:rPr>
          <w:lang w:val="en-GB"/>
        </w:rPr>
        <w:t>cefiderocol</w:t>
      </w:r>
      <w:proofErr w:type="spellEnd"/>
      <w:r w:rsidR="0051044F" w:rsidRPr="00097548">
        <w:rPr>
          <w:lang w:val="en-GB"/>
        </w:rPr>
        <w:t xml:space="preserve"> </w:t>
      </w:r>
      <w:r w:rsidR="00F53D15" w:rsidRPr="00097548">
        <w:rPr>
          <w:lang w:val="en-GB"/>
        </w:rPr>
        <w:t xml:space="preserve">might change </w:t>
      </w:r>
      <w:r w:rsidR="000D1420" w:rsidRPr="00097548">
        <w:rPr>
          <w:lang w:val="en-GB"/>
        </w:rPr>
        <w:t xml:space="preserve">over the 20-year </w:t>
      </w:r>
      <w:r w:rsidR="00F53D15" w:rsidRPr="00097548">
        <w:rPr>
          <w:lang w:val="en-GB"/>
        </w:rPr>
        <w:t xml:space="preserve">modelled </w:t>
      </w:r>
      <w:r w:rsidR="000D1420" w:rsidRPr="00097548">
        <w:rPr>
          <w:lang w:val="en-GB"/>
        </w:rPr>
        <w:t xml:space="preserve">time horizon, EEPRU used historical </w:t>
      </w:r>
      <w:r w:rsidR="00E168E7" w:rsidRPr="00097548">
        <w:rPr>
          <w:lang w:val="en-GB"/>
        </w:rPr>
        <w:t xml:space="preserve">data on </w:t>
      </w:r>
      <w:r w:rsidR="000D1420" w:rsidRPr="00097548">
        <w:rPr>
          <w:lang w:val="en-GB"/>
        </w:rPr>
        <w:t xml:space="preserve">population size </w:t>
      </w:r>
      <w:r w:rsidR="00357850" w:rsidRPr="00097548">
        <w:rPr>
          <w:lang w:val="en-GB"/>
        </w:rPr>
        <w:t xml:space="preserve">for </w:t>
      </w:r>
      <w:r w:rsidR="00D262F5" w:rsidRPr="00097548">
        <w:rPr>
          <w:lang w:val="en-GB"/>
        </w:rPr>
        <w:t xml:space="preserve">people infected with </w:t>
      </w:r>
      <w:proofErr w:type="spellStart"/>
      <w:r w:rsidR="00357850" w:rsidRPr="003B3021">
        <w:rPr>
          <w:i/>
          <w:iCs w:val="0"/>
          <w:lang w:val="en-GB"/>
        </w:rPr>
        <w:t>Enterobacterales</w:t>
      </w:r>
      <w:proofErr w:type="spellEnd"/>
      <w:r w:rsidR="00357850" w:rsidRPr="00097548">
        <w:rPr>
          <w:lang w:val="en-GB"/>
        </w:rPr>
        <w:t xml:space="preserve"> and </w:t>
      </w:r>
      <w:r w:rsidR="00067F4E">
        <w:rPr>
          <w:i/>
          <w:iCs w:val="0"/>
          <w:lang w:val="en-GB"/>
        </w:rPr>
        <w:t>Pseudomonas aeruginosa</w:t>
      </w:r>
      <w:r w:rsidR="00357850" w:rsidRPr="00097548">
        <w:rPr>
          <w:lang w:val="en-GB"/>
        </w:rPr>
        <w:t xml:space="preserve"> with MBL resistance mechanisms </w:t>
      </w:r>
      <w:r w:rsidR="0015751B" w:rsidRPr="00097548">
        <w:rPr>
          <w:lang w:val="en-GB"/>
        </w:rPr>
        <w:t xml:space="preserve">provided by </w:t>
      </w:r>
      <w:r w:rsidR="000D1420" w:rsidRPr="00097548">
        <w:rPr>
          <w:lang w:val="en-GB"/>
        </w:rPr>
        <w:t xml:space="preserve">the </w:t>
      </w:r>
      <w:r w:rsidR="00F72EF2" w:rsidRPr="00097548">
        <w:rPr>
          <w:lang w:val="en-GB"/>
        </w:rPr>
        <w:t>A</w:t>
      </w:r>
      <w:r w:rsidR="000D1420" w:rsidRPr="00097548">
        <w:rPr>
          <w:lang w:val="en-GB"/>
        </w:rPr>
        <w:t xml:space="preserve">ntimicrobial </w:t>
      </w:r>
      <w:r w:rsidR="00F72EF2" w:rsidRPr="00097548">
        <w:rPr>
          <w:lang w:val="en-GB"/>
        </w:rPr>
        <w:t>R</w:t>
      </w:r>
      <w:r w:rsidR="000D1420" w:rsidRPr="00097548">
        <w:rPr>
          <w:lang w:val="en-GB"/>
        </w:rPr>
        <w:t xml:space="preserve">esistance and </w:t>
      </w:r>
      <w:r w:rsidR="00F72EF2" w:rsidRPr="00097548">
        <w:rPr>
          <w:lang w:val="en-GB"/>
        </w:rPr>
        <w:t>H</w:t>
      </w:r>
      <w:r w:rsidR="000D1420" w:rsidRPr="00097548">
        <w:rPr>
          <w:lang w:val="en-GB"/>
        </w:rPr>
        <w:t xml:space="preserve">ealthcare </w:t>
      </w:r>
      <w:r w:rsidR="00F72EF2" w:rsidRPr="00097548">
        <w:rPr>
          <w:lang w:val="en-GB"/>
        </w:rPr>
        <w:t>A</w:t>
      </w:r>
      <w:r w:rsidR="000D1420" w:rsidRPr="00097548">
        <w:rPr>
          <w:lang w:val="en-GB"/>
        </w:rPr>
        <w:t xml:space="preserve">ssociated </w:t>
      </w:r>
      <w:r w:rsidR="00F72EF2" w:rsidRPr="00097548">
        <w:rPr>
          <w:lang w:val="en-GB"/>
        </w:rPr>
        <w:t>I</w:t>
      </w:r>
      <w:r w:rsidR="000D1420" w:rsidRPr="00097548">
        <w:rPr>
          <w:lang w:val="en-GB"/>
        </w:rPr>
        <w:t xml:space="preserve">nfections national reference laboratory. </w:t>
      </w:r>
      <w:r w:rsidR="00FF75D8" w:rsidRPr="00097548">
        <w:rPr>
          <w:lang w:val="en-GB"/>
        </w:rPr>
        <w:t>EEPRU</w:t>
      </w:r>
      <w:r w:rsidR="00E168E7" w:rsidRPr="00097548">
        <w:rPr>
          <w:lang w:val="en-GB"/>
        </w:rPr>
        <w:t xml:space="preserve"> received no data</w:t>
      </w:r>
      <w:r w:rsidR="00FF75D8" w:rsidRPr="00097548">
        <w:rPr>
          <w:lang w:val="en-GB"/>
        </w:rPr>
        <w:t xml:space="preserve"> for</w:t>
      </w:r>
      <w:r w:rsidR="00357850" w:rsidRPr="00097548">
        <w:rPr>
          <w:lang w:val="en-GB"/>
        </w:rPr>
        <w:t xml:space="preserve"> </w:t>
      </w:r>
      <w:r w:rsidR="00067F4E">
        <w:rPr>
          <w:i/>
          <w:iCs w:val="0"/>
          <w:lang w:val="en-GB"/>
        </w:rPr>
        <w:t xml:space="preserve">Stenotrophomonas </w:t>
      </w:r>
      <w:proofErr w:type="spellStart"/>
      <w:r w:rsidR="00067F4E">
        <w:rPr>
          <w:i/>
          <w:iCs w:val="0"/>
          <w:lang w:val="en-GB"/>
        </w:rPr>
        <w:t>maltophilia</w:t>
      </w:r>
      <w:proofErr w:type="spellEnd"/>
      <w:r w:rsidR="00357850" w:rsidRPr="00097548">
        <w:rPr>
          <w:lang w:val="en-GB"/>
        </w:rPr>
        <w:t xml:space="preserve">. </w:t>
      </w:r>
      <w:r w:rsidR="00963538" w:rsidRPr="00097548">
        <w:rPr>
          <w:lang w:val="en-GB"/>
        </w:rPr>
        <w:t xml:space="preserve">EEPRU excluded data </w:t>
      </w:r>
      <w:r w:rsidR="00E06AF4" w:rsidRPr="00097548">
        <w:rPr>
          <w:lang w:val="en-GB"/>
        </w:rPr>
        <w:t xml:space="preserve">from </w:t>
      </w:r>
      <w:r w:rsidR="00963538" w:rsidRPr="00097548">
        <w:rPr>
          <w:lang w:val="en-GB"/>
        </w:rPr>
        <w:t xml:space="preserve">before October 2012 because of small patient </w:t>
      </w:r>
      <w:proofErr w:type="gramStart"/>
      <w:r w:rsidR="00963538" w:rsidRPr="00097548">
        <w:rPr>
          <w:lang w:val="en-GB"/>
        </w:rPr>
        <w:t>numbers</w:t>
      </w:r>
      <w:r w:rsidR="00E06AF4" w:rsidRPr="00097548">
        <w:rPr>
          <w:lang w:val="en-GB"/>
        </w:rPr>
        <w:t>,</w:t>
      </w:r>
      <w:r w:rsidR="00963538" w:rsidRPr="00097548">
        <w:rPr>
          <w:lang w:val="en-GB"/>
        </w:rPr>
        <w:t xml:space="preserve"> and</w:t>
      </w:r>
      <w:proofErr w:type="gramEnd"/>
      <w:r w:rsidR="00963538" w:rsidRPr="00097548">
        <w:rPr>
          <w:lang w:val="en-GB"/>
        </w:rPr>
        <w:t xml:space="preserve"> excluded data after Mar</w:t>
      </w:r>
      <w:r w:rsidR="007D485F" w:rsidRPr="00097548">
        <w:rPr>
          <w:lang w:val="en-GB"/>
        </w:rPr>
        <w:t>ch</w:t>
      </w:r>
      <w:r w:rsidR="00963538" w:rsidRPr="00097548">
        <w:rPr>
          <w:lang w:val="en-GB"/>
        </w:rPr>
        <w:t xml:space="preserve"> 2018 </w:t>
      </w:r>
      <w:r w:rsidR="00F72EF2" w:rsidRPr="00097548">
        <w:rPr>
          <w:lang w:val="en-GB"/>
        </w:rPr>
        <w:t xml:space="preserve">because of </w:t>
      </w:r>
      <w:r w:rsidR="00963538" w:rsidRPr="00097548">
        <w:rPr>
          <w:lang w:val="en-GB"/>
        </w:rPr>
        <w:t xml:space="preserve">an </w:t>
      </w:r>
      <w:r w:rsidR="00F07D21" w:rsidRPr="00097548">
        <w:rPr>
          <w:lang w:val="en-GB"/>
        </w:rPr>
        <w:t>anomalous</w:t>
      </w:r>
      <w:r w:rsidR="00963538" w:rsidRPr="00097548">
        <w:rPr>
          <w:lang w:val="en-GB"/>
        </w:rPr>
        <w:t xml:space="preserve"> decrease in reporting caused by </w:t>
      </w:r>
      <w:r w:rsidR="00F72EF2" w:rsidRPr="00097548">
        <w:rPr>
          <w:lang w:val="en-GB"/>
        </w:rPr>
        <w:lastRenderedPageBreak/>
        <w:t xml:space="preserve">changes in </w:t>
      </w:r>
      <w:r w:rsidR="00963538" w:rsidRPr="00097548">
        <w:rPr>
          <w:lang w:val="en-GB"/>
        </w:rPr>
        <w:t>guideline</w:t>
      </w:r>
      <w:r w:rsidR="00F72EF2" w:rsidRPr="00097548">
        <w:rPr>
          <w:lang w:val="en-GB"/>
        </w:rPr>
        <w:t>s</w:t>
      </w:r>
      <w:r w:rsidR="00963538" w:rsidRPr="00097548">
        <w:rPr>
          <w:lang w:val="en-GB"/>
        </w:rPr>
        <w:t>.</w:t>
      </w:r>
      <w:r w:rsidR="007775B5" w:rsidRPr="00097548">
        <w:rPr>
          <w:lang w:val="en-GB"/>
        </w:rPr>
        <w:t xml:space="preserve"> </w:t>
      </w:r>
      <w:r w:rsidR="00357850" w:rsidRPr="00097548">
        <w:rPr>
          <w:lang w:val="en-GB"/>
        </w:rPr>
        <w:t xml:space="preserve">Based on visual comparisons and statistical goodness-of-fit measures, </w:t>
      </w:r>
      <w:r w:rsidR="007775B5" w:rsidRPr="00097548">
        <w:rPr>
          <w:lang w:val="en-GB"/>
        </w:rPr>
        <w:t>EEPRU</w:t>
      </w:r>
      <w:r w:rsidR="00357850" w:rsidRPr="00097548">
        <w:rPr>
          <w:lang w:val="en-GB"/>
        </w:rPr>
        <w:t xml:space="preserve"> selected different approaches to modelling future population sizes for </w:t>
      </w:r>
      <w:r w:rsidR="00D262F5" w:rsidRPr="00097548">
        <w:rPr>
          <w:lang w:val="en-GB"/>
        </w:rPr>
        <w:t xml:space="preserve">people infected with </w:t>
      </w:r>
      <w:r w:rsidR="00357850" w:rsidRPr="00097548">
        <w:rPr>
          <w:lang w:val="en-GB"/>
        </w:rPr>
        <w:t xml:space="preserve">each pathogen. For </w:t>
      </w:r>
      <w:proofErr w:type="spellStart"/>
      <w:r w:rsidR="00357850" w:rsidRPr="003B3021">
        <w:rPr>
          <w:i/>
          <w:iCs w:val="0"/>
          <w:lang w:val="en-GB"/>
        </w:rPr>
        <w:t>Enterobacterales</w:t>
      </w:r>
      <w:proofErr w:type="spellEnd"/>
      <w:r w:rsidR="00357850" w:rsidRPr="00097548">
        <w:rPr>
          <w:lang w:val="en-GB"/>
        </w:rPr>
        <w:t>, it</w:t>
      </w:r>
      <w:r w:rsidR="007775B5" w:rsidRPr="00097548">
        <w:rPr>
          <w:lang w:val="en-GB"/>
        </w:rPr>
        <w:t xml:space="preserve"> </w:t>
      </w:r>
      <w:r w:rsidR="00963538" w:rsidRPr="00097548">
        <w:rPr>
          <w:lang w:val="en-GB"/>
        </w:rPr>
        <w:t>applied 2 alternative</w:t>
      </w:r>
      <w:r w:rsidR="007775B5" w:rsidRPr="00097548">
        <w:rPr>
          <w:lang w:val="en-GB"/>
        </w:rPr>
        <w:t xml:space="preserve"> </w:t>
      </w:r>
      <w:r w:rsidR="00F72EF2" w:rsidRPr="00097548">
        <w:rPr>
          <w:lang w:val="en-GB"/>
        </w:rPr>
        <w:t xml:space="preserve">methods to </w:t>
      </w:r>
      <w:r w:rsidR="007775B5" w:rsidRPr="00097548">
        <w:rPr>
          <w:lang w:val="en-GB"/>
        </w:rPr>
        <w:t xml:space="preserve">forecast </w:t>
      </w:r>
      <w:r w:rsidR="00ED38FB" w:rsidRPr="00097548">
        <w:rPr>
          <w:lang w:val="en-GB"/>
        </w:rPr>
        <w:t xml:space="preserve">growth in the </w:t>
      </w:r>
      <w:r w:rsidR="007775B5" w:rsidRPr="00097548">
        <w:rPr>
          <w:lang w:val="en-GB"/>
        </w:rPr>
        <w:t>patient population</w:t>
      </w:r>
      <w:r w:rsidR="00AD5511" w:rsidRPr="00097548">
        <w:rPr>
          <w:lang w:val="en-GB"/>
        </w:rPr>
        <w:t>:</w:t>
      </w:r>
      <w:r w:rsidR="007775B5" w:rsidRPr="00097548">
        <w:rPr>
          <w:lang w:val="en-GB"/>
        </w:rPr>
        <w:t xml:space="preserve"> </w:t>
      </w:r>
      <w:r w:rsidR="00E06AF4" w:rsidRPr="00097548">
        <w:rPr>
          <w:lang w:val="en-GB"/>
        </w:rPr>
        <w:t xml:space="preserve">a </w:t>
      </w:r>
      <w:r w:rsidR="006A1745" w:rsidRPr="00097548">
        <w:rPr>
          <w:lang w:val="en-GB"/>
        </w:rPr>
        <w:t>‘</w:t>
      </w:r>
      <w:r w:rsidR="007775B5" w:rsidRPr="00097548">
        <w:rPr>
          <w:lang w:val="en-GB"/>
        </w:rPr>
        <w:t xml:space="preserve">persistent </w:t>
      </w:r>
      <w:r w:rsidR="00AD5511" w:rsidRPr="00097548">
        <w:rPr>
          <w:lang w:val="en-GB"/>
        </w:rPr>
        <w:t>growth</w:t>
      </w:r>
      <w:r w:rsidR="00244981" w:rsidRPr="00097548">
        <w:rPr>
          <w:lang w:val="en-GB"/>
        </w:rPr>
        <w:t>’</w:t>
      </w:r>
      <w:r w:rsidR="00AD5511" w:rsidRPr="00097548">
        <w:rPr>
          <w:lang w:val="en-GB"/>
        </w:rPr>
        <w:t xml:space="preserve"> </w:t>
      </w:r>
      <w:r w:rsidR="007775B5" w:rsidRPr="00097548">
        <w:rPr>
          <w:lang w:val="en-GB"/>
        </w:rPr>
        <w:t>model</w:t>
      </w:r>
      <w:r w:rsidR="008F0881" w:rsidRPr="00097548">
        <w:rPr>
          <w:lang w:val="en-GB"/>
        </w:rPr>
        <w:t xml:space="preserve"> </w:t>
      </w:r>
      <w:r w:rsidR="00E06AF4" w:rsidRPr="00097548">
        <w:rPr>
          <w:lang w:val="en-GB"/>
        </w:rPr>
        <w:t xml:space="preserve">in which </w:t>
      </w:r>
      <w:r w:rsidR="008F0881" w:rsidRPr="00097548">
        <w:rPr>
          <w:lang w:val="en-GB"/>
        </w:rPr>
        <w:t xml:space="preserve">the growth </w:t>
      </w:r>
      <w:r w:rsidR="00B75F61" w:rsidRPr="00097548">
        <w:rPr>
          <w:lang w:val="en-GB"/>
        </w:rPr>
        <w:t>persist</w:t>
      </w:r>
      <w:r w:rsidR="00182E46" w:rsidRPr="00097548">
        <w:rPr>
          <w:lang w:val="en-GB"/>
        </w:rPr>
        <w:t>s</w:t>
      </w:r>
      <w:r w:rsidR="00B75F61" w:rsidRPr="00097548">
        <w:rPr>
          <w:lang w:val="en-GB"/>
        </w:rPr>
        <w:t xml:space="preserve"> </w:t>
      </w:r>
      <w:r w:rsidR="008F0881" w:rsidRPr="00097548">
        <w:rPr>
          <w:lang w:val="en-GB"/>
        </w:rPr>
        <w:t>over time,</w:t>
      </w:r>
      <w:r w:rsidR="007775B5" w:rsidRPr="00097548">
        <w:rPr>
          <w:lang w:val="en-GB"/>
        </w:rPr>
        <w:t xml:space="preserve"> and a ‘damped</w:t>
      </w:r>
      <w:r w:rsidR="00AD5511" w:rsidRPr="00097548">
        <w:rPr>
          <w:lang w:val="en-GB"/>
        </w:rPr>
        <w:t xml:space="preserve"> trend</w:t>
      </w:r>
      <w:r w:rsidR="007775B5" w:rsidRPr="00097548">
        <w:rPr>
          <w:lang w:val="en-GB"/>
        </w:rPr>
        <w:t xml:space="preserve">’ model </w:t>
      </w:r>
      <w:r w:rsidR="00E06AF4" w:rsidRPr="00097548">
        <w:rPr>
          <w:lang w:val="en-GB"/>
        </w:rPr>
        <w:t xml:space="preserve">in which </w:t>
      </w:r>
      <w:r w:rsidR="007775B5" w:rsidRPr="00097548">
        <w:rPr>
          <w:lang w:val="en-GB"/>
        </w:rPr>
        <w:t xml:space="preserve">the </w:t>
      </w:r>
      <w:r w:rsidR="00B75F61" w:rsidRPr="00097548">
        <w:rPr>
          <w:lang w:val="en-GB"/>
        </w:rPr>
        <w:t>population gr</w:t>
      </w:r>
      <w:r w:rsidR="006A1745" w:rsidRPr="00097548">
        <w:rPr>
          <w:lang w:val="en-GB"/>
        </w:rPr>
        <w:t>o</w:t>
      </w:r>
      <w:r w:rsidR="00B75F61" w:rsidRPr="00097548">
        <w:rPr>
          <w:lang w:val="en-GB"/>
        </w:rPr>
        <w:t>w</w:t>
      </w:r>
      <w:r w:rsidR="006A1745" w:rsidRPr="00097548">
        <w:rPr>
          <w:lang w:val="en-GB"/>
        </w:rPr>
        <w:t>s</w:t>
      </w:r>
      <w:r w:rsidR="00B75F61" w:rsidRPr="00097548">
        <w:rPr>
          <w:lang w:val="en-GB"/>
        </w:rPr>
        <w:t xml:space="preserve"> in the short </w:t>
      </w:r>
      <w:proofErr w:type="gramStart"/>
      <w:r w:rsidR="00B75F61" w:rsidRPr="00097548">
        <w:rPr>
          <w:lang w:val="en-GB"/>
        </w:rPr>
        <w:t>term</w:t>
      </w:r>
      <w:r w:rsidR="00F714AA" w:rsidRPr="00097548">
        <w:rPr>
          <w:lang w:val="en-GB"/>
        </w:rPr>
        <w:t>,</w:t>
      </w:r>
      <w:r w:rsidR="00B75F61" w:rsidRPr="00097548">
        <w:rPr>
          <w:lang w:val="en-GB"/>
        </w:rPr>
        <w:t xml:space="preserve"> and</w:t>
      </w:r>
      <w:proofErr w:type="gramEnd"/>
      <w:r w:rsidR="00B75F61" w:rsidRPr="00097548">
        <w:rPr>
          <w:lang w:val="en-GB"/>
        </w:rPr>
        <w:t xml:space="preserve"> stabilise</w:t>
      </w:r>
      <w:r w:rsidR="006A1745" w:rsidRPr="00097548">
        <w:rPr>
          <w:lang w:val="en-GB"/>
        </w:rPr>
        <w:t>s</w:t>
      </w:r>
      <w:r w:rsidR="00B75F61" w:rsidRPr="00097548">
        <w:rPr>
          <w:lang w:val="en-GB"/>
        </w:rPr>
        <w:t xml:space="preserve"> in the long term</w:t>
      </w:r>
      <w:r w:rsidR="007775B5" w:rsidRPr="00097548">
        <w:rPr>
          <w:lang w:val="en-GB"/>
        </w:rPr>
        <w:t xml:space="preserve">. </w:t>
      </w:r>
      <w:r w:rsidR="00B75F61" w:rsidRPr="00097548">
        <w:rPr>
          <w:lang w:val="en-GB"/>
        </w:rPr>
        <w:t xml:space="preserve">The </w:t>
      </w:r>
      <w:r w:rsidR="00F714AA" w:rsidRPr="00097548">
        <w:rPr>
          <w:lang w:val="en-GB"/>
        </w:rPr>
        <w:t>committee appreciate</w:t>
      </w:r>
      <w:r w:rsidR="00920878" w:rsidRPr="00097548">
        <w:rPr>
          <w:lang w:val="en-GB"/>
        </w:rPr>
        <w:t>d</w:t>
      </w:r>
      <w:r w:rsidR="00F714AA" w:rsidRPr="00097548">
        <w:rPr>
          <w:lang w:val="en-GB"/>
        </w:rPr>
        <w:t xml:space="preserve"> that the </w:t>
      </w:r>
      <w:r w:rsidR="00B75F61" w:rsidRPr="00097548">
        <w:rPr>
          <w:lang w:val="en-GB"/>
        </w:rPr>
        <w:t xml:space="preserve">choice of model had a significant effect on the long-term estimates. </w:t>
      </w:r>
      <w:r w:rsidR="007775B5" w:rsidRPr="00097548">
        <w:rPr>
          <w:lang w:val="en-GB"/>
        </w:rPr>
        <w:t xml:space="preserve">EEPRU </w:t>
      </w:r>
      <w:r w:rsidR="008F0881" w:rsidRPr="00097548">
        <w:rPr>
          <w:lang w:val="en-GB"/>
        </w:rPr>
        <w:t>provided</w:t>
      </w:r>
      <w:r w:rsidR="007775B5" w:rsidRPr="00097548">
        <w:rPr>
          <w:lang w:val="en-GB"/>
        </w:rPr>
        <w:t xml:space="preserve"> base-case</w:t>
      </w:r>
      <w:r w:rsidR="00AF3335" w:rsidRPr="00097548">
        <w:rPr>
          <w:lang w:val="en-GB"/>
        </w:rPr>
        <w:t xml:space="preserve"> economic analys</w:t>
      </w:r>
      <w:r w:rsidR="008F0881" w:rsidRPr="00097548">
        <w:rPr>
          <w:lang w:val="en-GB"/>
        </w:rPr>
        <w:t>e</w:t>
      </w:r>
      <w:r w:rsidR="00AF3335" w:rsidRPr="00097548">
        <w:rPr>
          <w:lang w:val="en-GB"/>
        </w:rPr>
        <w:t>s</w:t>
      </w:r>
      <w:r w:rsidR="008F0881" w:rsidRPr="00097548">
        <w:rPr>
          <w:lang w:val="en-GB"/>
        </w:rPr>
        <w:t xml:space="preserve"> including both approaches</w:t>
      </w:r>
      <w:r w:rsidR="00085725" w:rsidRPr="00097548">
        <w:rPr>
          <w:lang w:val="en-GB"/>
        </w:rPr>
        <w:t xml:space="preserve">. </w:t>
      </w:r>
      <w:r w:rsidR="00535693" w:rsidRPr="00097548">
        <w:rPr>
          <w:lang w:val="en-GB"/>
        </w:rPr>
        <w:t xml:space="preserve">For </w:t>
      </w:r>
      <w:r w:rsidR="00067F4E">
        <w:rPr>
          <w:i/>
          <w:iCs w:val="0"/>
          <w:lang w:val="en-GB"/>
        </w:rPr>
        <w:t>Pseudomonas aeruginosa</w:t>
      </w:r>
      <w:r w:rsidR="00535693" w:rsidRPr="00097548">
        <w:rPr>
          <w:lang w:val="en-GB"/>
        </w:rPr>
        <w:t>, EEPRU found no evidence of population</w:t>
      </w:r>
      <w:r w:rsidR="00182E30" w:rsidRPr="00097548">
        <w:rPr>
          <w:lang w:val="en-GB"/>
        </w:rPr>
        <w:t xml:space="preserve"> growth</w:t>
      </w:r>
      <w:r w:rsidR="00535693" w:rsidRPr="00097548">
        <w:rPr>
          <w:lang w:val="en-GB"/>
        </w:rPr>
        <w:t xml:space="preserve"> in the historical data and </w:t>
      </w:r>
      <w:r w:rsidR="00616691" w:rsidRPr="00097548">
        <w:rPr>
          <w:lang w:val="en-GB"/>
        </w:rPr>
        <w:t xml:space="preserve">so </w:t>
      </w:r>
      <w:r w:rsidR="00DC2613" w:rsidRPr="00097548">
        <w:rPr>
          <w:lang w:val="en-GB"/>
        </w:rPr>
        <w:t xml:space="preserve">assumed </w:t>
      </w:r>
      <w:r w:rsidR="00616691" w:rsidRPr="00097548">
        <w:rPr>
          <w:lang w:val="en-GB"/>
        </w:rPr>
        <w:t xml:space="preserve">that </w:t>
      </w:r>
      <w:r w:rsidR="00DC2613" w:rsidRPr="00097548">
        <w:rPr>
          <w:lang w:val="en-GB"/>
        </w:rPr>
        <w:t xml:space="preserve">the </w:t>
      </w:r>
      <w:r w:rsidR="00B75F61" w:rsidRPr="00097548">
        <w:rPr>
          <w:lang w:val="en-GB"/>
        </w:rPr>
        <w:t>number of people with</w:t>
      </w:r>
      <w:r w:rsidR="00E32846" w:rsidRPr="00097548">
        <w:rPr>
          <w:lang w:val="en-GB"/>
        </w:rPr>
        <w:t xml:space="preserve"> dr</w:t>
      </w:r>
      <w:r w:rsidR="006A1745" w:rsidRPr="00097548">
        <w:rPr>
          <w:lang w:val="en-GB"/>
        </w:rPr>
        <w:t>u</w:t>
      </w:r>
      <w:r w:rsidR="00E32846" w:rsidRPr="00097548">
        <w:rPr>
          <w:lang w:val="en-GB"/>
        </w:rPr>
        <w:t>g-resistant</w:t>
      </w:r>
      <w:r w:rsidR="00B75F61" w:rsidRPr="00097548">
        <w:rPr>
          <w:lang w:val="en-GB"/>
        </w:rPr>
        <w:t xml:space="preserve"> infections caused by </w:t>
      </w:r>
      <w:r w:rsidR="00535693" w:rsidRPr="00097548">
        <w:rPr>
          <w:lang w:val="en-GB"/>
        </w:rPr>
        <w:t>this pathogen</w:t>
      </w:r>
      <w:r w:rsidR="006C457E" w:rsidRPr="00097548">
        <w:rPr>
          <w:lang w:val="en-GB"/>
        </w:rPr>
        <w:t xml:space="preserve"> annually</w:t>
      </w:r>
      <w:r w:rsidR="00535693" w:rsidRPr="00097548">
        <w:rPr>
          <w:lang w:val="en-GB"/>
        </w:rPr>
        <w:t xml:space="preserve"> </w:t>
      </w:r>
      <w:r w:rsidR="00DC2613" w:rsidRPr="00097548">
        <w:rPr>
          <w:lang w:val="en-GB"/>
        </w:rPr>
        <w:t xml:space="preserve">would remain the same </w:t>
      </w:r>
      <w:r w:rsidR="00535693" w:rsidRPr="00097548">
        <w:rPr>
          <w:lang w:val="en-GB"/>
        </w:rPr>
        <w:t xml:space="preserve">over </w:t>
      </w:r>
      <w:r w:rsidR="00DC2613" w:rsidRPr="00097548">
        <w:rPr>
          <w:lang w:val="en-GB"/>
        </w:rPr>
        <w:t>the modelled time horizon</w:t>
      </w:r>
      <w:r w:rsidR="00535693" w:rsidRPr="00097548">
        <w:rPr>
          <w:lang w:val="en-GB"/>
        </w:rPr>
        <w:t xml:space="preserve">. </w:t>
      </w:r>
      <w:r w:rsidR="00B75F61" w:rsidRPr="00097548">
        <w:rPr>
          <w:lang w:val="en-GB"/>
        </w:rPr>
        <w:t xml:space="preserve">The clinical experts noted that this was not plausible, and that they would expect to see growth in the </w:t>
      </w:r>
      <w:r w:rsidR="00616691" w:rsidRPr="00097548">
        <w:rPr>
          <w:lang w:val="en-GB"/>
        </w:rPr>
        <w:t xml:space="preserve">population of </w:t>
      </w:r>
      <w:r w:rsidR="00067E6B" w:rsidRPr="00097548">
        <w:rPr>
          <w:lang w:val="en-GB"/>
        </w:rPr>
        <w:t>people</w:t>
      </w:r>
      <w:r w:rsidR="00616691" w:rsidRPr="00097548">
        <w:rPr>
          <w:lang w:val="en-GB"/>
        </w:rPr>
        <w:t xml:space="preserve"> with </w:t>
      </w:r>
      <w:r w:rsidR="00E32846" w:rsidRPr="00097548">
        <w:rPr>
          <w:lang w:val="en-GB"/>
        </w:rPr>
        <w:t xml:space="preserve">MBL-producing </w:t>
      </w:r>
      <w:r w:rsidR="00067F4E">
        <w:rPr>
          <w:i/>
          <w:iCs w:val="0"/>
          <w:lang w:val="en-GB"/>
        </w:rPr>
        <w:t>Pseudomonas aeruginosa</w:t>
      </w:r>
      <w:r w:rsidR="00B75F61" w:rsidRPr="00097548">
        <w:rPr>
          <w:lang w:val="en-GB"/>
        </w:rPr>
        <w:t xml:space="preserve"> over time. </w:t>
      </w:r>
      <w:r w:rsidR="00535693" w:rsidRPr="00097548">
        <w:rPr>
          <w:lang w:val="en-GB"/>
        </w:rPr>
        <w:t xml:space="preserve">For </w:t>
      </w:r>
      <w:r w:rsidR="00067F4E">
        <w:rPr>
          <w:i/>
          <w:iCs w:val="0"/>
          <w:lang w:val="en-GB"/>
        </w:rPr>
        <w:t xml:space="preserve">Stenotrophomonas </w:t>
      </w:r>
      <w:proofErr w:type="spellStart"/>
      <w:r w:rsidR="00067F4E">
        <w:rPr>
          <w:i/>
          <w:iCs w:val="0"/>
          <w:lang w:val="en-GB"/>
        </w:rPr>
        <w:t>maltophilia</w:t>
      </w:r>
      <w:proofErr w:type="spellEnd"/>
      <w:r w:rsidR="00535693" w:rsidRPr="00097548">
        <w:rPr>
          <w:lang w:val="en-GB"/>
        </w:rPr>
        <w:t xml:space="preserve">, </w:t>
      </w:r>
      <w:r w:rsidR="00DF370D" w:rsidRPr="00097548">
        <w:rPr>
          <w:lang w:val="en-GB"/>
        </w:rPr>
        <w:t xml:space="preserve">EEPRU estimated population growth to be a weighted average of the growth rates for </w:t>
      </w:r>
      <w:proofErr w:type="spellStart"/>
      <w:r w:rsidR="00DF370D" w:rsidRPr="003B3021">
        <w:rPr>
          <w:i/>
          <w:lang w:val="en-GB"/>
        </w:rPr>
        <w:t>Enterobacterales</w:t>
      </w:r>
      <w:proofErr w:type="spellEnd"/>
      <w:r w:rsidR="00DF370D" w:rsidRPr="00097548">
        <w:rPr>
          <w:lang w:val="en-GB"/>
        </w:rPr>
        <w:t xml:space="preserve"> and </w:t>
      </w:r>
      <w:r w:rsidR="00067F4E">
        <w:rPr>
          <w:i/>
          <w:iCs w:val="0"/>
          <w:lang w:val="en-GB"/>
        </w:rPr>
        <w:t>Pseudomonas aeruginosa</w:t>
      </w:r>
      <w:r w:rsidR="00DF370D" w:rsidRPr="00097548">
        <w:rPr>
          <w:lang w:val="en-GB"/>
        </w:rPr>
        <w:t>. T</w:t>
      </w:r>
      <w:r w:rsidR="00C23364" w:rsidRPr="00097548">
        <w:rPr>
          <w:lang w:val="en-GB"/>
        </w:rPr>
        <w:t xml:space="preserve">he committee </w:t>
      </w:r>
      <w:r w:rsidR="00182E30" w:rsidRPr="00097548">
        <w:rPr>
          <w:lang w:val="en-GB"/>
        </w:rPr>
        <w:t xml:space="preserve">recognised </w:t>
      </w:r>
      <w:r w:rsidR="00C23364" w:rsidRPr="00097548">
        <w:rPr>
          <w:lang w:val="en-GB"/>
        </w:rPr>
        <w:t>that</w:t>
      </w:r>
      <w:r w:rsidR="00DF370D" w:rsidRPr="00097548">
        <w:rPr>
          <w:lang w:val="en-GB"/>
        </w:rPr>
        <w:t xml:space="preserve"> </w:t>
      </w:r>
      <w:r w:rsidR="00182E46" w:rsidRPr="00097548">
        <w:rPr>
          <w:lang w:val="en-GB"/>
        </w:rPr>
        <w:t xml:space="preserve">although </w:t>
      </w:r>
      <w:r w:rsidR="00DF370D" w:rsidRPr="00097548">
        <w:rPr>
          <w:lang w:val="en-GB"/>
        </w:rPr>
        <w:t xml:space="preserve">there was considerable uncertainty in the </w:t>
      </w:r>
      <w:r w:rsidR="00B75F61" w:rsidRPr="00097548">
        <w:rPr>
          <w:lang w:val="en-GB"/>
        </w:rPr>
        <w:t xml:space="preserve">2 </w:t>
      </w:r>
      <w:r w:rsidR="00DF370D" w:rsidRPr="00097548">
        <w:rPr>
          <w:lang w:val="en-GB"/>
        </w:rPr>
        <w:t>forecast</w:t>
      </w:r>
      <w:r w:rsidR="00B75F61" w:rsidRPr="00097548">
        <w:rPr>
          <w:lang w:val="en-GB"/>
        </w:rPr>
        <w:t xml:space="preserve">ing approaches applied to the </w:t>
      </w:r>
      <w:proofErr w:type="spellStart"/>
      <w:r w:rsidR="00DF370D" w:rsidRPr="003B3021">
        <w:rPr>
          <w:i/>
          <w:iCs w:val="0"/>
          <w:lang w:val="en-GB"/>
        </w:rPr>
        <w:t>Enterobacterales</w:t>
      </w:r>
      <w:proofErr w:type="spellEnd"/>
      <w:r w:rsidR="00B75F61" w:rsidRPr="00097548">
        <w:rPr>
          <w:lang w:val="en-GB"/>
        </w:rPr>
        <w:t xml:space="preserve"> population</w:t>
      </w:r>
      <w:r w:rsidR="00DF370D" w:rsidRPr="00097548">
        <w:rPr>
          <w:lang w:val="en-GB"/>
        </w:rPr>
        <w:t>,</w:t>
      </w:r>
      <w:r w:rsidR="00C23364" w:rsidRPr="00097548">
        <w:rPr>
          <w:lang w:val="en-GB"/>
        </w:rPr>
        <w:t xml:space="preserve"> the persistent </w:t>
      </w:r>
      <w:r w:rsidR="00E06AF4" w:rsidRPr="00097548">
        <w:rPr>
          <w:lang w:val="en-GB"/>
        </w:rPr>
        <w:t xml:space="preserve">growth </w:t>
      </w:r>
      <w:r w:rsidR="00C23364" w:rsidRPr="00097548">
        <w:rPr>
          <w:lang w:val="en-GB"/>
        </w:rPr>
        <w:t>model best fit</w:t>
      </w:r>
      <w:r w:rsidR="00182E46" w:rsidRPr="00097548">
        <w:rPr>
          <w:lang w:val="en-GB"/>
        </w:rPr>
        <w:t>ted</w:t>
      </w:r>
      <w:r w:rsidR="00C23364" w:rsidRPr="00097548">
        <w:rPr>
          <w:lang w:val="en-GB"/>
        </w:rPr>
        <w:t xml:space="preserve"> the data</w:t>
      </w:r>
      <w:r w:rsidR="003C72E6" w:rsidRPr="00097548">
        <w:rPr>
          <w:lang w:val="en-GB"/>
        </w:rPr>
        <w:t xml:space="preserve"> </w:t>
      </w:r>
      <w:r w:rsidR="00085725" w:rsidRPr="00097548">
        <w:rPr>
          <w:lang w:val="en-GB"/>
        </w:rPr>
        <w:t>and was the mo</w:t>
      </w:r>
      <w:r w:rsidR="00616691" w:rsidRPr="00097548">
        <w:rPr>
          <w:lang w:val="en-GB"/>
        </w:rPr>
        <w:t>re</w:t>
      </w:r>
      <w:r w:rsidR="00085725" w:rsidRPr="00097548">
        <w:rPr>
          <w:lang w:val="en-GB"/>
        </w:rPr>
        <w:t xml:space="preserve"> </w:t>
      </w:r>
      <w:r w:rsidR="003C72E6" w:rsidRPr="00097548">
        <w:rPr>
          <w:lang w:val="en-GB"/>
        </w:rPr>
        <w:t>clinically plausible.</w:t>
      </w:r>
      <w:r w:rsidR="00C23364" w:rsidRPr="00097548">
        <w:rPr>
          <w:lang w:val="en-GB"/>
        </w:rPr>
        <w:t xml:space="preserve"> </w:t>
      </w:r>
      <w:r w:rsidR="000C740D" w:rsidRPr="00097548">
        <w:rPr>
          <w:lang w:val="en-GB"/>
        </w:rPr>
        <w:t xml:space="preserve">The committee concluded that it was appropriate to assume that the population size of </w:t>
      </w:r>
      <w:r w:rsidR="00B75F61" w:rsidRPr="00097548">
        <w:rPr>
          <w:lang w:val="en-GB"/>
        </w:rPr>
        <w:t>MBL-producing</w:t>
      </w:r>
      <w:r w:rsidR="003B3021">
        <w:rPr>
          <w:lang w:val="en-GB"/>
        </w:rPr>
        <w:t xml:space="preserve"> </w:t>
      </w:r>
      <w:proofErr w:type="spellStart"/>
      <w:r w:rsidR="000C740D" w:rsidRPr="003B3021">
        <w:rPr>
          <w:i/>
          <w:lang w:val="en-GB"/>
        </w:rPr>
        <w:t>Enterobacterales</w:t>
      </w:r>
      <w:proofErr w:type="spellEnd"/>
      <w:r w:rsidR="000C740D" w:rsidRPr="00097548">
        <w:rPr>
          <w:lang w:val="en-GB"/>
        </w:rPr>
        <w:t xml:space="preserve"> infections would continue to grow over </w:t>
      </w:r>
      <w:r w:rsidR="001E293F" w:rsidRPr="00097548">
        <w:rPr>
          <w:lang w:val="en-GB"/>
        </w:rPr>
        <w:t xml:space="preserve">the modelled time horizon </w:t>
      </w:r>
      <w:r w:rsidR="00616691" w:rsidRPr="00097548">
        <w:rPr>
          <w:lang w:val="en-GB"/>
        </w:rPr>
        <w:t>rather than</w:t>
      </w:r>
      <w:r w:rsidR="00B75F61" w:rsidRPr="00097548">
        <w:rPr>
          <w:lang w:val="en-GB"/>
        </w:rPr>
        <w:t xml:space="preserve"> stabilise</w:t>
      </w:r>
      <w:r w:rsidR="000C740D" w:rsidRPr="00097548">
        <w:rPr>
          <w:lang w:val="en-GB"/>
        </w:rPr>
        <w:t>. The committee</w:t>
      </w:r>
      <w:r w:rsidR="00E32846" w:rsidRPr="00097548">
        <w:rPr>
          <w:lang w:val="en-GB"/>
        </w:rPr>
        <w:t xml:space="preserve"> also</w:t>
      </w:r>
      <w:r w:rsidR="000C740D" w:rsidRPr="00097548">
        <w:rPr>
          <w:lang w:val="en-GB"/>
        </w:rPr>
        <w:t xml:space="preserve"> concluded that assuming no growth in the population size of</w:t>
      </w:r>
      <w:r w:rsidR="00616691" w:rsidRPr="00097548">
        <w:rPr>
          <w:lang w:val="en-GB"/>
        </w:rPr>
        <w:t xml:space="preserve"> people with</w:t>
      </w:r>
      <w:r w:rsidR="000C740D" w:rsidRPr="00097548">
        <w:rPr>
          <w:lang w:val="en-GB"/>
        </w:rPr>
        <w:t xml:space="preserve"> </w:t>
      </w:r>
      <w:r w:rsidR="00B75F61" w:rsidRPr="00097548">
        <w:rPr>
          <w:lang w:val="en-GB"/>
        </w:rPr>
        <w:t>MBL-producing</w:t>
      </w:r>
      <w:r w:rsidR="003B3021">
        <w:rPr>
          <w:lang w:val="en-GB"/>
        </w:rPr>
        <w:t xml:space="preserve"> </w:t>
      </w:r>
      <w:r w:rsidR="00067F4E">
        <w:rPr>
          <w:i/>
          <w:iCs w:val="0"/>
          <w:lang w:val="en-GB"/>
        </w:rPr>
        <w:t>Pseudomonas aeruginosa</w:t>
      </w:r>
      <w:r w:rsidR="000C740D" w:rsidRPr="00097548">
        <w:rPr>
          <w:lang w:val="en-GB"/>
        </w:rPr>
        <w:t xml:space="preserve"> infections would likely underestimate the population</w:t>
      </w:r>
      <w:r w:rsidR="00616691" w:rsidRPr="00097548">
        <w:rPr>
          <w:lang w:val="en-GB"/>
        </w:rPr>
        <w:t>-level</w:t>
      </w:r>
      <w:r w:rsidR="000C740D" w:rsidRPr="00097548">
        <w:rPr>
          <w:lang w:val="en-GB"/>
        </w:rPr>
        <w:t xml:space="preserve"> incremental net health benefits of </w:t>
      </w:r>
      <w:proofErr w:type="spellStart"/>
      <w:r w:rsidR="000C740D" w:rsidRPr="00097548">
        <w:rPr>
          <w:lang w:val="en-GB"/>
        </w:rPr>
        <w:t>cefiderocol</w:t>
      </w:r>
      <w:proofErr w:type="spellEnd"/>
      <w:r w:rsidR="000C740D" w:rsidRPr="00097548">
        <w:rPr>
          <w:lang w:val="en-GB"/>
        </w:rPr>
        <w:t>.</w:t>
      </w:r>
    </w:p>
    <w:p w14:paraId="5E1AA6F0" w14:textId="450644DF" w:rsidR="00C219F1" w:rsidRPr="00097548" w:rsidRDefault="005B7414" w:rsidP="00C219F1">
      <w:pPr>
        <w:pStyle w:val="Heading3"/>
      </w:pPr>
      <w:r w:rsidRPr="00097548">
        <w:t xml:space="preserve">Resistance to </w:t>
      </w:r>
      <w:proofErr w:type="spellStart"/>
      <w:r w:rsidR="000C740D" w:rsidRPr="00097548">
        <w:t>cefiderocol</w:t>
      </w:r>
      <w:proofErr w:type="spellEnd"/>
      <w:r w:rsidR="00A95F00" w:rsidRPr="00097548">
        <w:t xml:space="preserve"> </w:t>
      </w:r>
      <w:r w:rsidRPr="00097548">
        <w:t>is expected to increase by approximately 5% over the next 20 years</w:t>
      </w:r>
    </w:p>
    <w:p w14:paraId="16A04BC0" w14:textId="23168018" w:rsidR="00C219F1" w:rsidRPr="00097548" w:rsidRDefault="00E11F4F" w:rsidP="00C219F1">
      <w:pPr>
        <w:pStyle w:val="Numberedlevel2text"/>
        <w:rPr>
          <w:lang w:val="en-GB"/>
        </w:rPr>
      </w:pPr>
      <w:r w:rsidRPr="00097548">
        <w:rPr>
          <w:lang w:val="en-GB"/>
        </w:rPr>
        <w:t>Based on evidence that resistance develop</w:t>
      </w:r>
      <w:r w:rsidR="00F96AF4" w:rsidRPr="00097548">
        <w:rPr>
          <w:lang w:val="en-GB"/>
        </w:rPr>
        <w:t>s</w:t>
      </w:r>
      <w:r w:rsidRPr="00097548">
        <w:rPr>
          <w:lang w:val="en-GB"/>
        </w:rPr>
        <w:t xml:space="preserve"> to new </w:t>
      </w:r>
      <w:r w:rsidR="002203C6" w:rsidRPr="00097548">
        <w:rPr>
          <w:lang w:val="en-GB"/>
        </w:rPr>
        <w:t>antimicrobial</w:t>
      </w:r>
      <w:r w:rsidR="006B64DD" w:rsidRPr="00097548">
        <w:rPr>
          <w:lang w:val="en-GB"/>
        </w:rPr>
        <w:t>s</w:t>
      </w:r>
      <w:r w:rsidRPr="00097548">
        <w:rPr>
          <w:lang w:val="en-GB"/>
        </w:rPr>
        <w:t xml:space="preserve"> as usage increases, </w:t>
      </w:r>
      <w:r w:rsidR="00F07C20" w:rsidRPr="00097548">
        <w:rPr>
          <w:lang w:val="en-GB"/>
        </w:rPr>
        <w:t xml:space="preserve">EEPRU </w:t>
      </w:r>
      <w:r w:rsidR="000F76A5" w:rsidRPr="00097548">
        <w:rPr>
          <w:lang w:val="en-GB"/>
        </w:rPr>
        <w:t xml:space="preserve">assumed </w:t>
      </w:r>
      <w:r w:rsidR="00F07C20" w:rsidRPr="00097548">
        <w:rPr>
          <w:lang w:val="en-GB"/>
        </w:rPr>
        <w:t xml:space="preserve">that resistance to </w:t>
      </w:r>
      <w:proofErr w:type="spellStart"/>
      <w:r w:rsidR="000C740D" w:rsidRPr="00097548">
        <w:rPr>
          <w:lang w:val="en-GB"/>
        </w:rPr>
        <w:t>cefiderocol</w:t>
      </w:r>
      <w:proofErr w:type="spellEnd"/>
      <w:r w:rsidR="00A95F00" w:rsidRPr="00097548">
        <w:rPr>
          <w:lang w:val="en-GB"/>
        </w:rPr>
        <w:t xml:space="preserve"> </w:t>
      </w:r>
      <w:r w:rsidR="002203C6" w:rsidRPr="00097548">
        <w:rPr>
          <w:lang w:val="en-GB"/>
        </w:rPr>
        <w:t xml:space="preserve">would </w:t>
      </w:r>
      <w:r w:rsidR="00F96AF4" w:rsidRPr="00097548">
        <w:rPr>
          <w:lang w:val="en-GB"/>
        </w:rPr>
        <w:lastRenderedPageBreak/>
        <w:t xml:space="preserve">also </w:t>
      </w:r>
      <w:r w:rsidR="002203C6" w:rsidRPr="00097548">
        <w:rPr>
          <w:lang w:val="en-GB"/>
        </w:rPr>
        <w:t xml:space="preserve">increase over the </w:t>
      </w:r>
      <w:r w:rsidR="00F96AF4" w:rsidRPr="00097548">
        <w:rPr>
          <w:lang w:val="en-GB"/>
        </w:rPr>
        <w:t xml:space="preserve">model’s </w:t>
      </w:r>
      <w:r w:rsidR="002203C6" w:rsidRPr="00097548">
        <w:rPr>
          <w:lang w:val="en-GB"/>
        </w:rPr>
        <w:t>20-year time horizon</w:t>
      </w:r>
      <w:r w:rsidR="000F76A5" w:rsidRPr="00097548">
        <w:rPr>
          <w:lang w:val="en-GB"/>
        </w:rPr>
        <w:t xml:space="preserve">. EEPRU used data from the European Antimicrobial Resistance Surveillance Network </w:t>
      </w:r>
      <w:r w:rsidR="00E32EA8" w:rsidRPr="00097548">
        <w:rPr>
          <w:lang w:val="en-GB"/>
        </w:rPr>
        <w:t xml:space="preserve">to model the relationship between </w:t>
      </w:r>
      <w:r w:rsidR="000F76A5" w:rsidRPr="00097548">
        <w:rPr>
          <w:lang w:val="en-GB"/>
        </w:rPr>
        <w:t>antimicrobial</w:t>
      </w:r>
      <w:r w:rsidR="00E32EA8" w:rsidRPr="00097548">
        <w:rPr>
          <w:lang w:val="en-GB"/>
        </w:rPr>
        <w:t xml:space="preserve"> use </w:t>
      </w:r>
      <w:r w:rsidR="000F76A5" w:rsidRPr="00097548">
        <w:rPr>
          <w:lang w:val="en-GB"/>
        </w:rPr>
        <w:t>and resistance</w:t>
      </w:r>
      <w:r w:rsidR="001A1C64" w:rsidRPr="00097548">
        <w:rPr>
          <w:lang w:val="en-GB"/>
        </w:rPr>
        <w:t>, which</w:t>
      </w:r>
      <w:r w:rsidR="004A5BAA" w:rsidRPr="00097548">
        <w:rPr>
          <w:lang w:val="en-GB"/>
        </w:rPr>
        <w:t xml:space="preserve"> </w:t>
      </w:r>
      <w:r w:rsidR="002203C6" w:rsidRPr="00097548">
        <w:rPr>
          <w:lang w:val="en-GB"/>
        </w:rPr>
        <w:t xml:space="preserve">predicted </w:t>
      </w:r>
      <w:r w:rsidR="004A5BAA" w:rsidRPr="00097548">
        <w:rPr>
          <w:lang w:val="en-GB"/>
        </w:rPr>
        <w:t>a small increase in resistance of 0.0</w:t>
      </w:r>
      <w:r w:rsidR="000C740D" w:rsidRPr="00097548">
        <w:rPr>
          <w:lang w:val="en-GB"/>
        </w:rPr>
        <w:t>4</w:t>
      </w:r>
      <w:r w:rsidR="004A5BAA" w:rsidRPr="00097548">
        <w:rPr>
          <w:lang w:val="en-GB"/>
        </w:rPr>
        <w:t>%</w:t>
      </w:r>
      <w:r w:rsidR="000C740D" w:rsidRPr="00097548">
        <w:rPr>
          <w:lang w:val="en-GB"/>
        </w:rPr>
        <w:t xml:space="preserve"> in </w:t>
      </w:r>
      <w:proofErr w:type="spellStart"/>
      <w:r w:rsidR="000C740D" w:rsidRPr="00CD70E8">
        <w:rPr>
          <w:i/>
          <w:lang w:val="en-GB"/>
        </w:rPr>
        <w:t>Enterobacterales</w:t>
      </w:r>
      <w:proofErr w:type="spellEnd"/>
      <w:r w:rsidR="000C740D" w:rsidRPr="00097548">
        <w:rPr>
          <w:lang w:val="en-GB"/>
        </w:rPr>
        <w:t xml:space="preserve"> and 0.16% in </w:t>
      </w:r>
      <w:r w:rsidR="00067F4E">
        <w:rPr>
          <w:i/>
          <w:lang w:val="en-GB"/>
        </w:rPr>
        <w:t>Pseudomonas aeruginosa</w:t>
      </w:r>
      <w:r w:rsidR="004A5BAA" w:rsidRPr="00097548">
        <w:rPr>
          <w:lang w:val="en-GB"/>
        </w:rPr>
        <w:t xml:space="preserve"> over 20 years</w:t>
      </w:r>
      <w:r w:rsidR="000C740D" w:rsidRPr="00097548">
        <w:rPr>
          <w:lang w:val="en-GB"/>
        </w:rPr>
        <w:t>.</w:t>
      </w:r>
      <w:r w:rsidR="004A5BAA" w:rsidRPr="00097548">
        <w:rPr>
          <w:lang w:val="en-GB"/>
        </w:rPr>
        <w:t xml:space="preserve"> EEPRU </w:t>
      </w:r>
      <w:r w:rsidR="00D5220B">
        <w:rPr>
          <w:lang w:val="en-GB"/>
        </w:rPr>
        <w:t>believed</w:t>
      </w:r>
      <w:r w:rsidR="00737B8E" w:rsidRPr="00097548">
        <w:rPr>
          <w:lang w:val="en-GB"/>
        </w:rPr>
        <w:t xml:space="preserve"> that</w:t>
      </w:r>
      <w:r w:rsidR="004A5BAA" w:rsidRPr="00097548">
        <w:rPr>
          <w:lang w:val="en-GB"/>
        </w:rPr>
        <w:t xml:space="preserve"> </w:t>
      </w:r>
      <w:r w:rsidR="000C740D" w:rsidRPr="00097548">
        <w:rPr>
          <w:lang w:val="en-GB"/>
        </w:rPr>
        <w:t xml:space="preserve">these </w:t>
      </w:r>
      <w:r w:rsidR="006B64DD" w:rsidRPr="00097548">
        <w:rPr>
          <w:lang w:val="en-GB"/>
        </w:rPr>
        <w:t xml:space="preserve">values </w:t>
      </w:r>
      <w:r w:rsidR="004A5BAA" w:rsidRPr="00097548">
        <w:rPr>
          <w:lang w:val="en-GB"/>
        </w:rPr>
        <w:t>underestimate</w:t>
      </w:r>
      <w:r w:rsidR="00737B8E" w:rsidRPr="00097548">
        <w:rPr>
          <w:lang w:val="en-GB"/>
        </w:rPr>
        <w:t>d</w:t>
      </w:r>
      <w:r w:rsidR="00C10DF8" w:rsidRPr="00097548">
        <w:rPr>
          <w:lang w:val="en-GB"/>
        </w:rPr>
        <w:t xml:space="preserve"> </w:t>
      </w:r>
      <w:r w:rsidR="006B64DD" w:rsidRPr="00097548">
        <w:rPr>
          <w:lang w:val="en-GB"/>
        </w:rPr>
        <w:t>true resistance</w:t>
      </w:r>
      <w:r w:rsidR="00E06AF4" w:rsidRPr="00097548">
        <w:rPr>
          <w:lang w:val="en-GB"/>
        </w:rPr>
        <w:t xml:space="preserve"> </w:t>
      </w:r>
      <w:r w:rsidR="000C740D" w:rsidRPr="00097548">
        <w:rPr>
          <w:lang w:val="en-GB"/>
        </w:rPr>
        <w:t>and</w:t>
      </w:r>
      <w:r w:rsidR="00E06AF4" w:rsidRPr="00097548">
        <w:rPr>
          <w:lang w:val="en-GB"/>
        </w:rPr>
        <w:t xml:space="preserve"> </w:t>
      </w:r>
      <w:r w:rsidR="004A5BAA" w:rsidRPr="00097548">
        <w:rPr>
          <w:lang w:val="en-GB"/>
        </w:rPr>
        <w:t xml:space="preserve">explored 4 </w:t>
      </w:r>
      <w:r w:rsidR="000970EB" w:rsidRPr="00097548">
        <w:rPr>
          <w:lang w:val="en-GB"/>
        </w:rPr>
        <w:t xml:space="preserve">alternative </w:t>
      </w:r>
      <w:r w:rsidR="004A5BAA" w:rsidRPr="00097548">
        <w:rPr>
          <w:lang w:val="en-GB"/>
        </w:rPr>
        <w:t>assumptions in its base</w:t>
      </w:r>
      <w:r w:rsidR="00CE2168" w:rsidRPr="00097548">
        <w:rPr>
          <w:lang w:val="en-GB"/>
        </w:rPr>
        <w:t>-</w:t>
      </w:r>
      <w:r w:rsidR="004A5BAA" w:rsidRPr="00097548">
        <w:rPr>
          <w:lang w:val="en-GB"/>
        </w:rPr>
        <w:t>case model</w:t>
      </w:r>
      <w:r w:rsidR="00E06AF4" w:rsidRPr="00097548">
        <w:rPr>
          <w:lang w:val="en-GB"/>
        </w:rPr>
        <w:t>:</w:t>
      </w:r>
      <w:r w:rsidR="004A5BAA" w:rsidRPr="00097548">
        <w:rPr>
          <w:lang w:val="en-GB"/>
        </w:rPr>
        <w:t xml:space="preserve"> resistance </w:t>
      </w:r>
      <w:r w:rsidR="000970EB" w:rsidRPr="00097548">
        <w:rPr>
          <w:lang w:val="en-GB"/>
        </w:rPr>
        <w:t xml:space="preserve">to </w:t>
      </w:r>
      <w:proofErr w:type="spellStart"/>
      <w:r w:rsidR="00E47EA8" w:rsidRPr="00097548">
        <w:rPr>
          <w:lang w:val="en-GB"/>
        </w:rPr>
        <w:t>cefiderocol</w:t>
      </w:r>
      <w:proofErr w:type="spellEnd"/>
      <w:r w:rsidR="0051044F" w:rsidRPr="00097548">
        <w:rPr>
          <w:lang w:val="en-GB"/>
        </w:rPr>
        <w:t xml:space="preserve"> </w:t>
      </w:r>
      <w:r w:rsidR="004A5BAA" w:rsidRPr="00097548">
        <w:rPr>
          <w:lang w:val="en-GB"/>
        </w:rPr>
        <w:t>reaching 1%, 5%, 10% or 30%</w:t>
      </w:r>
      <w:r w:rsidR="000970EB" w:rsidRPr="00097548">
        <w:rPr>
          <w:lang w:val="en-GB"/>
        </w:rPr>
        <w:t xml:space="preserve"> after 20 years</w:t>
      </w:r>
      <w:r w:rsidR="000B6F23" w:rsidRPr="00097548">
        <w:rPr>
          <w:lang w:val="en-GB"/>
        </w:rPr>
        <w:t>. EEPRU</w:t>
      </w:r>
      <w:r w:rsidR="00392F89" w:rsidRPr="00097548">
        <w:rPr>
          <w:lang w:val="en-GB"/>
        </w:rPr>
        <w:t xml:space="preserve"> </w:t>
      </w:r>
      <w:r w:rsidR="000970EB" w:rsidRPr="00097548">
        <w:rPr>
          <w:lang w:val="en-GB"/>
        </w:rPr>
        <w:t xml:space="preserve">and the company agreed that </w:t>
      </w:r>
      <w:r w:rsidR="00392F89" w:rsidRPr="00097548">
        <w:rPr>
          <w:lang w:val="en-GB"/>
        </w:rPr>
        <w:t>30%</w:t>
      </w:r>
      <w:r w:rsidR="000B6F23" w:rsidRPr="00097548">
        <w:rPr>
          <w:lang w:val="en-GB"/>
        </w:rPr>
        <w:t xml:space="preserve"> was</w:t>
      </w:r>
      <w:r w:rsidR="00392F89" w:rsidRPr="00097548">
        <w:rPr>
          <w:lang w:val="en-GB"/>
        </w:rPr>
        <w:t xml:space="preserve"> an extreme </w:t>
      </w:r>
      <w:r w:rsidR="000970EB" w:rsidRPr="00097548">
        <w:rPr>
          <w:lang w:val="en-GB"/>
        </w:rPr>
        <w:t>estimate</w:t>
      </w:r>
      <w:r w:rsidR="004A5BAA" w:rsidRPr="00097548">
        <w:rPr>
          <w:lang w:val="en-GB"/>
        </w:rPr>
        <w:t>.</w:t>
      </w:r>
      <w:r w:rsidR="00CC4E04" w:rsidRPr="00097548">
        <w:rPr>
          <w:lang w:val="en-GB"/>
        </w:rPr>
        <w:t xml:space="preserve"> </w:t>
      </w:r>
      <w:r w:rsidR="00392F89" w:rsidRPr="00097548">
        <w:rPr>
          <w:lang w:val="en-GB"/>
        </w:rPr>
        <w:t xml:space="preserve">The clinical experts explained </w:t>
      </w:r>
      <w:r w:rsidR="00D91962" w:rsidRPr="00097548">
        <w:rPr>
          <w:lang w:val="en-GB"/>
        </w:rPr>
        <w:t xml:space="preserve">that </w:t>
      </w:r>
      <w:r w:rsidR="00392F89" w:rsidRPr="00097548">
        <w:rPr>
          <w:lang w:val="en-GB"/>
        </w:rPr>
        <w:t xml:space="preserve">if </w:t>
      </w:r>
      <w:r w:rsidR="00F91EE5" w:rsidRPr="00097548">
        <w:rPr>
          <w:lang w:val="en-GB"/>
        </w:rPr>
        <w:t xml:space="preserve">principles of </w:t>
      </w:r>
      <w:r w:rsidR="00392F89" w:rsidRPr="00097548">
        <w:rPr>
          <w:lang w:val="en-GB"/>
        </w:rPr>
        <w:t xml:space="preserve">good </w:t>
      </w:r>
      <w:r w:rsidR="00395A20" w:rsidRPr="00097548">
        <w:rPr>
          <w:lang w:val="en-GB"/>
        </w:rPr>
        <w:t xml:space="preserve">antimicrobial </w:t>
      </w:r>
      <w:r w:rsidR="00392F89" w:rsidRPr="00097548">
        <w:rPr>
          <w:lang w:val="en-GB"/>
        </w:rPr>
        <w:t xml:space="preserve">stewardship </w:t>
      </w:r>
      <w:r w:rsidR="00B6627D" w:rsidRPr="00097548">
        <w:rPr>
          <w:lang w:val="en-GB"/>
        </w:rPr>
        <w:t>we</w:t>
      </w:r>
      <w:r w:rsidR="00F91EE5" w:rsidRPr="00097548">
        <w:rPr>
          <w:lang w:val="en-GB"/>
        </w:rPr>
        <w:t>re followed</w:t>
      </w:r>
      <w:r w:rsidR="00C0384E" w:rsidRPr="00097548">
        <w:rPr>
          <w:lang w:val="en-GB"/>
        </w:rPr>
        <w:t>,</w:t>
      </w:r>
      <w:r w:rsidR="00F91EE5" w:rsidRPr="00097548">
        <w:rPr>
          <w:lang w:val="en-GB"/>
        </w:rPr>
        <w:t xml:space="preserve"> </w:t>
      </w:r>
      <w:r w:rsidR="00395A20" w:rsidRPr="00097548">
        <w:rPr>
          <w:lang w:val="en-GB"/>
        </w:rPr>
        <w:t xml:space="preserve">then </w:t>
      </w:r>
      <w:r w:rsidR="00EC1F51" w:rsidRPr="00097548">
        <w:rPr>
          <w:lang w:val="en-GB"/>
        </w:rPr>
        <w:t xml:space="preserve">the </w:t>
      </w:r>
      <w:r w:rsidR="00237348" w:rsidRPr="00097548">
        <w:rPr>
          <w:lang w:val="en-GB"/>
        </w:rPr>
        <w:t xml:space="preserve">increase </w:t>
      </w:r>
      <w:r w:rsidR="00E47EA8" w:rsidRPr="00097548">
        <w:rPr>
          <w:lang w:val="en-GB"/>
        </w:rPr>
        <w:t xml:space="preserve">in resistance </w:t>
      </w:r>
      <w:r w:rsidR="00237348" w:rsidRPr="00097548">
        <w:rPr>
          <w:lang w:val="en-GB"/>
        </w:rPr>
        <w:t xml:space="preserve">to </w:t>
      </w:r>
      <w:proofErr w:type="spellStart"/>
      <w:r w:rsidR="00237348" w:rsidRPr="00097548">
        <w:rPr>
          <w:lang w:val="en-GB"/>
        </w:rPr>
        <w:t>cefiderocol</w:t>
      </w:r>
      <w:proofErr w:type="spellEnd"/>
      <w:r w:rsidR="00237348" w:rsidRPr="00097548">
        <w:rPr>
          <w:lang w:val="en-GB"/>
        </w:rPr>
        <w:t xml:space="preserve"> w</w:t>
      </w:r>
      <w:r w:rsidR="00E47EA8" w:rsidRPr="00097548">
        <w:rPr>
          <w:lang w:val="en-GB"/>
        </w:rPr>
        <w:t xml:space="preserve">ould be </w:t>
      </w:r>
      <w:r w:rsidR="00237348" w:rsidRPr="00097548">
        <w:rPr>
          <w:lang w:val="en-GB"/>
        </w:rPr>
        <w:t>low</w:t>
      </w:r>
      <w:r w:rsidR="00E47EA8" w:rsidRPr="00097548">
        <w:rPr>
          <w:lang w:val="en-GB"/>
        </w:rPr>
        <w:t xml:space="preserve">. However, wider use of </w:t>
      </w:r>
      <w:proofErr w:type="spellStart"/>
      <w:r w:rsidR="00E47EA8" w:rsidRPr="00097548">
        <w:rPr>
          <w:lang w:val="en-GB"/>
        </w:rPr>
        <w:t>cefiderocol</w:t>
      </w:r>
      <w:proofErr w:type="spellEnd"/>
      <w:r w:rsidR="00E47EA8" w:rsidRPr="00097548">
        <w:rPr>
          <w:lang w:val="en-GB"/>
        </w:rPr>
        <w:t xml:space="preserve"> outside of the UK</w:t>
      </w:r>
      <w:r w:rsidR="00395A20" w:rsidRPr="00097548">
        <w:rPr>
          <w:lang w:val="en-GB"/>
        </w:rPr>
        <w:t xml:space="preserve"> would </w:t>
      </w:r>
      <w:r w:rsidR="00D91962" w:rsidRPr="00097548">
        <w:rPr>
          <w:lang w:val="en-GB"/>
        </w:rPr>
        <w:t xml:space="preserve">cause </w:t>
      </w:r>
      <w:r w:rsidR="00E47EA8" w:rsidRPr="00097548">
        <w:rPr>
          <w:lang w:val="en-GB"/>
        </w:rPr>
        <w:t xml:space="preserve">resistant pathogens </w:t>
      </w:r>
      <w:r w:rsidR="00D91962" w:rsidRPr="00097548">
        <w:rPr>
          <w:lang w:val="en-GB"/>
        </w:rPr>
        <w:t xml:space="preserve">to </w:t>
      </w:r>
      <w:r w:rsidR="00E47EA8" w:rsidRPr="00097548">
        <w:rPr>
          <w:lang w:val="en-GB"/>
        </w:rPr>
        <w:t>emerg</w:t>
      </w:r>
      <w:r w:rsidR="00D91962" w:rsidRPr="00097548">
        <w:rPr>
          <w:lang w:val="en-GB"/>
        </w:rPr>
        <w:t>e</w:t>
      </w:r>
      <w:r w:rsidR="00E47EA8" w:rsidRPr="00097548">
        <w:rPr>
          <w:lang w:val="en-GB"/>
        </w:rPr>
        <w:t xml:space="preserve"> that would eventually appear in </w:t>
      </w:r>
      <w:r w:rsidR="00D91962" w:rsidRPr="00097548">
        <w:rPr>
          <w:lang w:val="en-GB"/>
        </w:rPr>
        <w:t>England</w:t>
      </w:r>
      <w:r w:rsidR="00E47EA8" w:rsidRPr="00097548">
        <w:rPr>
          <w:lang w:val="en-GB"/>
        </w:rPr>
        <w:t>. A committee member with specialist expertise in infectious disease</w:t>
      </w:r>
      <w:r w:rsidR="00395A20" w:rsidRPr="00097548">
        <w:rPr>
          <w:lang w:val="en-GB"/>
        </w:rPr>
        <w:t xml:space="preserve"> </w:t>
      </w:r>
      <w:r w:rsidR="00E47EA8" w:rsidRPr="00097548">
        <w:rPr>
          <w:lang w:val="en-GB"/>
        </w:rPr>
        <w:t>noted that resistance would not be expected to exceed 10%</w:t>
      </w:r>
      <w:r w:rsidR="00237348" w:rsidRPr="00097548">
        <w:rPr>
          <w:lang w:val="en-GB"/>
        </w:rPr>
        <w:t xml:space="preserve"> over the 20-year modelled time horizon</w:t>
      </w:r>
      <w:r w:rsidR="00E47EA8" w:rsidRPr="00097548">
        <w:rPr>
          <w:lang w:val="en-GB"/>
        </w:rPr>
        <w:t xml:space="preserve"> and would more likely be 5%</w:t>
      </w:r>
      <w:r w:rsidR="00395A20" w:rsidRPr="00097548">
        <w:rPr>
          <w:lang w:val="en-GB"/>
        </w:rPr>
        <w:t>.</w:t>
      </w:r>
      <w:r w:rsidR="00392F89" w:rsidRPr="00097548">
        <w:rPr>
          <w:lang w:val="en-GB"/>
        </w:rPr>
        <w:t xml:space="preserve"> The c</w:t>
      </w:r>
      <w:r w:rsidR="00C219F1" w:rsidRPr="00097548">
        <w:rPr>
          <w:lang w:val="en-GB"/>
        </w:rPr>
        <w:t>ommittee concluded that</w:t>
      </w:r>
      <w:r w:rsidR="00DF365A" w:rsidRPr="00097548">
        <w:rPr>
          <w:lang w:val="en-GB"/>
        </w:rPr>
        <w:t xml:space="preserve"> </w:t>
      </w:r>
      <w:r w:rsidR="00395A20" w:rsidRPr="00097548">
        <w:rPr>
          <w:lang w:val="en-GB"/>
        </w:rPr>
        <w:t xml:space="preserve">it was reasonable to </w:t>
      </w:r>
      <w:r w:rsidR="00392F89" w:rsidRPr="00097548">
        <w:rPr>
          <w:lang w:val="en-GB"/>
        </w:rPr>
        <w:t>assum</w:t>
      </w:r>
      <w:r w:rsidR="00395A20" w:rsidRPr="00097548">
        <w:rPr>
          <w:lang w:val="en-GB"/>
        </w:rPr>
        <w:t>e</w:t>
      </w:r>
      <w:r w:rsidR="00392F89" w:rsidRPr="00097548">
        <w:rPr>
          <w:lang w:val="en-GB"/>
        </w:rPr>
        <w:t xml:space="preserve"> </w:t>
      </w:r>
      <w:r w:rsidR="00DF365A" w:rsidRPr="00097548">
        <w:rPr>
          <w:lang w:val="en-GB"/>
        </w:rPr>
        <w:t>a</w:t>
      </w:r>
      <w:r w:rsidR="00395A20" w:rsidRPr="00097548">
        <w:rPr>
          <w:lang w:val="en-GB"/>
        </w:rPr>
        <w:t xml:space="preserve"> 5%</w:t>
      </w:r>
      <w:r w:rsidR="00DF365A" w:rsidRPr="00097548">
        <w:rPr>
          <w:lang w:val="en-GB"/>
        </w:rPr>
        <w:t xml:space="preserve"> </w:t>
      </w:r>
      <w:r w:rsidR="00C219F1" w:rsidRPr="00097548">
        <w:rPr>
          <w:lang w:val="en-GB"/>
        </w:rPr>
        <w:t xml:space="preserve">increase in resistance to </w:t>
      </w:r>
      <w:proofErr w:type="spellStart"/>
      <w:r w:rsidR="00FC1DB6" w:rsidRPr="00097548">
        <w:rPr>
          <w:lang w:val="en-GB"/>
        </w:rPr>
        <w:t>cefiderocol</w:t>
      </w:r>
      <w:proofErr w:type="spellEnd"/>
      <w:r w:rsidR="0051044F" w:rsidRPr="00097548">
        <w:rPr>
          <w:lang w:val="en-GB"/>
        </w:rPr>
        <w:t xml:space="preserve"> </w:t>
      </w:r>
      <w:r w:rsidR="00395A20" w:rsidRPr="00097548">
        <w:rPr>
          <w:lang w:val="en-GB"/>
        </w:rPr>
        <w:t>over the 20-year modelled time horizon</w:t>
      </w:r>
      <w:r w:rsidR="00DF365A" w:rsidRPr="00097548">
        <w:rPr>
          <w:lang w:val="en-GB"/>
        </w:rPr>
        <w:t>.</w:t>
      </w:r>
    </w:p>
    <w:p w14:paraId="235A38CA" w14:textId="09A5FDF9" w:rsidR="00C219F1" w:rsidRPr="00097548" w:rsidRDefault="002C2462" w:rsidP="00DF365A">
      <w:pPr>
        <w:pStyle w:val="Heading3"/>
      </w:pPr>
      <w:r w:rsidRPr="00097548">
        <w:t>T</w:t>
      </w:r>
      <w:r w:rsidR="0087529B" w:rsidRPr="00097548">
        <w:t xml:space="preserve">he model should account for </w:t>
      </w:r>
      <w:r w:rsidR="00736B85" w:rsidRPr="00097548">
        <w:t>increase</w:t>
      </w:r>
      <w:r w:rsidR="0087529B" w:rsidRPr="00097548">
        <w:t>d</w:t>
      </w:r>
      <w:r w:rsidR="00736B85" w:rsidRPr="00097548">
        <w:t xml:space="preserve"> </w:t>
      </w:r>
      <w:r w:rsidR="00DF365A" w:rsidRPr="00097548">
        <w:t>resistance to comparators</w:t>
      </w:r>
      <w:r w:rsidR="005343A3" w:rsidRPr="00097548">
        <w:t xml:space="preserve"> over time</w:t>
      </w:r>
      <w:r w:rsidRPr="00097548">
        <w:t xml:space="preserve">, </w:t>
      </w:r>
      <w:r w:rsidR="00152F83" w:rsidRPr="00097548">
        <w:t>but there is</w:t>
      </w:r>
      <w:r w:rsidRPr="00097548">
        <w:t xml:space="preserve"> uncertainty in the estimates of resistance</w:t>
      </w:r>
    </w:p>
    <w:p w14:paraId="7D22F79A" w14:textId="1104BDE2" w:rsidR="0088516E" w:rsidRPr="00097548" w:rsidRDefault="00C17033" w:rsidP="00D65FFB">
      <w:pPr>
        <w:pStyle w:val="Numberedlevel2text"/>
        <w:rPr>
          <w:lang w:val="en-GB"/>
        </w:rPr>
      </w:pPr>
      <w:r w:rsidRPr="00097548">
        <w:rPr>
          <w:lang w:val="en-GB"/>
        </w:rPr>
        <w:t>In its base</w:t>
      </w:r>
      <w:r w:rsidR="00CE2168" w:rsidRPr="00097548">
        <w:rPr>
          <w:lang w:val="en-GB"/>
        </w:rPr>
        <w:t>-</w:t>
      </w:r>
      <w:r w:rsidRPr="00097548">
        <w:rPr>
          <w:lang w:val="en-GB"/>
        </w:rPr>
        <w:t>case</w:t>
      </w:r>
      <w:r w:rsidR="00BE139D" w:rsidRPr="00097548">
        <w:rPr>
          <w:lang w:val="en-GB"/>
        </w:rPr>
        <w:t xml:space="preserve"> model</w:t>
      </w:r>
      <w:r w:rsidRPr="00097548">
        <w:rPr>
          <w:lang w:val="en-GB"/>
        </w:rPr>
        <w:t xml:space="preserve">, </w:t>
      </w:r>
      <w:r w:rsidR="008948E8" w:rsidRPr="00097548">
        <w:rPr>
          <w:lang w:val="en-GB"/>
        </w:rPr>
        <w:t>EEPRU</w:t>
      </w:r>
      <w:r w:rsidR="00736B85" w:rsidRPr="00097548">
        <w:rPr>
          <w:lang w:val="en-GB"/>
        </w:rPr>
        <w:t xml:space="preserve"> assumed that resistance to </w:t>
      </w:r>
      <w:r w:rsidR="00091C5C" w:rsidRPr="00097548">
        <w:rPr>
          <w:lang w:val="en-GB"/>
        </w:rPr>
        <w:t xml:space="preserve">the </w:t>
      </w:r>
      <w:r w:rsidR="00736B85" w:rsidRPr="00097548">
        <w:rPr>
          <w:lang w:val="en-GB"/>
        </w:rPr>
        <w:t xml:space="preserve">comparators </w:t>
      </w:r>
      <w:r w:rsidR="00F86667" w:rsidRPr="00097548">
        <w:rPr>
          <w:lang w:val="en-GB"/>
        </w:rPr>
        <w:t>remain</w:t>
      </w:r>
      <w:r w:rsidR="00C0384E" w:rsidRPr="00097548">
        <w:rPr>
          <w:lang w:val="en-GB"/>
        </w:rPr>
        <w:t>s</w:t>
      </w:r>
      <w:r w:rsidR="00F86667" w:rsidRPr="00097548">
        <w:rPr>
          <w:lang w:val="en-GB"/>
        </w:rPr>
        <w:t xml:space="preserve"> </w:t>
      </w:r>
      <w:r w:rsidR="00736B85" w:rsidRPr="00097548">
        <w:rPr>
          <w:lang w:val="en-GB"/>
        </w:rPr>
        <w:t>constant over time</w:t>
      </w:r>
      <w:r w:rsidR="001F3DA0" w:rsidRPr="00097548">
        <w:rPr>
          <w:lang w:val="en-GB"/>
        </w:rPr>
        <w:t>,</w:t>
      </w:r>
      <w:r w:rsidR="008948E8" w:rsidRPr="00097548">
        <w:rPr>
          <w:lang w:val="en-GB"/>
        </w:rPr>
        <w:t xml:space="preserve"> </w:t>
      </w:r>
      <w:r w:rsidR="00F86667" w:rsidRPr="00097548">
        <w:rPr>
          <w:lang w:val="en-GB"/>
        </w:rPr>
        <w:t xml:space="preserve">because </w:t>
      </w:r>
      <w:r w:rsidR="00444E4E" w:rsidRPr="00097548">
        <w:rPr>
          <w:lang w:val="en-GB"/>
        </w:rPr>
        <w:t>it</w:t>
      </w:r>
      <w:r w:rsidR="00F86667" w:rsidRPr="00097548">
        <w:rPr>
          <w:lang w:val="en-GB"/>
        </w:rPr>
        <w:t xml:space="preserve"> found little</w:t>
      </w:r>
      <w:r w:rsidRPr="00097548">
        <w:rPr>
          <w:lang w:val="en-GB"/>
        </w:rPr>
        <w:t xml:space="preserve"> evidence to inform </w:t>
      </w:r>
      <w:r w:rsidR="00A4240F" w:rsidRPr="00097548">
        <w:rPr>
          <w:lang w:val="en-GB"/>
        </w:rPr>
        <w:t>extrapolations of current resistance rates</w:t>
      </w:r>
      <w:r w:rsidR="008948E8" w:rsidRPr="00097548">
        <w:rPr>
          <w:lang w:val="en-GB"/>
        </w:rPr>
        <w:t>.</w:t>
      </w:r>
      <w:r w:rsidR="00736B85" w:rsidRPr="00097548">
        <w:rPr>
          <w:lang w:val="en-GB"/>
        </w:rPr>
        <w:t xml:space="preserve"> However, EEPRU acknowledged that resistance </w:t>
      </w:r>
      <w:r w:rsidR="00A4240F" w:rsidRPr="00097548">
        <w:rPr>
          <w:lang w:val="en-GB"/>
        </w:rPr>
        <w:t xml:space="preserve">to comparators would </w:t>
      </w:r>
      <w:r w:rsidR="00F86667" w:rsidRPr="00097548">
        <w:rPr>
          <w:lang w:val="en-GB"/>
        </w:rPr>
        <w:t xml:space="preserve">likely </w:t>
      </w:r>
      <w:r w:rsidR="00736B85" w:rsidRPr="00097548">
        <w:rPr>
          <w:lang w:val="en-GB"/>
        </w:rPr>
        <w:t>increase over time,</w:t>
      </w:r>
      <w:r w:rsidR="00395C59" w:rsidRPr="00097548">
        <w:rPr>
          <w:lang w:val="en-GB"/>
        </w:rPr>
        <w:t xml:space="preserve"> </w:t>
      </w:r>
      <w:r w:rsidR="00DE6907" w:rsidRPr="00097548">
        <w:rPr>
          <w:lang w:val="en-GB"/>
        </w:rPr>
        <w:t xml:space="preserve">either because </w:t>
      </w:r>
      <w:r w:rsidR="00736B85" w:rsidRPr="00097548">
        <w:rPr>
          <w:lang w:val="en-GB"/>
        </w:rPr>
        <w:t>new multi-drug</w:t>
      </w:r>
      <w:r w:rsidR="00DE6907" w:rsidRPr="00097548">
        <w:rPr>
          <w:lang w:val="en-GB"/>
        </w:rPr>
        <w:t>-</w:t>
      </w:r>
      <w:r w:rsidR="00736B85" w:rsidRPr="00097548">
        <w:rPr>
          <w:lang w:val="en-GB"/>
        </w:rPr>
        <w:t xml:space="preserve">resistant pathogens </w:t>
      </w:r>
      <w:r w:rsidR="00DE6907" w:rsidRPr="00097548">
        <w:rPr>
          <w:lang w:val="en-GB"/>
        </w:rPr>
        <w:t xml:space="preserve">would </w:t>
      </w:r>
      <w:r w:rsidRPr="00097548">
        <w:rPr>
          <w:lang w:val="en-GB"/>
        </w:rPr>
        <w:t>emerge,</w:t>
      </w:r>
      <w:r w:rsidR="00736B85" w:rsidRPr="00097548">
        <w:rPr>
          <w:lang w:val="en-GB"/>
        </w:rPr>
        <w:t xml:space="preserve"> or </w:t>
      </w:r>
      <w:r w:rsidR="00170AAD" w:rsidRPr="00097548">
        <w:rPr>
          <w:lang w:val="en-GB"/>
        </w:rPr>
        <w:t xml:space="preserve">because </w:t>
      </w:r>
      <w:r w:rsidR="00736B85" w:rsidRPr="00097548">
        <w:rPr>
          <w:lang w:val="en-GB"/>
        </w:rPr>
        <w:t>current</w:t>
      </w:r>
      <w:r w:rsidR="00B11493" w:rsidRPr="00097548">
        <w:rPr>
          <w:lang w:val="en-GB"/>
        </w:rPr>
        <w:t>ly</w:t>
      </w:r>
      <w:r w:rsidR="00736B85" w:rsidRPr="00097548">
        <w:rPr>
          <w:lang w:val="en-GB"/>
        </w:rPr>
        <w:t xml:space="preserve"> </w:t>
      </w:r>
      <w:r w:rsidR="001743E0" w:rsidRPr="00097548">
        <w:rPr>
          <w:lang w:val="en-GB"/>
        </w:rPr>
        <w:t>susceptible</w:t>
      </w:r>
      <w:r w:rsidR="00170AAD" w:rsidRPr="00097548">
        <w:rPr>
          <w:lang w:val="en-GB"/>
        </w:rPr>
        <w:t xml:space="preserve"> </w:t>
      </w:r>
      <w:r w:rsidR="00736B85" w:rsidRPr="00097548">
        <w:rPr>
          <w:lang w:val="en-GB"/>
        </w:rPr>
        <w:t xml:space="preserve">pathogens </w:t>
      </w:r>
      <w:r w:rsidR="00DE6907" w:rsidRPr="00097548">
        <w:rPr>
          <w:lang w:val="en-GB"/>
        </w:rPr>
        <w:t xml:space="preserve">would </w:t>
      </w:r>
      <w:r w:rsidR="00736B85" w:rsidRPr="00097548">
        <w:rPr>
          <w:lang w:val="en-GB"/>
        </w:rPr>
        <w:t>become resistant</w:t>
      </w:r>
      <w:r w:rsidR="00DE6907" w:rsidRPr="00097548">
        <w:rPr>
          <w:lang w:val="en-GB"/>
        </w:rPr>
        <w:t xml:space="preserve"> to existing drugs. This </w:t>
      </w:r>
      <w:r w:rsidRPr="00097548">
        <w:rPr>
          <w:lang w:val="en-GB"/>
        </w:rPr>
        <w:t xml:space="preserve">would increase the incremental benefits of </w:t>
      </w:r>
      <w:proofErr w:type="spellStart"/>
      <w:r w:rsidR="00FF75D8" w:rsidRPr="00097548">
        <w:rPr>
          <w:lang w:val="en-GB"/>
        </w:rPr>
        <w:t>cefiderocol</w:t>
      </w:r>
      <w:proofErr w:type="spellEnd"/>
      <w:r w:rsidR="00736B85" w:rsidRPr="00097548">
        <w:rPr>
          <w:lang w:val="en-GB"/>
        </w:rPr>
        <w:t>.</w:t>
      </w:r>
      <w:r w:rsidRPr="00097548">
        <w:rPr>
          <w:lang w:val="en-GB"/>
        </w:rPr>
        <w:t xml:space="preserve"> </w:t>
      </w:r>
      <w:r w:rsidR="00266CA1" w:rsidRPr="00097548">
        <w:rPr>
          <w:lang w:val="en-GB"/>
        </w:rPr>
        <w:t xml:space="preserve">The committee noted that </w:t>
      </w:r>
      <w:r w:rsidR="00963155" w:rsidRPr="00097548">
        <w:rPr>
          <w:lang w:val="en-GB"/>
        </w:rPr>
        <w:t xml:space="preserve">in </w:t>
      </w:r>
      <w:r w:rsidR="00266CA1" w:rsidRPr="00097548">
        <w:rPr>
          <w:lang w:val="en-GB"/>
        </w:rPr>
        <w:t xml:space="preserve">modelling the emergence of resistance to </w:t>
      </w:r>
      <w:r w:rsidR="00BE139D" w:rsidRPr="00097548">
        <w:rPr>
          <w:lang w:val="en-GB"/>
        </w:rPr>
        <w:t xml:space="preserve">existing </w:t>
      </w:r>
      <w:r w:rsidR="00266CA1" w:rsidRPr="00097548">
        <w:rPr>
          <w:lang w:val="en-GB"/>
        </w:rPr>
        <w:t>antimicrobials</w:t>
      </w:r>
      <w:r w:rsidR="00963155" w:rsidRPr="00097548">
        <w:rPr>
          <w:lang w:val="en-GB"/>
        </w:rPr>
        <w:t>, it</w:t>
      </w:r>
      <w:r w:rsidR="00266CA1" w:rsidRPr="00097548">
        <w:rPr>
          <w:lang w:val="en-GB"/>
        </w:rPr>
        <w:t xml:space="preserve"> was </w:t>
      </w:r>
      <w:r w:rsidR="00347E2B" w:rsidRPr="00097548">
        <w:rPr>
          <w:lang w:val="en-GB"/>
        </w:rPr>
        <w:t xml:space="preserve">important </w:t>
      </w:r>
      <w:r w:rsidR="00266CA1" w:rsidRPr="00097548">
        <w:rPr>
          <w:lang w:val="en-GB"/>
        </w:rPr>
        <w:t xml:space="preserve">to account for the </w:t>
      </w:r>
      <w:r w:rsidR="004A4303" w:rsidRPr="00097548">
        <w:rPr>
          <w:lang w:val="en-GB"/>
        </w:rPr>
        <w:t xml:space="preserve">benefits </w:t>
      </w:r>
      <w:r w:rsidR="00266CA1" w:rsidRPr="00097548">
        <w:rPr>
          <w:lang w:val="en-GB"/>
        </w:rPr>
        <w:t xml:space="preserve">of being prepared </w:t>
      </w:r>
      <w:r w:rsidR="004A4303" w:rsidRPr="00097548">
        <w:rPr>
          <w:lang w:val="en-GB"/>
        </w:rPr>
        <w:t xml:space="preserve">for </w:t>
      </w:r>
      <w:r w:rsidR="00CA6FA6" w:rsidRPr="00097548">
        <w:rPr>
          <w:lang w:val="en-GB"/>
        </w:rPr>
        <w:t xml:space="preserve">a catastrophic </w:t>
      </w:r>
      <w:r w:rsidR="00266CA1" w:rsidRPr="00097548">
        <w:rPr>
          <w:lang w:val="en-GB"/>
        </w:rPr>
        <w:t xml:space="preserve">emergence of </w:t>
      </w:r>
      <w:r w:rsidR="00CA6FA6" w:rsidRPr="00097548">
        <w:rPr>
          <w:lang w:val="en-GB"/>
        </w:rPr>
        <w:t>widespread multi</w:t>
      </w:r>
      <w:r w:rsidR="00347E2B" w:rsidRPr="00097548">
        <w:rPr>
          <w:lang w:val="en-GB"/>
        </w:rPr>
        <w:t>-</w:t>
      </w:r>
      <w:r w:rsidR="00CA6FA6" w:rsidRPr="00097548">
        <w:rPr>
          <w:lang w:val="en-GB"/>
        </w:rPr>
        <w:t>drug</w:t>
      </w:r>
      <w:r w:rsidR="00091C5C" w:rsidRPr="00097548">
        <w:rPr>
          <w:lang w:val="en-GB"/>
        </w:rPr>
        <w:t>-</w:t>
      </w:r>
      <w:r w:rsidR="00347E2B" w:rsidRPr="00097548">
        <w:rPr>
          <w:lang w:val="en-GB"/>
        </w:rPr>
        <w:t xml:space="preserve">resistant </w:t>
      </w:r>
      <w:r w:rsidR="00CA6FA6" w:rsidRPr="00097548">
        <w:rPr>
          <w:lang w:val="en-GB"/>
        </w:rPr>
        <w:t>infections</w:t>
      </w:r>
      <w:r w:rsidR="00DE6907" w:rsidRPr="00097548">
        <w:rPr>
          <w:lang w:val="en-GB"/>
        </w:rPr>
        <w:t xml:space="preserve"> (</w:t>
      </w:r>
      <w:r w:rsidR="004A4303" w:rsidRPr="00097548">
        <w:rPr>
          <w:lang w:val="en-GB"/>
        </w:rPr>
        <w:t>sometimes</w:t>
      </w:r>
      <w:r w:rsidR="00775443" w:rsidRPr="00097548">
        <w:rPr>
          <w:lang w:val="en-GB"/>
        </w:rPr>
        <w:t xml:space="preserve"> </w:t>
      </w:r>
      <w:r w:rsidR="00DE6907" w:rsidRPr="00097548">
        <w:rPr>
          <w:lang w:val="en-GB"/>
        </w:rPr>
        <w:t>referred to as ‘insurance value’</w:t>
      </w:r>
      <w:r w:rsidR="004A4303" w:rsidRPr="00097548">
        <w:rPr>
          <w:lang w:val="en-GB"/>
        </w:rPr>
        <w:t xml:space="preserve">, see </w:t>
      </w:r>
      <w:r w:rsidR="00192ADD" w:rsidRPr="00097548">
        <w:rPr>
          <w:lang w:val="en-GB"/>
        </w:rPr>
        <w:t xml:space="preserve">section </w:t>
      </w:r>
      <w:r w:rsidR="009B5DCA">
        <w:rPr>
          <w:lang w:val="en-GB"/>
        </w:rPr>
        <w:t>4</w:t>
      </w:r>
      <w:r w:rsidR="004A4303" w:rsidRPr="00097548">
        <w:rPr>
          <w:lang w:val="en-GB"/>
        </w:rPr>
        <w:t>.2</w:t>
      </w:r>
      <w:r w:rsidR="00737B8E" w:rsidRPr="00097548">
        <w:rPr>
          <w:lang w:val="en-GB"/>
        </w:rPr>
        <w:t>2</w:t>
      </w:r>
      <w:r w:rsidR="00DE6907" w:rsidRPr="00097548">
        <w:rPr>
          <w:lang w:val="en-GB"/>
        </w:rPr>
        <w:t>)</w:t>
      </w:r>
      <w:r w:rsidR="00266CA1" w:rsidRPr="00097548">
        <w:rPr>
          <w:lang w:val="en-GB"/>
        </w:rPr>
        <w:t xml:space="preserve">. </w:t>
      </w:r>
      <w:r w:rsidR="00CA6FA6" w:rsidRPr="00097548">
        <w:rPr>
          <w:lang w:val="en-GB"/>
        </w:rPr>
        <w:t xml:space="preserve">To reflect this, </w:t>
      </w:r>
      <w:r w:rsidR="00E87666" w:rsidRPr="00097548">
        <w:rPr>
          <w:lang w:val="en-GB"/>
        </w:rPr>
        <w:t xml:space="preserve">EEPRU provided </w:t>
      </w:r>
      <w:r w:rsidRPr="00097548">
        <w:rPr>
          <w:lang w:val="en-GB"/>
        </w:rPr>
        <w:t xml:space="preserve">additional exploratory </w:t>
      </w:r>
      <w:r w:rsidR="00E87666" w:rsidRPr="00097548">
        <w:rPr>
          <w:lang w:val="en-GB"/>
        </w:rPr>
        <w:lastRenderedPageBreak/>
        <w:t>scenario analyse</w:t>
      </w:r>
      <w:r w:rsidRPr="00097548">
        <w:rPr>
          <w:lang w:val="en-GB"/>
        </w:rPr>
        <w:t>s</w:t>
      </w:r>
      <w:r w:rsidR="00E87666" w:rsidRPr="00097548">
        <w:rPr>
          <w:lang w:val="en-GB"/>
        </w:rPr>
        <w:t xml:space="preserve"> </w:t>
      </w:r>
      <w:r w:rsidR="003E0E6E" w:rsidRPr="00097548">
        <w:rPr>
          <w:lang w:val="en-GB"/>
        </w:rPr>
        <w:t xml:space="preserve">to reflect a situation </w:t>
      </w:r>
      <w:r w:rsidR="00091C5C" w:rsidRPr="00097548">
        <w:rPr>
          <w:lang w:val="en-GB"/>
        </w:rPr>
        <w:t xml:space="preserve">in which </w:t>
      </w:r>
      <w:r w:rsidR="003E0E6E" w:rsidRPr="00097548">
        <w:rPr>
          <w:lang w:val="en-GB"/>
        </w:rPr>
        <w:t xml:space="preserve">a new </w:t>
      </w:r>
      <w:r w:rsidR="00DE6907" w:rsidRPr="00097548">
        <w:rPr>
          <w:lang w:val="en-GB"/>
        </w:rPr>
        <w:t xml:space="preserve">multi-drug-resistant </w:t>
      </w:r>
      <w:r w:rsidR="003E0E6E" w:rsidRPr="00097548">
        <w:rPr>
          <w:lang w:val="en-GB"/>
        </w:rPr>
        <w:t>pathogen emerge</w:t>
      </w:r>
      <w:r w:rsidR="00170AAD" w:rsidRPr="00097548">
        <w:rPr>
          <w:lang w:val="en-GB"/>
        </w:rPr>
        <w:t>s</w:t>
      </w:r>
      <w:r w:rsidR="00DE6907" w:rsidRPr="00097548">
        <w:rPr>
          <w:lang w:val="en-GB"/>
        </w:rPr>
        <w:t xml:space="preserve">, </w:t>
      </w:r>
      <w:r w:rsidR="0088516E" w:rsidRPr="00097548">
        <w:rPr>
          <w:lang w:val="en-GB"/>
        </w:rPr>
        <w:t>against which</w:t>
      </w:r>
      <w:r w:rsidR="006F2410" w:rsidRPr="00097548">
        <w:rPr>
          <w:lang w:val="en-GB"/>
        </w:rPr>
        <w:t xml:space="preserve"> </w:t>
      </w:r>
      <w:proofErr w:type="spellStart"/>
      <w:r w:rsidR="00357080" w:rsidRPr="00097548">
        <w:rPr>
          <w:lang w:val="en-GB"/>
        </w:rPr>
        <w:t>cefiderocol</w:t>
      </w:r>
      <w:proofErr w:type="spellEnd"/>
      <w:r w:rsidRPr="00097548">
        <w:rPr>
          <w:lang w:val="en-GB"/>
        </w:rPr>
        <w:t xml:space="preserve"> is the only effective treatment.</w:t>
      </w:r>
      <w:r w:rsidR="008A26FF" w:rsidRPr="00097548">
        <w:rPr>
          <w:lang w:val="en-GB"/>
        </w:rPr>
        <w:t xml:space="preserve"> </w:t>
      </w:r>
      <w:r w:rsidR="003370E5" w:rsidRPr="00097548">
        <w:rPr>
          <w:lang w:val="en-GB"/>
        </w:rPr>
        <w:t>I</w:t>
      </w:r>
      <w:r w:rsidR="003839B0" w:rsidRPr="00097548">
        <w:rPr>
          <w:lang w:val="en-GB"/>
        </w:rPr>
        <w:t xml:space="preserve">n </w:t>
      </w:r>
      <w:r w:rsidR="003E0E6E" w:rsidRPr="00097548">
        <w:rPr>
          <w:lang w:val="en-GB"/>
        </w:rPr>
        <w:t xml:space="preserve">the </w:t>
      </w:r>
      <w:r w:rsidR="003839B0" w:rsidRPr="00097548">
        <w:rPr>
          <w:lang w:val="en-GB"/>
        </w:rPr>
        <w:t xml:space="preserve">absence of evidence to inform </w:t>
      </w:r>
      <w:r w:rsidR="0088516E" w:rsidRPr="00097548">
        <w:rPr>
          <w:lang w:val="en-GB"/>
        </w:rPr>
        <w:t xml:space="preserve">the probability, </w:t>
      </w:r>
      <w:proofErr w:type="gramStart"/>
      <w:r w:rsidR="0088516E" w:rsidRPr="00097548">
        <w:rPr>
          <w:lang w:val="en-GB"/>
        </w:rPr>
        <w:t>timing</w:t>
      </w:r>
      <w:proofErr w:type="gramEnd"/>
      <w:r w:rsidR="0088516E" w:rsidRPr="00097548">
        <w:rPr>
          <w:lang w:val="en-GB"/>
        </w:rPr>
        <w:t xml:space="preserve"> and impact of such an event</w:t>
      </w:r>
      <w:r w:rsidR="003839B0" w:rsidRPr="00097548">
        <w:rPr>
          <w:lang w:val="en-GB"/>
        </w:rPr>
        <w:t>,</w:t>
      </w:r>
      <w:r w:rsidR="00214C2A" w:rsidRPr="00097548">
        <w:rPr>
          <w:lang w:val="en-GB"/>
        </w:rPr>
        <w:t xml:space="preserve"> </w:t>
      </w:r>
      <w:r w:rsidR="0088516E" w:rsidRPr="00097548">
        <w:rPr>
          <w:lang w:val="en-GB"/>
        </w:rPr>
        <w:t xml:space="preserve">EEPRU used the following estimates </w:t>
      </w:r>
      <w:r w:rsidR="00091C5C" w:rsidRPr="00097548">
        <w:rPr>
          <w:lang w:val="en-GB"/>
        </w:rPr>
        <w:t>suggested by</w:t>
      </w:r>
      <w:r w:rsidR="0088516E" w:rsidRPr="00097548">
        <w:rPr>
          <w:lang w:val="en-GB"/>
        </w:rPr>
        <w:t xml:space="preserve"> </w:t>
      </w:r>
      <w:r w:rsidR="003E0E6E" w:rsidRPr="00097548">
        <w:rPr>
          <w:lang w:val="en-GB"/>
        </w:rPr>
        <w:t xml:space="preserve">a committee member with specialist </w:t>
      </w:r>
      <w:r w:rsidR="003839B0" w:rsidRPr="00097548">
        <w:rPr>
          <w:lang w:val="en-GB"/>
        </w:rPr>
        <w:t>expert</w:t>
      </w:r>
      <w:r w:rsidR="003E0E6E" w:rsidRPr="00097548">
        <w:rPr>
          <w:lang w:val="en-GB"/>
        </w:rPr>
        <w:t>ise in infectio</w:t>
      </w:r>
      <w:r w:rsidR="00357080" w:rsidRPr="00097548">
        <w:rPr>
          <w:lang w:val="en-GB"/>
        </w:rPr>
        <w:t>us</w:t>
      </w:r>
      <w:r w:rsidR="003E0E6E" w:rsidRPr="00097548">
        <w:rPr>
          <w:lang w:val="en-GB"/>
        </w:rPr>
        <w:t xml:space="preserve"> disease</w:t>
      </w:r>
      <w:r w:rsidR="0088516E" w:rsidRPr="00097548">
        <w:rPr>
          <w:lang w:val="en-GB"/>
        </w:rPr>
        <w:t>:</w:t>
      </w:r>
    </w:p>
    <w:p w14:paraId="7371CF79" w14:textId="490721FD" w:rsidR="0088516E" w:rsidRPr="00097548" w:rsidRDefault="003C3869" w:rsidP="00D5220B">
      <w:pPr>
        <w:pStyle w:val="Bulletindent1"/>
        <w:numPr>
          <w:ilvl w:val="0"/>
          <w:numId w:val="24"/>
        </w:numPr>
        <w:tabs>
          <w:tab w:val="num" w:pos="1418"/>
        </w:tabs>
        <w:ind w:left="1418" w:hanging="284"/>
      </w:pPr>
      <w:r w:rsidRPr="00097548">
        <w:t>p</w:t>
      </w:r>
      <w:r w:rsidR="00214C2A" w:rsidRPr="00097548">
        <w:t xml:space="preserve">robability of </w:t>
      </w:r>
      <w:r w:rsidR="00BE139D" w:rsidRPr="00097548">
        <w:t xml:space="preserve">the </w:t>
      </w:r>
      <w:r w:rsidR="00214C2A" w:rsidRPr="00097548">
        <w:t xml:space="preserve">emergence of highly resistant </w:t>
      </w:r>
      <w:r w:rsidR="00BE139D" w:rsidRPr="00097548">
        <w:t>pathogen(s): 1%</w:t>
      </w:r>
    </w:p>
    <w:p w14:paraId="09670662" w14:textId="09266589" w:rsidR="0088516E" w:rsidRPr="00097548" w:rsidRDefault="00214C2A" w:rsidP="00D5220B">
      <w:pPr>
        <w:pStyle w:val="Bulletindent1"/>
        <w:numPr>
          <w:ilvl w:val="0"/>
          <w:numId w:val="24"/>
        </w:numPr>
        <w:tabs>
          <w:tab w:val="num" w:pos="1418"/>
        </w:tabs>
        <w:ind w:left="1418" w:hanging="284"/>
      </w:pPr>
      <w:r w:rsidRPr="00097548">
        <w:t>time to event</w:t>
      </w:r>
      <w:r w:rsidR="00BE139D" w:rsidRPr="00097548">
        <w:t>: 10 years</w:t>
      </w:r>
    </w:p>
    <w:p w14:paraId="788081AB" w14:textId="36CF2512" w:rsidR="0088516E" w:rsidRPr="00097548" w:rsidRDefault="00214C2A" w:rsidP="00D5220B">
      <w:pPr>
        <w:pStyle w:val="Bulletindent1"/>
        <w:numPr>
          <w:ilvl w:val="0"/>
          <w:numId w:val="24"/>
        </w:numPr>
        <w:tabs>
          <w:tab w:val="num" w:pos="1418"/>
        </w:tabs>
        <w:ind w:left="1418" w:hanging="284"/>
      </w:pPr>
      <w:r w:rsidRPr="00097548">
        <w:t xml:space="preserve">number of </w:t>
      </w:r>
      <w:r w:rsidR="00BE139D" w:rsidRPr="00097548">
        <w:t xml:space="preserve">people </w:t>
      </w:r>
      <w:r w:rsidRPr="00097548">
        <w:t>affected in the first year</w:t>
      </w:r>
      <w:r w:rsidR="00BE139D" w:rsidRPr="00097548">
        <w:t>: 25</w:t>
      </w:r>
    </w:p>
    <w:p w14:paraId="1E38FC59" w14:textId="0D4EE07D" w:rsidR="0088516E" w:rsidRPr="00097548" w:rsidRDefault="00214C2A" w:rsidP="00D5220B">
      <w:pPr>
        <w:pStyle w:val="Bulletindent1last"/>
        <w:numPr>
          <w:ilvl w:val="0"/>
          <w:numId w:val="24"/>
        </w:numPr>
        <w:tabs>
          <w:tab w:val="num" w:pos="1418"/>
        </w:tabs>
        <w:ind w:left="1418" w:hanging="284"/>
      </w:pPr>
      <w:r w:rsidRPr="00097548">
        <w:t>annual growth in number of infections</w:t>
      </w:r>
      <w:r w:rsidR="00BE139D" w:rsidRPr="00097548">
        <w:t>: 20%</w:t>
      </w:r>
      <w:r w:rsidR="00737B8E" w:rsidRPr="00097548">
        <w:t>.</w:t>
      </w:r>
    </w:p>
    <w:p w14:paraId="7A81C1D4" w14:textId="05D66FA0" w:rsidR="002753C3" w:rsidRPr="00097548" w:rsidRDefault="00B24F37" w:rsidP="006F2410">
      <w:pPr>
        <w:pStyle w:val="Numberedlevel2text"/>
        <w:numPr>
          <w:ilvl w:val="0"/>
          <w:numId w:val="0"/>
        </w:numPr>
        <w:ind w:left="1134"/>
        <w:rPr>
          <w:lang w:val="en-GB"/>
        </w:rPr>
      </w:pPr>
      <w:r w:rsidRPr="00097548">
        <w:rPr>
          <w:lang w:val="en-GB"/>
        </w:rPr>
        <w:t>EEPRU explored the impact of varying these parameter estimates using plausible ranges provided by the same committee member.</w:t>
      </w:r>
      <w:r w:rsidR="008A26FF" w:rsidRPr="00097548">
        <w:rPr>
          <w:lang w:val="en-GB"/>
        </w:rPr>
        <w:t xml:space="preserve"> </w:t>
      </w:r>
      <w:r w:rsidR="003C3869" w:rsidRPr="00097548">
        <w:rPr>
          <w:lang w:val="en-GB"/>
        </w:rPr>
        <w:t>EEPRU maintained t</w:t>
      </w:r>
      <w:r w:rsidR="008A26FF" w:rsidRPr="00097548">
        <w:rPr>
          <w:lang w:val="en-GB"/>
        </w:rPr>
        <w:t xml:space="preserve">he susceptibility to </w:t>
      </w:r>
      <w:proofErr w:type="spellStart"/>
      <w:r w:rsidR="00F86732" w:rsidRPr="00097548">
        <w:rPr>
          <w:lang w:val="en-GB"/>
        </w:rPr>
        <w:t>cefiderocol</w:t>
      </w:r>
      <w:proofErr w:type="spellEnd"/>
      <w:r w:rsidR="00F86732" w:rsidRPr="00097548">
        <w:rPr>
          <w:lang w:val="en-GB"/>
        </w:rPr>
        <w:t xml:space="preserve"> </w:t>
      </w:r>
      <w:r w:rsidR="008A26FF" w:rsidRPr="00097548">
        <w:rPr>
          <w:lang w:val="en-GB"/>
        </w:rPr>
        <w:t xml:space="preserve">at 90% over </w:t>
      </w:r>
      <w:r w:rsidR="00DC6842" w:rsidRPr="00097548">
        <w:rPr>
          <w:lang w:val="en-GB"/>
        </w:rPr>
        <w:t xml:space="preserve">the </w:t>
      </w:r>
      <w:r w:rsidR="008A26FF" w:rsidRPr="00097548">
        <w:rPr>
          <w:lang w:val="en-GB"/>
        </w:rPr>
        <w:t>long</w:t>
      </w:r>
      <w:r w:rsidR="00DC6842" w:rsidRPr="00097548">
        <w:rPr>
          <w:lang w:val="en-GB"/>
        </w:rPr>
        <w:t xml:space="preserve"> </w:t>
      </w:r>
      <w:r w:rsidR="008A26FF" w:rsidRPr="00097548">
        <w:rPr>
          <w:lang w:val="en-GB"/>
        </w:rPr>
        <w:t xml:space="preserve">term. </w:t>
      </w:r>
      <w:r w:rsidR="00C002C6" w:rsidRPr="00097548">
        <w:rPr>
          <w:lang w:val="en-GB"/>
        </w:rPr>
        <w:t xml:space="preserve">For </w:t>
      </w:r>
      <w:r w:rsidR="00E7232A" w:rsidRPr="00097548">
        <w:rPr>
          <w:lang w:val="en-GB"/>
        </w:rPr>
        <w:t xml:space="preserve">the </w:t>
      </w:r>
      <w:r w:rsidR="00C002C6" w:rsidRPr="00097548">
        <w:rPr>
          <w:lang w:val="en-GB"/>
        </w:rPr>
        <w:t xml:space="preserve">scenario </w:t>
      </w:r>
      <w:r w:rsidR="00DC6842" w:rsidRPr="00097548">
        <w:rPr>
          <w:lang w:val="en-GB"/>
        </w:rPr>
        <w:t xml:space="preserve">in which </w:t>
      </w:r>
      <w:r w:rsidR="00C002C6" w:rsidRPr="00097548">
        <w:rPr>
          <w:lang w:val="en-GB"/>
        </w:rPr>
        <w:t>a new multi-</w:t>
      </w:r>
      <w:r w:rsidR="00DC6842" w:rsidRPr="00097548">
        <w:rPr>
          <w:lang w:val="en-GB"/>
        </w:rPr>
        <w:t>drug-</w:t>
      </w:r>
      <w:r w:rsidR="00C002C6" w:rsidRPr="00097548">
        <w:rPr>
          <w:lang w:val="en-GB"/>
        </w:rPr>
        <w:t>resistant organism emerge</w:t>
      </w:r>
      <w:r w:rsidR="00E7232A" w:rsidRPr="00097548">
        <w:rPr>
          <w:lang w:val="en-GB"/>
        </w:rPr>
        <w:t>d</w:t>
      </w:r>
      <w:r w:rsidR="00C002C6" w:rsidRPr="00097548">
        <w:rPr>
          <w:lang w:val="en-GB"/>
        </w:rPr>
        <w:t xml:space="preserve">, </w:t>
      </w:r>
      <w:r w:rsidR="00A65651" w:rsidRPr="00097548">
        <w:rPr>
          <w:lang w:val="en-GB"/>
        </w:rPr>
        <w:t>EEPRU presented</w:t>
      </w:r>
      <w:r w:rsidR="001743E0" w:rsidRPr="00097548">
        <w:rPr>
          <w:lang w:val="en-GB"/>
        </w:rPr>
        <w:t xml:space="preserve"> incremental net health benefit</w:t>
      </w:r>
      <w:r w:rsidR="00A65651" w:rsidRPr="00097548">
        <w:rPr>
          <w:lang w:val="en-GB"/>
        </w:rPr>
        <w:t xml:space="preserve"> results for infection site</w:t>
      </w:r>
      <w:r w:rsidR="00C002C6" w:rsidRPr="00097548">
        <w:rPr>
          <w:lang w:val="en-GB"/>
        </w:rPr>
        <w:t>s</w:t>
      </w:r>
      <w:r w:rsidR="00A65651" w:rsidRPr="00097548">
        <w:rPr>
          <w:lang w:val="en-GB"/>
        </w:rPr>
        <w:t xml:space="preserve"> </w:t>
      </w:r>
      <w:r w:rsidR="002B757F" w:rsidRPr="00097548">
        <w:rPr>
          <w:lang w:val="en-GB"/>
        </w:rPr>
        <w:t>separately</w:t>
      </w:r>
      <w:r w:rsidR="00C002C6" w:rsidRPr="00097548">
        <w:rPr>
          <w:lang w:val="en-GB"/>
        </w:rPr>
        <w:t xml:space="preserve">. </w:t>
      </w:r>
      <w:r w:rsidR="00E7232A" w:rsidRPr="00097548">
        <w:rPr>
          <w:lang w:val="en-GB"/>
        </w:rPr>
        <w:t xml:space="preserve">It </w:t>
      </w:r>
      <w:r w:rsidR="00A65651" w:rsidRPr="00097548">
        <w:rPr>
          <w:lang w:val="en-GB"/>
        </w:rPr>
        <w:t>w</w:t>
      </w:r>
      <w:r w:rsidR="00C002C6" w:rsidRPr="00097548">
        <w:rPr>
          <w:lang w:val="en-GB"/>
        </w:rPr>
        <w:t>as</w:t>
      </w:r>
      <w:r w:rsidR="00A65651" w:rsidRPr="00097548">
        <w:rPr>
          <w:lang w:val="en-GB"/>
        </w:rPr>
        <w:t xml:space="preserve"> unable</w:t>
      </w:r>
      <w:r w:rsidR="001F3EBA" w:rsidRPr="00097548">
        <w:rPr>
          <w:lang w:val="en-GB"/>
        </w:rPr>
        <w:t xml:space="preserve"> to</w:t>
      </w:r>
      <w:r w:rsidR="00A65651" w:rsidRPr="00097548">
        <w:rPr>
          <w:lang w:val="en-GB"/>
        </w:rPr>
        <w:t xml:space="preserve"> present the overall population-level results across all infection sites because </w:t>
      </w:r>
      <w:r w:rsidR="00C002C6" w:rsidRPr="00097548">
        <w:rPr>
          <w:lang w:val="en-GB"/>
        </w:rPr>
        <w:t>it lacked</w:t>
      </w:r>
      <w:r w:rsidR="00A65651" w:rsidRPr="00097548">
        <w:rPr>
          <w:lang w:val="en-GB"/>
        </w:rPr>
        <w:t xml:space="preserve"> evidence for the proportion of patients </w:t>
      </w:r>
      <w:r w:rsidR="00E7232A" w:rsidRPr="00097548">
        <w:rPr>
          <w:lang w:val="en-GB"/>
        </w:rPr>
        <w:t xml:space="preserve">for </w:t>
      </w:r>
      <w:r w:rsidR="00A65651" w:rsidRPr="00097548">
        <w:rPr>
          <w:lang w:val="en-GB"/>
        </w:rPr>
        <w:t xml:space="preserve">each site. </w:t>
      </w:r>
      <w:r w:rsidR="00495AA3" w:rsidRPr="00097548">
        <w:rPr>
          <w:lang w:val="en-GB"/>
        </w:rPr>
        <w:t xml:space="preserve">The committee would have preferred to see results for the total population. It was also concerned that the scenario did not </w:t>
      </w:r>
      <w:r w:rsidR="004A4303" w:rsidRPr="00097548">
        <w:rPr>
          <w:lang w:val="en-GB"/>
        </w:rPr>
        <w:t>include</w:t>
      </w:r>
      <w:r w:rsidR="00E7232A" w:rsidRPr="00097548">
        <w:rPr>
          <w:lang w:val="en-GB"/>
        </w:rPr>
        <w:t xml:space="preserve"> </w:t>
      </w:r>
      <w:r w:rsidR="00495AA3" w:rsidRPr="00097548">
        <w:rPr>
          <w:lang w:val="en-GB"/>
        </w:rPr>
        <w:t>the pathogens modelled in the base</w:t>
      </w:r>
      <w:r w:rsidR="00E7232A" w:rsidRPr="00097548">
        <w:rPr>
          <w:lang w:val="en-GB"/>
        </w:rPr>
        <w:t>-</w:t>
      </w:r>
      <w:r w:rsidR="00495AA3" w:rsidRPr="00097548">
        <w:rPr>
          <w:lang w:val="en-GB"/>
        </w:rPr>
        <w:t xml:space="preserve">case analysis. </w:t>
      </w:r>
      <w:r w:rsidR="001F3DA0" w:rsidRPr="00097548">
        <w:rPr>
          <w:lang w:val="en-GB"/>
        </w:rPr>
        <w:t>The c</w:t>
      </w:r>
      <w:r w:rsidR="00A82FA2" w:rsidRPr="00097548">
        <w:rPr>
          <w:lang w:val="en-GB"/>
        </w:rPr>
        <w:t xml:space="preserve">ommittee </w:t>
      </w:r>
      <w:r w:rsidR="004A4303" w:rsidRPr="00097548">
        <w:rPr>
          <w:lang w:val="en-GB"/>
        </w:rPr>
        <w:t xml:space="preserve">considered </w:t>
      </w:r>
      <w:r w:rsidR="00A82FA2" w:rsidRPr="00097548">
        <w:rPr>
          <w:lang w:val="en-GB"/>
        </w:rPr>
        <w:t>that resistance</w:t>
      </w:r>
      <w:r w:rsidR="001F3DA0" w:rsidRPr="00097548">
        <w:rPr>
          <w:lang w:val="en-GB"/>
        </w:rPr>
        <w:t xml:space="preserve"> to comparators</w:t>
      </w:r>
      <w:r w:rsidR="00A82FA2" w:rsidRPr="00097548">
        <w:rPr>
          <w:lang w:val="en-GB"/>
        </w:rPr>
        <w:t xml:space="preserve"> </w:t>
      </w:r>
      <w:r w:rsidR="00B11493" w:rsidRPr="00097548">
        <w:rPr>
          <w:lang w:val="en-GB"/>
        </w:rPr>
        <w:t>was likely to increase</w:t>
      </w:r>
      <w:r w:rsidR="000D2259" w:rsidRPr="00097548">
        <w:rPr>
          <w:lang w:val="en-GB"/>
        </w:rPr>
        <w:t xml:space="preserve">, </w:t>
      </w:r>
      <w:bookmarkStart w:id="17" w:name="_Hlk96007498"/>
      <w:r w:rsidR="000D2259" w:rsidRPr="00097548">
        <w:rPr>
          <w:lang w:val="en-GB"/>
        </w:rPr>
        <w:t xml:space="preserve">but </w:t>
      </w:r>
      <w:r w:rsidR="004A4303" w:rsidRPr="00097548">
        <w:rPr>
          <w:lang w:val="en-GB"/>
        </w:rPr>
        <w:t>that</w:t>
      </w:r>
      <w:r w:rsidR="00A65651" w:rsidRPr="00097548">
        <w:rPr>
          <w:lang w:val="en-GB"/>
        </w:rPr>
        <w:t xml:space="preserve"> EEPRU’s scenario analysis </w:t>
      </w:r>
      <w:bookmarkEnd w:id="17"/>
      <w:r w:rsidR="004A4303" w:rsidRPr="00097548">
        <w:rPr>
          <w:lang w:val="en-GB"/>
        </w:rPr>
        <w:t>was</w:t>
      </w:r>
      <w:r w:rsidR="000D2259" w:rsidRPr="00097548">
        <w:rPr>
          <w:lang w:val="en-GB"/>
        </w:rPr>
        <w:t xml:space="preserve"> highly uncertain</w:t>
      </w:r>
      <w:r w:rsidR="004A4303" w:rsidRPr="00097548">
        <w:rPr>
          <w:lang w:val="en-GB"/>
        </w:rPr>
        <w:t>,</w:t>
      </w:r>
      <w:r w:rsidR="00495AA3" w:rsidRPr="00097548">
        <w:rPr>
          <w:lang w:val="en-GB"/>
        </w:rPr>
        <w:t xml:space="preserve"> and </w:t>
      </w:r>
      <w:r w:rsidR="004A4303" w:rsidRPr="00097548">
        <w:rPr>
          <w:lang w:val="en-GB"/>
        </w:rPr>
        <w:t xml:space="preserve">was </w:t>
      </w:r>
      <w:r w:rsidR="00495AA3" w:rsidRPr="00097548">
        <w:rPr>
          <w:lang w:val="en-GB"/>
        </w:rPr>
        <w:t xml:space="preserve">not entirely relevant to </w:t>
      </w:r>
      <w:r w:rsidR="00E7232A" w:rsidRPr="00097548">
        <w:rPr>
          <w:lang w:val="en-GB"/>
        </w:rPr>
        <w:t xml:space="preserve">the </w:t>
      </w:r>
      <w:r w:rsidR="00A65651" w:rsidRPr="00097548">
        <w:rPr>
          <w:lang w:val="en-GB"/>
        </w:rPr>
        <w:t>population under consideration</w:t>
      </w:r>
      <w:r w:rsidR="000D2259" w:rsidRPr="00097548">
        <w:rPr>
          <w:lang w:val="en-GB"/>
        </w:rPr>
        <w:t>.</w:t>
      </w:r>
      <w:r w:rsidR="004A4303" w:rsidRPr="00097548">
        <w:rPr>
          <w:lang w:val="en-GB"/>
        </w:rPr>
        <w:t xml:space="preserve"> The committee recognised EEPRU’s challenges when modelling the unknown</w:t>
      </w:r>
      <w:r w:rsidR="00AC5EEE" w:rsidRPr="00097548">
        <w:rPr>
          <w:lang w:val="en-GB"/>
        </w:rPr>
        <w:t xml:space="preserve">. </w:t>
      </w:r>
      <w:r w:rsidR="00A108FC">
        <w:rPr>
          <w:lang w:val="en-GB"/>
        </w:rPr>
        <w:t>I</w:t>
      </w:r>
      <w:r w:rsidR="00AC5EEE" w:rsidRPr="00097548">
        <w:rPr>
          <w:lang w:val="en-GB"/>
        </w:rPr>
        <w:t>t</w:t>
      </w:r>
      <w:r w:rsidR="004A4303" w:rsidRPr="00097548">
        <w:rPr>
          <w:lang w:val="en-GB"/>
        </w:rPr>
        <w:t xml:space="preserve"> </w:t>
      </w:r>
      <w:r w:rsidR="00B62ED5" w:rsidRPr="00097548">
        <w:rPr>
          <w:lang w:val="en-GB"/>
        </w:rPr>
        <w:t xml:space="preserve">also </w:t>
      </w:r>
      <w:r w:rsidR="004A4303" w:rsidRPr="00097548">
        <w:rPr>
          <w:lang w:val="en-GB"/>
        </w:rPr>
        <w:t>concluded that the model underestimate</w:t>
      </w:r>
      <w:r w:rsidR="00B62ED5" w:rsidRPr="00097548">
        <w:rPr>
          <w:lang w:val="en-GB"/>
        </w:rPr>
        <w:t>s</w:t>
      </w:r>
      <w:r w:rsidR="004A4303" w:rsidRPr="00097548">
        <w:rPr>
          <w:lang w:val="en-GB"/>
        </w:rPr>
        <w:t xml:space="preserve"> the benefits of </w:t>
      </w:r>
      <w:proofErr w:type="spellStart"/>
      <w:r w:rsidR="004A4303" w:rsidRPr="00097548">
        <w:rPr>
          <w:lang w:val="en-GB"/>
        </w:rPr>
        <w:t>cefiderocol</w:t>
      </w:r>
      <w:proofErr w:type="spellEnd"/>
      <w:r w:rsidR="004A4303" w:rsidRPr="00097548">
        <w:rPr>
          <w:lang w:val="en-GB"/>
        </w:rPr>
        <w:t xml:space="preserve"> by no</w:t>
      </w:r>
      <w:r w:rsidR="00B62ED5" w:rsidRPr="00097548">
        <w:rPr>
          <w:lang w:val="en-GB"/>
        </w:rPr>
        <w:t>t</w:t>
      </w:r>
      <w:r w:rsidR="004A4303" w:rsidRPr="00097548">
        <w:rPr>
          <w:lang w:val="en-GB"/>
        </w:rPr>
        <w:t xml:space="preserve"> accounting for increased resistance to comparators.</w:t>
      </w:r>
    </w:p>
    <w:p w14:paraId="6F1AF678" w14:textId="2284475B" w:rsidR="0002011A" w:rsidRPr="00097548" w:rsidRDefault="00AD209D" w:rsidP="0002011A">
      <w:pPr>
        <w:pStyle w:val="Heading3"/>
      </w:pPr>
      <w:r w:rsidRPr="00097548">
        <w:t>A</w:t>
      </w:r>
      <w:r w:rsidR="00562F9D" w:rsidRPr="00097548">
        <w:t>pproximately 20% of people would</w:t>
      </w:r>
      <w:r w:rsidR="00052407" w:rsidRPr="00097548">
        <w:t xml:space="preserve"> </w:t>
      </w:r>
      <w:r w:rsidR="00562F9D" w:rsidRPr="00097548">
        <w:t>n</w:t>
      </w:r>
      <w:r w:rsidR="00052407" w:rsidRPr="00097548">
        <w:t>o</w:t>
      </w:r>
      <w:r w:rsidR="00562F9D" w:rsidRPr="00097548">
        <w:t xml:space="preserve">t </w:t>
      </w:r>
      <w:r w:rsidR="005726E2" w:rsidRPr="00097548">
        <w:t>be offered</w:t>
      </w:r>
      <w:r w:rsidR="00E07308" w:rsidRPr="00097548">
        <w:t xml:space="preserve"> colistin or </w:t>
      </w:r>
      <w:r w:rsidR="00052407" w:rsidRPr="00097548">
        <w:t xml:space="preserve">an </w:t>
      </w:r>
      <w:r w:rsidR="00E07308" w:rsidRPr="00097548">
        <w:t>aminoglycoside</w:t>
      </w:r>
      <w:r w:rsidR="00562F9D" w:rsidRPr="00097548">
        <w:t xml:space="preserve">, even if no other effective antimicrobial </w:t>
      </w:r>
      <w:r w:rsidR="00052407" w:rsidRPr="00097548">
        <w:t>were</w:t>
      </w:r>
      <w:r w:rsidR="00562F9D" w:rsidRPr="00097548">
        <w:t xml:space="preserve"> available</w:t>
      </w:r>
    </w:p>
    <w:p w14:paraId="700C9E3B" w14:textId="0D2B4CC5" w:rsidR="0002011A" w:rsidRPr="00097548" w:rsidRDefault="003114AD" w:rsidP="0002011A">
      <w:pPr>
        <w:pStyle w:val="Numberedlevel2text"/>
        <w:rPr>
          <w:lang w:val="en-GB"/>
        </w:rPr>
      </w:pPr>
      <w:r w:rsidRPr="00097548">
        <w:rPr>
          <w:lang w:val="en-GB"/>
        </w:rPr>
        <w:t>In its base</w:t>
      </w:r>
      <w:r w:rsidR="00CE2168" w:rsidRPr="00097548">
        <w:rPr>
          <w:lang w:val="en-GB"/>
        </w:rPr>
        <w:t>-</w:t>
      </w:r>
      <w:r w:rsidRPr="00097548">
        <w:rPr>
          <w:lang w:val="en-GB"/>
        </w:rPr>
        <w:t>case</w:t>
      </w:r>
      <w:r w:rsidR="00374DF0" w:rsidRPr="00097548">
        <w:rPr>
          <w:lang w:val="en-GB"/>
        </w:rPr>
        <w:t xml:space="preserve"> model</w:t>
      </w:r>
      <w:r w:rsidRPr="00097548">
        <w:rPr>
          <w:lang w:val="en-GB"/>
        </w:rPr>
        <w:t xml:space="preserve">, EEPRU assumed that a proportion of patients </w:t>
      </w:r>
      <w:r w:rsidR="00E32803" w:rsidRPr="00097548">
        <w:rPr>
          <w:lang w:val="en-GB"/>
        </w:rPr>
        <w:t xml:space="preserve">would </w:t>
      </w:r>
      <w:r w:rsidR="00052407" w:rsidRPr="00097548">
        <w:rPr>
          <w:lang w:val="en-GB"/>
        </w:rPr>
        <w:t xml:space="preserve">have infections </w:t>
      </w:r>
      <w:r w:rsidRPr="00097548">
        <w:rPr>
          <w:lang w:val="en-GB"/>
        </w:rPr>
        <w:t xml:space="preserve">resistant to </w:t>
      </w:r>
      <w:r w:rsidR="00AA0B19" w:rsidRPr="00097548">
        <w:rPr>
          <w:lang w:val="en-GB"/>
        </w:rPr>
        <w:t xml:space="preserve">all </w:t>
      </w:r>
      <w:r w:rsidRPr="00097548">
        <w:rPr>
          <w:lang w:val="en-GB"/>
        </w:rPr>
        <w:t xml:space="preserve">existing </w:t>
      </w:r>
      <w:r w:rsidR="00374DF0" w:rsidRPr="00097548">
        <w:rPr>
          <w:lang w:val="en-GB"/>
        </w:rPr>
        <w:t xml:space="preserve">antimicrobials </w:t>
      </w:r>
      <w:r w:rsidRPr="00097548">
        <w:rPr>
          <w:lang w:val="en-GB"/>
        </w:rPr>
        <w:t xml:space="preserve">other </w:t>
      </w:r>
      <w:r w:rsidR="00BB1927" w:rsidRPr="00097548">
        <w:rPr>
          <w:lang w:val="en-GB"/>
        </w:rPr>
        <w:t xml:space="preserve">than </w:t>
      </w:r>
      <w:r w:rsidRPr="00097548">
        <w:rPr>
          <w:lang w:val="en-GB"/>
        </w:rPr>
        <w:t>colistin</w:t>
      </w:r>
      <w:r w:rsidR="00052407" w:rsidRPr="00097548">
        <w:rPr>
          <w:lang w:val="en-GB"/>
        </w:rPr>
        <w:t>-</w:t>
      </w:r>
      <w:r w:rsidR="00AA0B19" w:rsidRPr="00097548">
        <w:rPr>
          <w:lang w:val="en-GB"/>
        </w:rPr>
        <w:t xml:space="preserve"> </w:t>
      </w:r>
      <w:r w:rsidR="00E07308" w:rsidRPr="00097548">
        <w:rPr>
          <w:lang w:val="en-GB"/>
        </w:rPr>
        <w:t xml:space="preserve">or </w:t>
      </w:r>
      <w:r w:rsidRPr="00097548">
        <w:rPr>
          <w:lang w:val="en-GB"/>
        </w:rPr>
        <w:t>aminoglycoside</w:t>
      </w:r>
      <w:r w:rsidR="00AA0B19" w:rsidRPr="00097548">
        <w:rPr>
          <w:lang w:val="en-GB"/>
        </w:rPr>
        <w:t>-based</w:t>
      </w:r>
      <w:r w:rsidRPr="00097548">
        <w:rPr>
          <w:lang w:val="en-GB"/>
        </w:rPr>
        <w:t xml:space="preserve"> regimen</w:t>
      </w:r>
      <w:r w:rsidR="00AA0B19" w:rsidRPr="00097548">
        <w:rPr>
          <w:lang w:val="en-GB"/>
        </w:rPr>
        <w:t>s</w:t>
      </w:r>
      <w:r w:rsidRPr="00097548">
        <w:rPr>
          <w:lang w:val="en-GB"/>
        </w:rPr>
        <w:t xml:space="preserve">. </w:t>
      </w:r>
      <w:r w:rsidR="00D55A27" w:rsidRPr="00097548">
        <w:rPr>
          <w:lang w:val="en-GB"/>
        </w:rPr>
        <w:t xml:space="preserve">However, consultation </w:t>
      </w:r>
      <w:r w:rsidR="00D55A27" w:rsidRPr="00097548">
        <w:rPr>
          <w:lang w:val="en-GB"/>
        </w:rPr>
        <w:lastRenderedPageBreak/>
        <w:t>comments</w:t>
      </w:r>
      <w:r w:rsidR="000609FA" w:rsidRPr="00097548">
        <w:rPr>
          <w:lang w:val="en-GB"/>
        </w:rPr>
        <w:t xml:space="preserve"> on EEPRU’s report</w:t>
      </w:r>
      <w:r w:rsidR="00D55A27" w:rsidRPr="00097548">
        <w:rPr>
          <w:lang w:val="en-GB"/>
        </w:rPr>
        <w:t xml:space="preserve"> highlighted </w:t>
      </w:r>
      <w:r w:rsidR="004A4303" w:rsidRPr="00097548">
        <w:rPr>
          <w:lang w:val="en-GB"/>
        </w:rPr>
        <w:t xml:space="preserve">that some people </w:t>
      </w:r>
      <w:r w:rsidR="00664D18" w:rsidRPr="00097548">
        <w:rPr>
          <w:lang w:val="en-GB"/>
        </w:rPr>
        <w:t>cannot</w:t>
      </w:r>
      <w:r w:rsidR="004A4303" w:rsidRPr="00097548">
        <w:rPr>
          <w:lang w:val="en-GB"/>
        </w:rPr>
        <w:t xml:space="preserve"> tolerate the</w:t>
      </w:r>
      <w:r w:rsidR="00680707" w:rsidRPr="00097548">
        <w:rPr>
          <w:lang w:val="en-GB"/>
        </w:rPr>
        <w:t xml:space="preserve"> </w:t>
      </w:r>
      <w:r w:rsidR="00D55A27" w:rsidRPr="00097548">
        <w:rPr>
          <w:lang w:val="en-GB"/>
        </w:rPr>
        <w:t>renal toxicity</w:t>
      </w:r>
      <w:r w:rsidR="00C0384E" w:rsidRPr="00097548">
        <w:rPr>
          <w:lang w:val="en-GB"/>
        </w:rPr>
        <w:t xml:space="preserve"> </w:t>
      </w:r>
      <w:r w:rsidR="004A4303" w:rsidRPr="00097548">
        <w:rPr>
          <w:lang w:val="en-GB"/>
        </w:rPr>
        <w:t>associated</w:t>
      </w:r>
      <w:r w:rsidR="00D55A27" w:rsidRPr="00097548">
        <w:rPr>
          <w:lang w:val="en-GB"/>
        </w:rPr>
        <w:t xml:space="preserve"> with colistin</w:t>
      </w:r>
      <w:r w:rsidR="000D3B12" w:rsidRPr="00097548">
        <w:rPr>
          <w:lang w:val="en-GB"/>
        </w:rPr>
        <w:t xml:space="preserve"> </w:t>
      </w:r>
      <w:r w:rsidR="004A4303" w:rsidRPr="00097548">
        <w:rPr>
          <w:lang w:val="en-GB"/>
        </w:rPr>
        <w:t xml:space="preserve">and </w:t>
      </w:r>
      <w:proofErr w:type="gramStart"/>
      <w:r w:rsidR="00D55A27" w:rsidRPr="00097548">
        <w:rPr>
          <w:lang w:val="en-GB"/>
        </w:rPr>
        <w:t>aminoglycosides</w:t>
      </w:r>
      <w:r w:rsidR="00C0384E" w:rsidRPr="00097548">
        <w:rPr>
          <w:lang w:val="en-GB"/>
        </w:rPr>
        <w:t>, or</w:t>
      </w:r>
      <w:proofErr w:type="gramEnd"/>
      <w:r w:rsidR="00C0384E" w:rsidRPr="00097548">
        <w:rPr>
          <w:lang w:val="en-GB"/>
        </w:rPr>
        <w:t xml:space="preserve"> tolerate </w:t>
      </w:r>
      <w:r w:rsidR="00071DD7">
        <w:rPr>
          <w:lang w:val="en-GB"/>
        </w:rPr>
        <w:t xml:space="preserve">its treatment </w:t>
      </w:r>
      <w:r w:rsidR="00D5220B">
        <w:rPr>
          <w:lang w:val="en-GB"/>
        </w:rPr>
        <w:t>–</w:t>
      </w:r>
      <w:r w:rsidR="00071DD7">
        <w:rPr>
          <w:lang w:val="en-GB"/>
        </w:rPr>
        <w:t xml:space="preserve"> </w:t>
      </w:r>
      <w:r w:rsidR="00C0384E" w:rsidRPr="00097548">
        <w:rPr>
          <w:lang w:val="en-GB"/>
        </w:rPr>
        <w:t>renal replacement therapy</w:t>
      </w:r>
      <w:r w:rsidR="00192ADD" w:rsidRPr="00097548">
        <w:rPr>
          <w:lang w:val="en-GB"/>
        </w:rPr>
        <w:t xml:space="preserve">. </w:t>
      </w:r>
      <w:r w:rsidR="00071DD7">
        <w:rPr>
          <w:lang w:val="en-GB"/>
        </w:rPr>
        <w:t xml:space="preserve">The comments noted that these people would not be offered these treatments, </w:t>
      </w:r>
      <w:r w:rsidR="00071DD7" w:rsidRPr="0092406A">
        <w:rPr>
          <w:lang w:val="en-GB"/>
        </w:rPr>
        <w:t xml:space="preserve">even if no other therapy were available. </w:t>
      </w:r>
      <w:r w:rsidR="00071DD7">
        <w:rPr>
          <w:lang w:val="en-GB"/>
        </w:rPr>
        <w:t>Instead, they</w:t>
      </w:r>
      <w:r w:rsidR="00071DD7" w:rsidRPr="0092406A">
        <w:rPr>
          <w:lang w:val="en-GB"/>
        </w:rPr>
        <w:t xml:space="preserve"> would be offered ‘multi-drug salvage therapy’</w:t>
      </w:r>
      <w:r w:rsidR="00071DD7">
        <w:rPr>
          <w:rFonts w:cs="Arial"/>
          <w:lang w:val="en-GB"/>
        </w:rPr>
        <w:t>,</w:t>
      </w:r>
      <w:r w:rsidR="00071DD7" w:rsidRPr="0092406A">
        <w:rPr>
          <w:lang w:val="en-GB"/>
        </w:rPr>
        <w:t xml:space="preserve"> a regimen combining </w:t>
      </w:r>
      <w:r w:rsidR="00071DD7">
        <w:rPr>
          <w:lang w:val="en-GB"/>
        </w:rPr>
        <w:t>multiple agents: no single drug would be expected to be effective in isolation, but there could be some benefit when used in combination</w:t>
      </w:r>
      <w:r w:rsidR="00071DD7" w:rsidRPr="0092406A">
        <w:rPr>
          <w:lang w:val="en-GB"/>
        </w:rPr>
        <w:t xml:space="preserve">. </w:t>
      </w:r>
      <w:r w:rsidR="00443A9A" w:rsidRPr="00097548">
        <w:rPr>
          <w:lang w:val="en-GB"/>
        </w:rPr>
        <w:t>EEPRU did not</w:t>
      </w:r>
      <w:r w:rsidR="009A2927" w:rsidRPr="00097548">
        <w:rPr>
          <w:lang w:val="en-GB"/>
        </w:rPr>
        <w:t xml:space="preserve"> account for </w:t>
      </w:r>
      <w:r w:rsidR="00443A9A" w:rsidRPr="00097548">
        <w:rPr>
          <w:lang w:val="en-GB"/>
        </w:rPr>
        <w:t>this in its</w:t>
      </w:r>
      <w:r w:rsidR="004A4303" w:rsidRPr="00097548">
        <w:rPr>
          <w:lang w:val="en-GB"/>
        </w:rPr>
        <w:t xml:space="preserve"> base</w:t>
      </w:r>
      <w:r w:rsidR="00775443" w:rsidRPr="00097548">
        <w:rPr>
          <w:lang w:val="en-GB"/>
        </w:rPr>
        <w:t>-</w:t>
      </w:r>
      <w:r w:rsidR="004A4303" w:rsidRPr="00097548">
        <w:rPr>
          <w:lang w:val="en-GB"/>
        </w:rPr>
        <w:t>case</w:t>
      </w:r>
      <w:r w:rsidR="00443A9A" w:rsidRPr="00097548">
        <w:rPr>
          <w:lang w:val="en-GB"/>
        </w:rPr>
        <w:t xml:space="preserve"> </w:t>
      </w:r>
      <w:r w:rsidR="009A2927" w:rsidRPr="00097548">
        <w:rPr>
          <w:lang w:val="en-GB"/>
        </w:rPr>
        <w:t>model</w:t>
      </w:r>
      <w:r w:rsidR="00D55A27" w:rsidRPr="00097548">
        <w:rPr>
          <w:lang w:val="en-GB"/>
        </w:rPr>
        <w:t xml:space="preserve">. </w:t>
      </w:r>
      <w:r w:rsidR="00A3573C" w:rsidRPr="00097548">
        <w:rPr>
          <w:lang w:val="en-GB"/>
        </w:rPr>
        <w:t>In response to the consultation</w:t>
      </w:r>
      <w:r w:rsidR="00CE0041" w:rsidRPr="00097548">
        <w:rPr>
          <w:lang w:val="en-GB"/>
        </w:rPr>
        <w:t xml:space="preserve"> </w:t>
      </w:r>
      <w:r w:rsidR="00E32803" w:rsidRPr="00097548">
        <w:rPr>
          <w:lang w:val="en-GB"/>
        </w:rPr>
        <w:t>comment</w:t>
      </w:r>
      <w:r w:rsidR="004A4303" w:rsidRPr="00097548">
        <w:rPr>
          <w:lang w:val="en-GB"/>
        </w:rPr>
        <w:t>s</w:t>
      </w:r>
      <w:r w:rsidR="00A3573C" w:rsidRPr="00097548">
        <w:rPr>
          <w:lang w:val="en-GB"/>
        </w:rPr>
        <w:t xml:space="preserve">, </w:t>
      </w:r>
      <w:r w:rsidR="00CF0AE9" w:rsidRPr="00097548">
        <w:rPr>
          <w:lang w:val="en-GB"/>
        </w:rPr>
        <w:t xml:space="preserve">EEPRU </w:t>
      </w:r>
      <w:r w:rsidR="009A2927" w:rsidRPr="00097548">
        <w:rPr>
          <w:lang w:val="en-GB"/>
        </w:rPr>
        <w:t xml:space="preserve">did a </w:t>
      </w:r>
      <w:r w:rsidR="001A7E7F" w:rsidRPr="00097548">
        <w:rPr>
          <w:lang w:val="en-GB"/>
        </w:rPr>
        <w:t>scenario</w:t>
      </w:r>
      <w:r w:rsidR="009A2927" w:rsidRPr="00097548">
        <w:rPr>
          <w:lang w:val="en-GB"/>
        </w:rPr>
        <w:t xml:space="preserve"> analysis to estimate the </w:t>
      </w:r>
      <w:r w:rsidR="00D55A27" w:rsidRPr="00097548">
        <w:rPr>
          <w:lang w:val="en-GB"/>
        </w:rPr>
        <w:t xml:space="preserve">incremental benefit of </w:t>
      </w:r>
      <w:proofErr w:type="spellStart"/>
      <w:r w:rsidR="00E20033" w:rsidRPr="00097548">
        <w:rPr>
          <w:lang w:val="en-GB"/>
        </w:rPr>
        <w:t>cefiderocol</w:t>
      </w:r>
      <w:proofErr w:type="spellEnd"/>
      <w:r w:rsidR="0051044F" w:rsidRPr="00097548">
        <w:rPr>
          <w:lang w:val="en-GB"/>
        </w:rPr>
        <w:t xml:space="preserve"> </w:t>
      </w:r>
      <w:r w:rsidR="00D55A27" w:rsidRPr="00097548">
        <w:rPr>
          <w:lang w:val="en-GB"/>
        </w:rPr>
        <w:t>in this subgroup of patients</w:t>
      </w:r>
      <w:r w:rsidR="00CF0AE9" w:rsidRPr="00097548">
        <w:rPr>
          <w:lang w:val="en-GB"/>
        </w:rPr>
        <w:t>.</w:t>
      </w:r>
      <w:r w:rsidR="00846CC0" w:rsidRPr="00097548">
        <w:rPr>
          <w:lang w:val="en-GB"/>
        </w:rPr>
        <w:t xml:space="preserve"> Rather than modelling this population separately, EEPRU derived </w:t>
      </w:r>
      <w:r w:rsidR="00972940" w:rsidRPr="00097548">
        <w:rPr>
          <w:lang w:val="en-GB"/>
        </w:rPr>
        <w:t>a weighted</w:t>
      </w:r>
      <w:r w:rsidR="00C46168" w:rsidRPr="00097548">
        <w:rPr>
          <w:lang w:val="en-GB"/>
        </w:rPr>
        <w:t xml:space="preserve"> </w:t>
      </w:r>
      <w:r w:rsidR="00846CC0" w:rsidRPr="00097548">
        <w:rPr>
          <w:lang w:val="en-GB"/>
        </w:rPr>
        <w:t>average incremental benefit</w:t>
      </w:r>
      <w:r w:rsidR="00972940" w:rsidRPr="00097548">
        <w:rPr>
          <w:lang w:val="en-GB"/>
        </w:rPr>
        <w:t xml:space="preserve"> that accounted for the </w:t>
      </w:r>
      <w:r w:rsidR="00846CC0" w:rsidRPr="00097548">
        <w:rPr>
          <w:lang w:val="en-GB"/>
        </w:rPr>
        <w:t xml:space="preserve">proportion of </w:t>
      </w:r>
      <w:r w:rsidR="00C46168" w:rsidRPr="00097548">
        <w:rPr>
          <w:lang w:val="en-GB"/>
        </w:rPr>
        <w:t xml:space="preserve">people </w:t>
      </w:r>
      <w:r w:rsidR="00846CC0" w:rsidRPr="00097548">
        <w:rPr>
          <w:lang w:val="en-GB"/>
        </w:rPr>
        <w:t>who</w:t>
      </w:r>
      <w:r w:rsidR="00E32803" w:rsidRPr="00097548">
        <w:rPr>
          <w:lang w:val="en-GB"/>
        </w:rPr>
        <w:t>se</w:t>
      </w:r>
      <w:r w:rsidR="00846CC0" w:rsidRPr="00097548">
        <w:rPr>
          <w:lang w:val="en-GB"/>
        </w:rPr>
        <w:t xml:space="preserve"> </w:t>
      </w:r>
      <w:r w:rsidR="00E32803" w:rsidRPr="00097548">
        <w:rPr>
          <w:lang w:val="en-GB"/>
        </w:rPr>
        <w:t xml:space="preserve">infection would be </w:t>
      </w:r>
      <w:r w:rsidR="00846CC0" w:rsidRPr="00097548">
        <w:rPr>
          <w:lang w:val="en-GB"/>
        </w:rPr>
        <w:t>susceptible to colistin</w:t>
      </w:r>
      <w:r w:rsidR="000D3B12" w:rsidRPr="00097548">
        <w:rPr>
          <w:lang w:val="en-GB"/>
        </w:rPr>
        <w:t xml:space="preserve"> or </w:t>
      </w:r>
      <w:r w:rsidR="00846CC0" w:rsidRPr="00097548">
        <w:rPr>
          <w:lang w:val="en-GB"/>
        </w:rPr>
        <w:t xml:space="preserve">aminoglycosides but </w:t>
      </w:r>
      <w:r w:rsidR="00F3117E">
        <w:rPr>
          <w:lang w:val="en-GB"/>
        </w:rPr>
        <w:t xml:space="preserve">who </w:t>
      </w:r>
      <w:r w:rsidR="00E32803" w:rsidRPr="00097548">
        <w:rPr>
          <w:lang w:val="en-GB"/>
        </w:rPr>
        <w:t xml:space="preserve">would </w:t>
      </w:r>
      <w:r w:rsidR="00443A9A" w:rsidRPr="00097548">
        <w:rPr>
          <w:lang w:val="en-GB"/>
        </w:rPr>
        <w:t xml:space="preserve">not </w:t>
      </w:r>
      <w:r w:rsidR="00CA5DD3" w:rsidRPr="00097548">
        <w:rPr>
          <w:lang w:val="en-GB"/>
        </w:rPr>
        <w:t>be offered</w:t>
      </w:r>
      <w:r w:rsidR="00846CC0" w:rsidRPr="00097548">
        <w:rPr>
          <w:lang w:val="en-GB"/>
        </w:rPr>
        <w:t xml:space="preserve"> </w:t>
      </w:r>
      <w:r w:rsidR="00E32803" w:rsidRPr="00097548">
        <w:rPr>
          <w:lang w:val="en-GB"/>
        </w:rPr>
        <w:t>these treatments</w:t>
      </w:r>
      <w:r w:rsidR="00846CC0" w:rsidRPr="00097548">
        <w:rPr>
          <w:lang w:val="en-GB"/>
        </w:rPr>
        <w:t xml:space="preserve"> </w:t>
      </w:r>
      <w:r w:rsidR="00443A9A" w:rsidRPr="00097548">
        <w:rPr>
          <w:lang w:val="en-GB"/>
        </w:rPr>
        <w:t xml:space="preserve">because of </w:t>
      </w:r>
      <w:r w:rsidR="00E32803" w:rsidRPr="00097548">
        <w:rPr>
          <w:lang w:val="en-GB"/>
        </w:rPr>
        <w:t xml:space="preserve">the </w:t>
      </w:r>
      <w:r w:rsidR="00443A9A" w:rsidRPr="00097548">
        <w:rPr>
          <w:lang w:val="en-GB"/>
        </w:rPr>
        <w:t xml:space="preserve">high risk of </w:t>
      </w:r>
      <w:r w:rsidR="00846CC0" w:rsidRPr="00097548">
        <w:rPr>
          <w:lang w:val="en-GB"/>
        </w:rPr>
        <w:t xml:space="preserve">renal </w:t>
      </w:r>
      <w:r w:rsidR="004A4303" w:rsidRPr="00097548">
        <w:rPr>
          <w:lang w:val="en-GB"/>
        </w:rPr>
        <w:t>toxicity</w:t>
      </w:r>
      <w:r w:rsidR="00846CC0" w:rsidRPr="00097548">
        <w:rPr>
          <w:lang w:val="en-GB"/>
        </w:rPr>
        <w:t>. In</w:t>
      </w:r>
      <w:r w:rsidR="004A4303" w:rsidRPr="00097548">
        <w:rPr>
          <w:lang w:val="en-GB"/>
        </w:rPr>
        <w:t xml:space="preserve"> the</w:t>
      </w:r>
      <w:r w:rsidR="00846CC0" w:rsidRPr="00097548">
        <w:rPr>
          <w:lang w:val="en-GB"/>
        </w:rPr>
        <w:t xml:space="preserve"> absence of empiric evidence,</w:t>
      </w:r>
      <w:r w:rsidR="000D3B12" w:rsidRPr="00097548">
        <w:rPr>
          <w:lang w:val="en-GB"/>
        </w:rPr>
        <w:t xml:space="preserve"> </w:t>
      </w:r>
      <w:r w:rsidR="001A7E7F" w:rsidRPr="00097548">
        <w:rPr>
          <w:lang w:val="en-GB"/>
        </w:rPr>
        <w:t>EEPRU based</w:t>
      </w:r>
      <w:r w:rsidR="00AE69E1" w:rsidRPr="00097548">
        <w:rPr>
          <w:lang w:val="en-GB"/>
        </w:rPr>
        <w:t xml:space="preserve"> its analysis on advice from </w:t>
      </w:r>
      <w:r w:rsidR="004A4303" w:rsidRPr="00097548">
        <w:rPr>
          <w:lang w:val="en-GB"/>
        </w:rPr>
        <w:t xml:space="preserve">the </w:t>
      </w:r>
      <w:r w:rsidR="000D3B12" w:rsidRPr="00097548">
        <w:rPr>
          <w:lang w:val="en-GB"/>
        </w:rPr>
        <w:t>committee</w:t>
      </w:r>
      <w:r w:rsidR="004A4303" w:rsidRPr="00097548">
        <w:rPr>
          <w:lang w:val="en-GB"/>
        </w:rPr>
        <w:t xml:space="preserve">, </w:t>
      </w:r>
      <w:r w:rsidR="00AE69E1" w:rsidRPr="00097548">
        <w:rPr>
          <w:lang w:val="en-GB"/>
        </w:rPr>
        <w:t>wh</w:t>
      </w:r>
      <w:r w:rsidR="003C3869" w:rsidRPr="00097548">
        <w:rPr>
          <w:lang w:val="en-GB"/>
        </w:rPr>
        <w:t>ich</w:t>
      </w:r>
      <w:r w:rsidR="00AE69E1" w:rsidRPr="00097548">
        <w:rPr>
          <w:lang w:val="en-GB"/>
        </w:rPr>
        <w:t xml:space="preserve"> </w:t>
      </w:r>
      <w:r w:rsidR="000D3B12" w:rsidRPr="00097548">
        <w:rPr>
          <w:lang w:val="en-GB"/>
        </w:rPr>
        <w:t>suggested</w:t>
      </w:r>
      <w:r w:rsidR="00846CC0" w:rsidRPr="00097548">
        <w:rPr>
          <w:lang w:val="en-GB"/>
        </w:rPr>
        <w:t xml:space="preserve"> </w:t>
      </w:r>
      <w:r w:rsidR="001A7E7F" w:rsidRPr="00097548">
        <w:rPr>
          <w:lang w:val="en-GB"/>
        </w:rPr>
        <w:t xml:space="preserve">that </w:t>
      </w:r>
      <w:r w:rsidR="00846CC0" w:rsidRPr="00097548">
        <w:rPr>
          <w:lang w:val="en-GB"/>
        </w:rPr>
        <w:t>20% to 40%</w:t>
      </w:r>
      <w:r w:rsidR="00BC0511" w:rsidRPr="00097548">
        <w:rPr>
          <w:lang w:val="en-GB"/>
        </w:rPr>
        <w:t xml:space="preserve"> of patients </w:t>
      </w:r>
      <w:r w:rsidR="001A7E7F" w:rsidRPr="00097548">
        <w:rPr>
          <w:lang w:val="en-GB"/>
        </w:rPr>
        <w:t>would be unable to take colistin</w:t>
      </w:r>
      <w:r w:rsidR="00664D18" w:rsidRPr="00097548">
        <w:rPr>
          <w:lang w:val="en-GB"/>
        </w:rPr>
        <w:t>-</w:t>
      </w:r>
      <w:r w:rsidR="001A7E7F" w:rsidRPr="00097548">
        <w:rPr>
          <w:lang w:val="en-GB"/>
        </w:rPr>
        <w:t xml:space="preserve"> or aminoglycoside-based regimens</w:t>
      </w:r>
      <w:r w:rsidR="00BC0511" w:rsidRPr="00097548">
        <w:rPr>
          <w:lang w:val="en-GB"/>
        </w:rPr>
        <w:t>.</w:t>
      </w:r>
      <w:r w:rsidR="00846CC0" w:rsidRPr="00097548">
        <w:rPr>
          <w:lang w:val="en-GB"/>
        </w:rPr>
        <w:t xml:space="preserve"> </w:t>
      </w:r>
      <w:r w:rsidR="004A4303" w:rsidRPr="00097548">
        <w:rPr>
          <w:lang w:val="en-GB"/>
        </w:rPr>
        <w:t>The committee understood that the risk of renal toxicity is lower with aminoglycosides than with colistin</w:t>
      </w:r>
      <w:r w:rsidR="00237348" w:rsidRPr="00097548">
        <w:rPr>
          <w:lang w:val="en-GB"/>
        </w:rPr>
        <w:t xml:space="preserve"> (see </w:t>
      </w:r>
      <w:r w:rsidR="00192ADD" w:rsidRPr="00097548">
        <w:rPr>
          <w:lang w:val="en-GB"/>
        </w:rPr>
        <w:t xml:space="preserve">section </w:t>
      </w:r>
      <w:r w:rsidR="00C711BD">
        <w:rPr>
          <w:lang w:val="en-GB"/>
        </w:rPr>
        <w:t>4</w:t>
      </w:r>
      <w:r w:rsidR="00237348" w:rsidRPr="00097548">
        <w:rPr>
          <w:lang w:val="en-GB"/>
        </w:rPr>
        <w:t>.</w:t>
      </w:r>
      <w:r w:rsidR="00664D18" w:rsidRPr="00097548">
        <w:rPr>
          <w:lang w:val="en-GB"/>
        </w:rPr>
        <w:t>8</w:t>
      </w:r>
      <w:r w:rsidR="00237348" w:rsidRPr="00097548">
        <w:rPr>
          <w:lang w:val="en-GB"/>
        </w:rPr>
        <w:t>)</w:t>
      </w:r>
      <w:r w:rsidR="004A4303" w:rsidRPr="00097548">
        <w:rPr>
          <w:lang w:val="en-GB"/>
        </w:rPr>
        <w:t xml:space="preserve">. </w:t>
      </w:r>
      <w:r w:rsidR="00720DCB" w:rsidRPr="00097548">
        <w:rPr>
          <w:lang w:val="en-GB"/>
        </w:rPr>
        <w:t xml:space="preserve">A committee member with specialist expertise in infectious diseases </w:t>
      </w:r>
      <w:r w:rsidR="00F3117E">
        <w:rPr>
          <w:lang w:val="en-GB"/>
        </w:rPr>
        <w:t>stated</w:t>
      </w:r>
      <w:r w:rsidR="00E32803" w:rsidRPr="00097548">
        <w:rPr>
          <w:lang w:val="en-GB"/>
        </w:rPr>
        <w:t xml:space="preserve"> that </w:t>
      </w:r>
      <w:r w:rsidR="00D350E3" w:rsidRPr="00097548">
        <w:rPr>
          <w:lang w:val="en-GB"/>
        </w:rPr>
        <w:t xml:space="preserve">the </w:t>
      </w:r>
      <w:r w:rsidR="00E32803" w:rsidRPr="00097548">
        <w:rPr>
          <w:lang w:val="en-GB"/>
        </w:rPr>
        <w:t>proportion</w:t>
      </w:r>
      <w:r w:rsidR="00720DCB" w:rsidRPr="00097548">
        <w:rPr>
          <w:lang w:val="en-GB"/>
        </w:rPr>
        <w:t xml:space="preserve"> </w:t>
      </w:r>
      <w:r w:rsidR="00D350E3" w:rsidRPr="00097548">
        <w:rPr>
          <w:lang w:val="en-GB"/>
        </w:rPr>
        <w:t xml:space="preserve">of people unable to take colistin </w:t>
      </w:r>
      <w:r w:rsidR="00720DCB" w:rsidRPr="00097548">
        <w:rPr>
          <w:lang w:val="en-GB"/>
        </w:rPr>
        <w:t xml:space="preserve">would </w:t>
      </w:r>
      <w:r w:rsidR="00102F75" w:rsidRPr="00097548">
        <w:rPr>
          <w:lang w:val="en-GB"/>
        </w:rPr>
        <w:t xml:space="preserve">be </w:t>
      </w:r>
      <w:r w:rsidR="00AE69E1" w:rsidRPr="00097548">
        <w:rPr>
          <w:lang w:val="en-GB"/>
        </w:rPr>
        <w:t xml:space="preserve">close to </w:t>
      </w:r>
      <w:proofErr w:type="gramStart"/>
      <w:r w:rsidR="00720DCB" w:rsidRPr="00097548">
        <w:rPr>
          <w:lang w:val="en-GB"/>
        </w:rPr>
        <w:t>40%</w:t>
      </w:r>
      <w:r w:rsidR="00664D18" w:rsidRPr="00097548">
        <w:rPr>
          <w:lang w:val="en-GB"/>
        </w:rPr>
        <w:t>,</w:t>
      </w:r>
      <w:r w:rsidR="00720DCB" w:rsidRPr="00097548">
        <w:rPr>
          <w:lang w:val="en-GB"/>
        </w:rPr>
        <w:t xml:space="preserve"> </w:t>
      </w:r>
      <w:r w:rsidR="004E54D9" w:rsidRPr="00097548">
        <w:rPr>
          <w:lang w:val="en-GB"/>
        </w:rPr>
        <w:t>but</w:t>
      </w:r>
      <w:proofErr w:type="gramEnd"/>
      <w:r w:rsidR="00720DCB" w:rsidRPr="00097548">
        <w:rPr>
          <w:lang w:val="en-GB"/>
        </w:rPr>
        <w:t xml:space="preserve"> recognised that renal dosing </w:t>
      </w:r>
      <w:r w:rsidR="009C396B" w:rsidRPr="00097548">
        <w:rPr>
          <w:lang w:val="en-GB"/>
        </w:rPr>
        <w:t xml:space="preserve">(adjusting the dose based on renal </w:t>
      </w:r>
      <w:r w:rsidR="00F3117E">
        <w:rPr>
          <w:lang w:val="en-GB"/>
        </w:rPr>
        <w:t>function</w:t>
      </w:r>
      <w:r w:rsidR="009C396B" w:rsidRPr="00097548">
        <w:rPr>
          <w:lang w:val="en-GB"/>
        </w:rPr>
        <w:t xml:space="preserve">, to </w:t>
      </w:r>
      <w:r w:rsidR="00E20033" w:rsidRPr="00097548">
        <w:rPr>
          <w:lang w:val="en-GB"/>
        </w:rPr>
        <w:t>reduc</w:t>
      </w:r>
      <w:r w:rsidR="009C396B" w:rsidRPr="00097548">
        <w:rPr>
          <w:lang w:val="en-GB"/>
        </w:rPr>
        <w:t>e</w:t>
      </w:r>
      <w:r w:rsidR="00E20033" w:rsidRPr="00097548">
        <w:rPr>
          <w:lang w:val="en-GB"/>
        </w:rPr>
        <w:t xml:space="preserve"> the risk </w:t>
      </w:r>
      <w:r w:rsidR="009C396B" w:rsidRPr="00097548">
        <w:rPr>
          <w:lang w:val="en-GB"/>
        </w:rPr>
        <w:t xml:space="preserve">of </w:t>
      </w:r>
      <w:r w:rsidR="00E20033" w:rsidRPr="00097548">
        <w:rPr>
          <w:lang w:val="en-GB"/>
        </w:rPr>
        <w:t>renal toxicity</w:t>
      </w:r>
      <w:r w:rsidR="009C396B" w:rsidRPr="00097548">
        <w:rPr>
          <w:lang w:val="en-GB"/>
        </w:rPr>
        <w:t>) would allow colistin to be offered to some of these people</w:t>
      </w:r>
      <w:r w:rsidR="00720DCB" w:rsidRPr="00097548">
        <w:rPr>
          <w:lang w:val="en-GB"/>
        </w:rPr>
        <w:t xml:space="preserve">. </w:t>
      </w:r>
      <w:r w:rsidR="00D350E3" w:rsidRPr="00097548">
        <w:rPr>
          <w:lang w:val="en-GB"/>
        </w:rPr>
        <w:t>The committee heard from a clinical expert that approximately 5</w:t>
      </w:r>
      <w:r w:rsidR="00192ADD" w:rsidRPr="00097548">
        <w:rPr>
          <w:lang w:val="en-GB"/>
        </w:rPr>
        <w:t xml:space="preserve">% to </w:t>
      </w:r>
      <w:r w:rsidR="00D350E3" w:rsidRPr="00097548">
        <w:rPr>
          <w:lang w:val="en-GB"/>
        </w:rPr>
        <w:t>10% of people would be unable to take aminoglycosides. On balance, t</w:t>
      </w:r>
      <w:r w:rsidR="00720DCB" w:rsidRPr="00097548">
        <w:rPr>
          <w:lang w:val="en-GB"/>
        </w:rPr>
        <w:t>he c</w:t>
      </w:r>
      <w:r w:rsidR="00CF0AE9" w:rsidRPr="00097548">
        <w:rPr>
          <w:lang w:val="en-GB"/>
        </w:rPr>
        <w:t>ommittee c</w:t>
      </w:r>
      <w:r w:rsidR="00846CC0" w:rsidRPr="00097548">
        <w:rPr>
          <w:lang w:val="en-GB"/>
        </w:rPr>
        <w:t>oncluded</w:t>
      </w:r>
      <w:r w:rsidR="00CF0AE9" w:rsidRPr="00097548">
        <w:rPr>
          <w:lang w:val="en-GB"/>
        </w:rPr>
        <w:t xml:space="preserve"> </w:t>
      </w:r>
      <w:r w:rsidR="00580637" w:rsidRPr="00097548">
        <w:rPr>
          <w:lang w:val="en-GB"/>
        </w:rPr>
        <w:t xml:space="preserve">that </w:t>
      </w:r>
      <w:r w:rsidR="006F64B8">
        <w:rPr>
          <w:lang w:val="en-GB"/>
        </w:rPr>
        <w:t xml:space="preserve">the most plausible scenario was the one in which </w:t>
      </w:r>
      <w:r w:rsidR="00AE69E1" w:rsidRPr="00097548">
        <w:rPr>
          <w:lang w:val="en-GB"/>
        </w:rPr>
        <w:t>EEPRU</w:t>
      </w:r>
      <w:r w:rsidR="006F64B8">
        <w:rPr>
          <w:lang w:val="en-GB"/>
        </w:rPr>
        <w:t xml:space="preserve"> assumed that</w:t>
      </w:r>
      <w:r w:rsidR="00CF0AE9" w:rsidRPr="00097548">
        <w:rPr>
          <w:lang w:val="en-GB"/>
        </w:rPr>
        <w:t xml:space="preserve"> 20%</w:t>
      </w:r>
      <w:r w:rsidR="00C32390" w:rsidRPr="00097548">
        <w:rPr>
          <w:lang w:val="en-GB"/>
        </w:rPr>
        <w:t xml:space="preserve"> of </w:t>
      </w:r>
      <w:r w:rsidR="00CF59FB" w:rsidRPr="00097548">
        <w:rPr>
          <w:lang w:val="en-GB"/>
        </w:rPr>
        <w:t xml:space="preserve">people </w:t>
      </w:r>
      <w:r w:rsidR="00C32390" w:rsidRPr="00097548">
        <w:rPr>
          <w:lang w:val="en-GB"/>
        </w:rPr>
        <w:t xml:space="preserve">cannot </w:t>
      </w:r>
      <w:r w:rsidR="00CF59FB" w:rsidRPr="00097548">
        <w:rPr>
          <w:lang w:val="en-GB"/>
        </w:rPr>
        <w:t xml:space="preserve">have </w:t>
      </w:r>
      <w:r w:rsidR="00C32390" w:rsidRPr="00097548">
        <w:rPr>
          <w:lang w:val="en-GB"/>
        </w:rPr>
        <w:t>colistin</w:t>
      </w:r>
      <w:r w:rsidR="000D3B12" w:rsidRPr="00097548">
        <w:rPr>
          <w:lang w:val="en-GB"/>
        </w:rPr>
        <w:t xml:space="preserve"> or </w:t>
      </w:r>
      <w:r w:rsidR="00C32390" w:rsidRPr="00097548">
        <w:rPr>
          <w:lang w:val="en-GB"/>
        </w:rPr>
        <w:t>aminoglycoside</w:t>
      </w:r>
      <w:r w:rsidR="00102F75" w:rsidRPr="00097548">
        <w:rPr>
          <w:lang w:val="en-GB"/>
        </w:rPr>
        <w:t>s</w:t>
      </w:r>
      <w:r w:rsidR="006F64B8">
        <w:rPr>
          <w:lang w:val="en-GB"/>
        </w:rPr>
        <w:t>, even if no other effective antimicrobial were available</w:t>
      </w:r>
      <w:r w:rsidR="00C32390" w:rsidRPr="00097548">
        <w:rPr>
          <w:lang w:val="en-GB"/>
        </w:rPr>
        <w:t>.</w:t>
      </w:r>
      <w:r w:rsidR="0069269C" w:rsidRPr="00097548">
        <w:rPr>
          <w:lang w:val="en-GB"/>
        </w:rPr>
        <w:t xml:space="preserve"> </w:t>
      </w:r>
      <w:r w:rsidR="00BC0511" w:rsidRPr="00097548">
        <w:rPr>
          <w:lang w:val="en-GB"/>
        </w:rPr>
        <w:t xml:space="preserve">In the empiric </w:t>
      </w:r>
      <w:r w:rsidR="00361248" w:rsidRPr="00097548">
        <w:rPr>
          <w:lang w:val="en-GB"/>
        </w:rPr>
        <w:t xml:space="preserve">treatment </w:t>
      </w:r>
      <w:r w:rsidR="00BC0511" w:rsidRPr="00097548">
        <w:rPr>
          <w:lang w:val="en-GB"/>
        </w:rPr>
        <w:t>setting, this represent</w:t>
      </w:r>
      <w:r w:rsidR="00361248" w:rsidRPr="00097548">
        <w:rPr>
          <w:lang w:val="en-GB"/>
        </w:rPr>
        <w:t>ed</w:t>
      </w:r>
      <w:r w:rsidR="00BC0511" w:rsidRPr="00097548">
        <w:rPr>
          <w:lang w:val="en-GB"/>
        </w:rPr>
        <w:t xml:space="preserve"> 20% of the total treated population</w:t>
      </w:r>
      <w:r w:rsidR="00AC3B43" w:rsidRPr="00097548">
        <w:rPr>
          <w:lang w:val="en-GB"/>
        </w:rPr>
        <w:t>.</w:t>
      </w:r>
      <w:r w:rsidR="00BC0511" w:rsidRPr="00097548">
        <w:rPr>
          <w:lang w:val="en-GB"/>
        </w:rPr>
        <w:t xml:space="preserve"> </w:t>
      </w:r>
      <w:r w:rsidR="00AC3B43" w:rsidRPr="00097548">
        <w:rPr>
          <w:lang w:val="en-GB"/>
        </w:rPr>
        <w:t>I</w:t>
      </w:r>
      <w:r w:rsidR="00D85343" w:rsidRPr="00097548">
        <w:rPr>
          <w:lang w:val="en-GB"/>
        </w:rPr>
        <w:t xml:space="preserve">n the microbiology-directed setting, </w:t>
      </w:r>
      <w:r w:rsidR="00AC3B43" w:rsidRPr="00097548">
        <w:rPr>
          <w:lang w:val="en-GB"/>
        </w:rPr>
        <w:t xml:space="preserve">EEPRU </w:t>
      </w:r>
      <w:r w:rsidR="00D85343" w:rsidRPr="00097548">
        <w:rPr>
          <w:lang w:val="en-GB"/>
        </w:rPr>
        <w:t>assumed</w:t>
      </w:r>
      <w:r w:rsidR="00D85343" w:rsidRPr="00097548">
        <w:rPr>
          <w:rFonts w:ascii="Times New Roman" w:hAnsi="Times New Roman"/>
          <w:bCs w:val="0"/>
          <w:iCs w:val="0"/>
          <w:szCs w:val="24"/>
          <w:lang w:val="en-GB"/>
        </w:rPr>
        <w:t xml:space="preserve"> </w:t>
      </w:r>
      <w:r w:rsidR="00D85343" w:rsidRPr="00097548">
        <w:rPr>
          <w:lang w:val="en-GB"/>
        </w:rPr>
        <w:t>that</w:t>
      </w:r>
      <w:r w:rsidR="00AC3B43" w:rsidRPr="00097548">
        <w:rPr>
          <w:lang w:val="en-GB"/>
        </w:rPr>
        <w:t xml:space="preserve"> </w:t>
      </w:r>
      <w:r w:rsidR="00580637" w:rsidRPr="00097548">
        <w:rPr>
          <w:lang w:val="en-GB"/>
        </w:rPr>
        <w:t>clinici</w:t>
      </w:r>
      <w:r w:rsidR="003F5092" w:rsidRPr="00097548">
        <w:rPr>
          <w:lang w:val="en-GB"/>
        </w:rPr>
        <w:t>a</w:t>
      </w:r>
      <w:r w:rsidR="00580637" w:rsidRPr="00097548">
        <w:rPr>
          <w:lang w:val="en-GB"/>
        </w:rPr>
        <w:t xml:space="preserve">ns would consider </w:t>
      </w:r>
      <w:r w:rsidR="00AC3B43" w:rsidRPr="00097548">
        <w:rPr>
          <w:lang w:val="en-GB"/>
        </w:rPr>
        <w:t>colistin</w:t>
      </w:r>
      <w:r w:rsidR="000D3B12" w:rsidRPr="00097548">
        <w:rPr>
          <w:lang w:val="en-GB"/>
        </w:rPr>
        <w:t xml:space="preserve"> or </w:t>
      </w:r>
      <w:r w:rsidR="00AC3B43" w:rsidRPr="00097548">
        <w:rPr>
          <w:lang w:val="en-GB"/>
        </w:rPr>
        <w:t xml:space="preserve">aminoglycosides as a treatment option for </w:t>
      </w:r>
      <w:r w:rsidR="00361248" w:rsidRPr="00097548">
        <w:rPr>
          <w:lang w:val="en-GB"/>
        </w:rPr>
        <w:t>people</w:t>
      </w:r>
      <w:r w:rsidR="00AC3B43" w:rsidRPr="00097548">
        <w:rPr>
          <w:lang w:val="en-GB"/>
        </w:rPr>
        <w:t xml:space="preserve"> whose infections </w:t>
      </w:r>
      <w:r w:rsidR="00361248" w:rsidRPr="00097548">
        <w:rPr>
          <w:lang w:val="en-GB"/>
        </w:rPr>
        <w:t xml:space="preserve">would </w:t>
      </w:r>
      <w:r w:rsidR="00361248" w:rsidRPr="00097548">
        <w:rPr>
          <w:lang w:val="en-GB"/>
        </w:rPr>
        <w:lastRenderedPageBreak/>
        <w:t xml:space="preserve">be </w:t>
      </w:r>
      <w:r w:rsidR="00AC3B43" w:rsidRPr="00097548">
        <w:rPr>
          <w:lang w:val="en-GB"/>
        </w:rPr>
        <w:t xml:space="preserve">resistant </w:t>
      </w:r>
      <w:r w:rsidR="00D85343" w:rsidRPr="00097548">
        <w:rPr>
          <w:lang w:val="en-GB"/>
        </w:rPr>
        <w:t>to non-colistin</w:t>
      </w:r>
      <w:r w:rsidR="00580637" w:rsidRPr="00097548">
        <w:rPr>
          <w:lang w:val="en-GB"/>
        </w:rPr>
        <w:t>-based</w:t>
      </w:r>
      <w:r w:rsidR="000D3B12" w:rsidRPr="00097548">
        <w:rPr>
          <w:lang w:val="en-GB"/>
        </w:rPr>
        <w:t xml:space="preserve"> or</w:t>
      </w:r>
      <w:r w:rsidR="00720DCB" w:rsidRPr="00097548">
        <w:rPr>
          <w:lang w:val="en-GB"/>
        </w:rPr>
        <w:t xml:space="preserve"> </w:t>
      </w:r>
      <w:r w:rsidR="008F3D68" w:rsidRPr="00097548">
        <w:rPr>
          <w:lang w:val="en-GB"/>
        </w:rPr>
        <w:t>non-</w:t>
      </w:r>
      <w:r w:rsidR="00D85343" w:rsidRPr="00097548">
        <w:rPr>
          <w:lang w:val="en-GB"/>
        </w:rPr>
        <w:t>aminoglycoside</w:t>
      </w:r>
      <w:r w:rsidR="00102F75" w:rsidRPr="00097548">
        <w:rPr>
          <w:lang w:val="en-GB"/>
        </w:rPr>
        <w:t>s</w:t>
      </w:r>
      <w:r w:rsidR="00AC3B43" w:rsidRPr="00097548">
        <w:rPr>
          <w:lang w:val="en-GB"/>
        </w:rPr>
        <w:t>-based regimens</w:t>
      </w:r>
      <w:r w:rsidR="009474AE" w:rsidRPr="00097548">
        <w:rPr>
          <w:lang w:val="en-GB"/>
        </w:rPr>
        <w:t>, which differed by pathogen</w:t>
      </w:r>
      <w:r w:rsidR="00A60ACA" w:rsidRPr="00097548">
        <w:rPr>
          <w:lang w:val="en-GB"/>
        </w:rPr>
        <w:t>.</w:t>
      </w:r>
      <w:r w:rsidR="00CF069B" w:rsidRPr="00097548">
        <w:rPr>
          <w:lang w:val="en-GB"/>
        </w:rPr>
        <w:t xml:space="preserve"> </w:t>
      </w:r>
      <w:r w:rsidR="003301C8">
        <w:rPr>
          <w:lang w:val="en-GB"/>
        </w:rPr>
        <w:t>T</w:t>
      </w:r>
      <w:r w:rsidR="00CF069B" w:rsidRPr="00097548">
        <w:rPr>
          <w:lang w:val="en-GB"/>
        </w:rPr>
        <w:t>his</w:t>
      </w:r>
      <w:r w:rsidR="00A60ACA" w:rsidRPr="00097548">
        <w:rPr>
          <w:lang w:val="en-GB"/>
        </w:rPr>
        <w:t xml:space="preserve"> means </w:t>
      </w:r>
      <w:r w:rsidR="004555A2">
        <w:rPr>
          <w:lang w:val="en-GB"/>
        </w:rPr>
        <w:t xml:space="preserve">that </w:t>
      </w:r>
      <w:r w:rsidR="00A60ACA" w:rsidRPr="00097548">
        <w:rPr>
          <w:lang w:val="en-GB"/>
        </w:rPr>
        <w:t>th</w:t>
      </w:r>
      <w:r w:rsidR="009474AE" w:rsidRPr="00097548">
        <w:rPr>
          <w:lang w:val="en-GB"/>
        </w:rPr>
        <w:t>e</w:t>
      </w:r>
      <w:r w:rsidR="00AC3B43" w:rsidRPr="00097548">
        <w:rPr>
          <w:lang w:val="en-GB"/>
        </w:rPr>
        <w:t xml:space="preserve"> </w:t>
      </w:r>
      <w:r w:rsidR="009474AE" w:rsidRPr="00097548">
        <w:rPr>
          <w:lang w:val="en-GB"/>
        </w:rPr>
        <w:t xml:space="preserve">proportion </w:t>
      </w:r>
      <w:r w:rsidR="00AC3B43" w:rsidRPr="00097548">
        <w:rPr>
          <w:lang w:val="en-GB"/>
        </w:rPr>
        <w:t xml:space="preserve">of </w:t>
      </w:r>
      <w:r w:rsidR="00CF59FB" w:rsidRPr="00097548">
        <w:rPr>
          <w:lang w:val="en-GB"/>
        </w:rPr>
        <w:t xml:space="preserve">people </w:t>
      </w:r>
      <w:r w:rsidR="00AC3B43" w:rsidRPr="00097548">
        <w:rPr>
          <w:lang w:val="en-GB"/>
        </w:rPr>
        <w:t xml:space="preserve">in the </w:t>
      </w:r>
      <w:r w:rsidR="00A60ACA" w:rsidRPr="00097548">
        <w:rPr>
          <w:lang w:val="en-GB"/>
        </w:rPr>
        <w:t xml:space="preserve">overall </w:t>
      </w:r>
      <w:r w:rsidR="00AC3B43" w:rsidRPr="00097548">
        <w:rPr>
          <w:lang w:val="en-GB"/>
        </w:rPr>
        <w:t xml:space="preserve">microbiology-directed setting </w:t>
      </w:r>
      <w:r w:rsidR="009474AE" w:rsidRPr="00097548">
        <w:rPr>
          <w:lang w:val="en-GB"/>
        </w:rPr>
        <w:t xml:space="preserve">who </w:t>
      </w:r>
      <w:r w:rsidR="00AC3B43" w:rsidRPr="00097548">
        <w:rPr>
          <w:lang w:val="en-GB"/>
        </w:rPr>
        <w:t xml:space="preserve">would </w:t>
      </w:r>
      <w:r w:rsidR="00CA5DD3" w:rsidRPr="00097548">
        <w:rPr>
          <w:lang w:val="en-GB"/>
        </w:rPr>
        <w:t>not be offered</w:t>
      </w:r>
      <w:r w:rsidR="00AC3B43" w:rsidRPr="00097548">
        <w:rPr>
          <w:lang w:val="en-GB"/>
        </w:rPr>
        <w:t xml:space="preserve"> colistin</w:t>
      </w:r>
      <w:r w:rsidR="00946DA4" w:rsidRPr="00097548">
        <w:rPr>
          <w:lang w:val="en-GB"/>
        </w:rPr>
        <w:t xml:space="preserve"> or aminoglycosides</w:t>
      </w:r>
      <w:r w:rsidR="009474AE" w:rsidRPr="00097548">
        <w:rPr>
          <w:lang w:val="en-GB"/>
        </w:rPr>
        <w:t xml:space="preserve"> was 2% for </w:t>
      </w:r>
      <w:proofErr w:type="spellStart"/>
      <w:r w:rsidR="009474AE" w:rsidRPr="004471FF">
        <w:rPr>
          <w:i/>
          <w:iCs w:val="0"/>
          <w:lang w:val="en-GB"/>
        </w:rPr>
        <w:t>Enterobacterales</w:t>
      </w:r>
      <w:proofErr w:type="spellEnd"/>
      <w:r w:rsidR="009474AE" w:rsidRPr="00097548">
        <w:rPr>
          <w:lang w:val="en-GB"/>
        </w:rPr>
        <w:t xml:space="preserve">, 14% for </w:t>
      </w:r>
      <w:r w:rsidR="00067F4E">
        <w:rPr>
          <w:i/>
          <w:iCs w:val="0"/>
          <w:lang w:val="en-GB"/>
        </w:rPr>
        <w:t>Pseudomonas aeruginosa</w:t>
      </w:r>
      <w:r w:rsidR="009474AE" w:rsidRPr="00097548">
        <w:rPr>
          <w:lang w:val="en-GB"/>
        </w:rPr>
        <w:t xml:space="preserve"> and 8% for </w:t>
      </w:r>
      <w:r w:rsidR="00067F4E">
        <w:rPr>
          <w:i/>
          <w:lang w:val="en-GB"/>
        </w:rPr>
        <w:t xml:space="preserve">Stenotrophomonas </w:t>
      </w:r>
      <w:proofErr w:type="spellStart"/>
      <w:r w:rsidR="00067F4E">
        <w:rPr>
          <w:i/>
          <w:lang w:val="en-GB"/>
        </w:rPr>
        <w:t>maltophilia</w:t>
      </w:r>
      <w:proofErr w:type="spellEnd"/>
      <w:r w:rsidR="00A60ACA" w:rsidRPr="00097548">
        <w:rPr>
          <w:lang w:val="en-GB"/>
        </w:rPr>
        <w:t>.</w:t>
      </w:r>
    </w:p>
    <w:p w14:paraId="0491BCE8" w14:textId="7B382F09" w:rsidR="00032BB7" w:rsidRPr="00097548" w:rsidRDefault="00F33457" w:rsidP="007C3B5E">
      <w:pPr>
        <w:pStyle w:val="Heading3"/>
      </w:pPr>
      <w:r w:rsidRPr="00097548">
        <w:t xml:space="preserve">The model does not fully </w:t>
      </w:r>
      <w:r w:rsidR="00A36505" w:rsidRPr="00097548">
        <w:t xml:space="preserve">capture </w:t>
      </w:r>
      <w:r w:rsidRPr="00097548">
        <w:t>a</w:t>
      </w:r>
      <w:r w:rsidR="006A0631" w:rsidRPr="00097548">
        <w:t xml:space="preserve">dditional </w:t>
      </w:r>
      <w:r w:rsidR="000249C7" w:rsidRPr="00097548">
        <w:t xml:space="preserve">elements of </w:t>
      </w:r>
      <w:r w:rsidR="0069269C" w:rsidRPr="00097548">
        <w:t>benefit</w:t>
      </w:r>
      <w:r w:rsidR="00B86F55" w:rsidRPr="00097548">
        <w:t xml:space="preserve"> that are important for antimicrobials</w:t>
      </w:r>
    </w:p>
    <w:p w14:paraId="282C4545" w14:textId="4E321BDC" w:rsidR="00AA268B" w:rsidRPr="00097548" w:rsidRDefault="0047493A" w:rsidP="0002373F">
      <w:pPr>
        <w:pStyle w:val="Numberedlevel2text"/>
        <w:rPr>
          <w:lang w:val="en-GB"/>
        </w:rPr>
      </w:pPr>
      <w:r w:rsidRPr="00097548">
        <w:rPr>
          <w:lang w:val="en-GB"/>
        </w:rPr>
        <w:t xml:space="preserve">Several </w:t>
      </w:r>
      <w:r w:rsidR="00266F84" w:rsidRPr="00097548">
        <w:rPr>
          <w:lang w:val="en-GB"/>
        </w:rPr>
        <w:t>benefits</w:t>
      </w:r>
      <w:r w:rsidRPr="00097548">
        <w:rPr>
          <w:lang w:val="en-GB"/>
        </w:rPr>
        <w:t xml:space="preserve"> </w:t>
      </w:r>
      <w:r w:rsidR="001048A4" w:rsidRPr="00097548">
        <w:rPr>
          <w:lang w:val="en-GB"/>
        </w:rPr>
        <w:t xml:space="preserve">that </w:t>
      </w:r>
      <w:r w:rsidRPr="00097548">
        <w:rPr>
          <w:lang w:val="en-GB"/>
        </w:rPr>
        <w:t>are important for antimicrobials</w:t>
      </w:r>
      <w:r w:rsidR="00727BCB" w:rsidRPr="00097548">
        <w:rPr>
          <w:lang w:val="en-GB"/>
        </w:rPr>
        <w:t xml:space="preserve"> (see </w:t>
      </w:r>
      <w:r w:rsidR="00192ADD" w:rsidRPr="00097548">
        <w:rPr>
          <w:lang w:val="en-GB"/>
        </w:rPr>
        <w:t xml:space="preserve">sections </w:t>
      </w:r>
      <w:r w:rsidR="009B5DCA">
        <w:rPr>
          <w:lang w:val="en-GB"/>
        </w:rPr>
        <w:t>4</w:t>
      </w:r>
      <w:r w:rsidR="00727BCB" w:rsidRPr="00097548">
        <w:rPr>
          <w:lang w:val="en-GB"/>
        </w:rPr>
        <w:t>.</w:t>
      </w:r>
      <w:r w:rsidR="000970D5" w:rsidRPr="00097548">
        <w:rPr>
          <w:lang w:val="en-GB"/>
        </w:rPr>
        <w:t xml:space="preserve">18 </w:t>
      </w:r>
      <w:r w:rsidR="00727BCB" w:rsidRPr="00097548">
        <w:rPr>
          <w:lang w:val="en-GB"/>
        </w:rPr>
        <w:t xml:space="preserve">to </w:t>
      </w:r>
      <w:r w:rsidR="009B5DCA">
        <w:rPr>
          <w:lang w:val="en-GB"/>
        </w:rPr>
        <w:t>4</w:t>
      </w:r>
      <w:r w:rsidR="00727BCB" w:rsidRPr="00097548">
        <w:rPr>
          <w:lang w:val="en-GB"/>
        </w:rPr>
        <w:t>.</w:t>
      </w:r>
      <w:r w:rsidR="000970D5" w:rsidRPr="00097548">
        <w:rPr>
          <w:lang w:val="en-GB"/>
        </w:rPr>
        <w:t>22</w:t>
      </w:r>
      <w:r w:rsidR="00727BCB" w:rsidRPr="00097548">
        <w:rPr>
          <w:lang w:val="en-GB"/>
        </w:rPr>
        <w:t>)</w:t>
      </w:r>
      <w:r w:rsidR="001048A4" w:rsidRPr="00097548">
        <w:rPr>
          <w:lang w:val="en-GB"/>
        </w:rPr>
        <w:t xml:space="preserve"> </w:t>
      </w:r>
      <w:r w:rsidR="00727BCB" w:rsidRPr="00097548">
        <w:rPr>
          <w:lang w:val="en-GB"/>
        </w:rPr>
        <w:t xml:space="preserve">were not fully </w:t>
      </w:r>
      <w:r w:rsidR="00E20A44" w:rsidRPr="00097548">
        <w:rPr>
          <w:lang w:val="en-GB"/>
        </w:rPr>
        <w:t xml:space="preserve">captured </w:t>
      </w:r>
      <w:r w:rsidR="001048A4" w:rsidRPr="00097548">
        <w:rPr>
          <w:lang w:val="en-GB"/>
        </w:rPr>
        <w:t>in EEPRU’s analysis</w:t>
      </w:r>
      <w:r w:rsidR="00192ADD" w:rsidRPr="00097548">
        <w:rPr>
          <w:lang w:val="en-GB"/>
        </w:rPr>
        <w:t>. S</w:t>
      </w:r>
      <w:r w:rsidR="00580637" w:rsidRPr="00097548">
        <w:rPr>
          <w:lang w:val="en-GB"/>
        </w:rPr>
        <w:t xml:space="preserve">ome </w:t>
      </w:r>
      <w:r w:rsidR="001048A4" w:rsidRPr="00097548">
        <w:rPr>
          <w:lang w:val="en-GB"/>
        </w:rPr>
        <w:t xml:space="preserve">of these </w:t>
      </w:r>
      <w:r w:rsidR="00F20ABE" w:rsidRPr="00097548">
        <w:rPr>
          <w:lang w:val="en-GB"/>
        </w:rPr>
        <w:t xml:space="preserve">would </w:t>
      </w:r>
      <w:r w:rsidR="00580637" w:rsidRPr="00097548">
        <w:rPr>
          <w:lang w:val="en-GB"/>
        </w:rPr>
        <w:t xml:space="preserve">increase </w:t>
      </w:r>
      <w:r w:rsidR="00F20ABE" w:rsidRPr="00097548">
        <w:rPr>
          <w:lang w:val="en-GB"/>
        </w:rPr>
        <w:t xml:space="preserve">the estimated incremental benefits of </w:t>
      </w:r>
      <w:proofErr w:type="spellStart"/>
      <w:r w:rsidR="009474AE" w:rsidRPr="00097548">
        <w:rPr>
          <w:lang w:val="en-GB"/>
        </w:rPr>
        <w:t>cefiderocol</w:t>
      </w:r>
      <w:proofErr w:type="spellEnd"/>
      <w:r w:rsidR="00F20ABE" w:rsidRPr="00097548">
        <w:rPr>
          <w:lang w:val="en-GB"/>
        </w:rPr>
        <w:t>. The committee</w:t>
      </w:r>
      <w:r w:rsidR="00970C0D" w:rsidRPr="00097548">
        <w:rPr>
          <w:lang w:val="en-GB"/>
        </w:rPr>
        <w:t xml:space="preserve"> considered the extent to which each element of value was captured in EEPRU’s model</w:t>
      </w:r>
      <w:r w:rsidR="002E4B71" w:rsidRPr="00097548">
        <w:rPr>
          <w:lang w:val="en-GB"/>
        </w:rPr>
        <w:t>.</w:t>
      </w:r>
    </w:p>
    <w:p w14:paraId="430D6132" w14:textId="28453986" w:rsidR="00AA268B" w:rsidRPr="00097548" w:rsidRDefault="009474AE" w:rsidP="00AA268B">
      <w:pPr>
        <w:pStyle w:val="Heading3"/>
      </w:pPr>
      <w:proofErr w:type="spellStart"/>
      <w:r w:rsidRPr="00097548">
        <w:t>Cefiderocol</w:t>
      </w:r>
      <w:proofErr w:type="spellEnd"/>
      <w:r w:rsidR="00545222" w:rsidRPr="00097548">
        <w:t xml:space="preserve"> </w:t>
      </w:r>
      <w:r w:rsidR="00EC1559" w:rsidRPr="00097548">
        <w:t>does not offer</w:t>
      </w:r>
      <w:r w:rsidR="00514C94" w:rsidRPr="00097548">
        <w:t xml:space="preserve"> </w:t>
      </w:r>
      <w:r w:rsidR="00545222" w:rsidRPr="00097548">
        <w:t>spectrum value</w:t>
      </w:r>
    </w:p>
    <w:p w14:paraId="425FAD50" w14:textId="2BA9011F" w:rsidR="00B10610" w:rsidRPr="00097548" w:rsidRDefault="00B10610" w:rsidP="00AE30EB">
      <w:pPr>
        <w:pStyle w:val="Numberedlevel2text"/>
        <w:rPr>
          <w:lang w:val="en-GB"/>
        </w:rPr>
      </w:pPr>
      <w:r w:rsidRPr="00097548">
        <w:rPr>
          <w:lang w:val="en-GB"/>
        </w:rPr>
        <w:t>Spectrum value refers to the benefits of a new</w:t>
      </w:r>
      <w:r w:rsidR="00B723A8" w:rsidRPr="00097548">
        <w:rPr>
          <w:lang w:val="en-GB"/>
        </w:rPr>
        <w:t>, narrow-spectrum</w:t>
      </w:r>
      <w:r w:rsidRPr="00097548">
        <w:rPr>
          <w:lang w:val="en-GB"/>
        </w:rPr>
        <w:t xml:space="preserve"> antimicrobial replacing broad spectrum antimicrobials, reducing problems </w:t>
      </w:r>
      <w:r w:rsidR="00580637" w:rsidRPr="00097548">
        <w:rPr>
          <w:lang w:val="en-GB"/>
        </w:rPr>
        <w:t xml:space="preserve">of antimicrobial resistance </w:t>
      </w:r>
      <w:r w:rsidRPr="00097548">
        <w:rPr>
          <w:lang w:val="en-GB"/>
        </w:rPr>
        <w:t>associated with their use.</w:t>
      </w:r>
      <w:r w:rsidR="00AE30EB" w:rsidRPr="00097548">
        <w:rPr>
          <w:lang w:val="en-GB"/>
        </w:rPr>
        <w:t xml:space="preserve"> EEPRU did not model spectrum value </w:t>
      </w:r>
      <w:r w:rsidR="00580637" w:rsidRPr="00097548">
        <w:rPr>
          <w:lang w:val="en-GB"/>
        </w:rPr>
        <w:t xml:space="preserve">for </w:t>
      </w:r>
      <w:proofErr w:type="spellStart"/>
      <w:r w:rsidR="009474AE" w:rsidRPr="00097548">
        <w:rPr>
          <w:lang w:val="en-GB"/>
        </w:rPr>
        <w:t>cefiderocol</w:t>
      </w:r>
      <w:proofErr w:type="spellEnd"/>
      <w:r w:rsidR="00580637" w:rsidRPr="00097548">
        <w:rPr>
          <w:lang w:val="en-GB"/>
        </w:rPr>
        <w:t xml:space="preserve"> </w:t>
      </w:r>
      <w:r w:rsidR="00AE30EB" w:rsidRPr="00097548">
        <w:rPr>
          <w:lang w:val="en-GB"/>
        </w:rPr>
        <w:t xml:space="preserve">because it considered that </w:t>
      </w:r>
      <w:proofErr w:type="spellStart"/>
      <w:r w:rsidR="009474AE" w:rsidRPr="00097548">
        <w:rPr>
          <w:lang w:val="en-GB"/>
        </w:rPr>
        <w:t>cefiderocol</w:t>
      </w:r>
      <w:proofErr w:type="spellEnd"/>
      <w:r w:rsidR="009474AE" w:rsidRPr="00097548">
        <w:rPr>
          <w:lang w:val="en-GB"/>
        </w:rPr>
        <w:t xml:space="preserve"> </w:t>
      </w:r>
      <w:r w:rsidR="00AE30EB" w:rsidRPr="00097548">
        <w:rPr>
          <w:lang w:val="en-GB"/>
        </w:rPr>
        <w:t>has a broad spectrum of activity.</w:t>
      </w:r>
      <w:r w:rsidRPr="00097548">
        <w:rPr>
          <w:lang w:val="en-GB"/>
        </w:rPr>
        <w:t xml:space="preserve"> </w:t>
      </w:r>
      <w:r w:rsidR="00EC1559" w:rsidRPr="00097548">
        <w:rPr>
          <w:lang w:val="en-GB"/>
        </w:rPr>
        <w:t xml:space="preserve">The clinical experts </w:t>
      </w:r>
      <w:r w:rsidR="007375D4" w:rsidRPr="00097548">
        <w:rPr>
          <w:lang w:val="en-GB"/>
        </w:rPr>
        <w:t xml:space="preserve">agreed with EEPRU’s assumption </w:t>
      </w:r>
      <w:r w:rsidR="00EC1559" w:rsidRPr="00097548">
        <w:rPr>
          <w:lang w:val="en-GB"/>
        </w:rPr>
        <w:t xml:space="preserve">that </w:t>
      </w:r>
      <w:r w:rsidR="002E70EB" w:rsidRPr="00097548">
        <w:rPr>
          <w:lang w:val="en-GB"/>
        </w:rPr>
        <w:t xml:space="preserve">spectrum </w:t>
      </w:r>
      <w:r w:rsidR="00775443" w:rsidRPr="00097548">
        <w:rPr>
          <w:lang w:val="en-GB"/>
        </w:rPr>
        <w:t xml:space="preserve">value </w:t>
      </w:r>
      <w:r w:rsidR="00545222" w:rsidRPr="00097548">
        <w:rPr>
          <w:lang w:val="en-GB"/>
        </w:rPr>
        <w:t>was unlikely to</w:t>
      </w:r>
      <w:r w:rsidR="002E70EB" w:rsidRPr="00097548">
        <w:rPr>
          <w:lang w:val="en-GB"/>
        </w:rPr>
        <w:t xml:space="preserve"> be relevant for </w:t>
      </w:r>
      <w:proofErr w:type="spellStart"/>
      <w:r w:rsidR="002E70EB" w:rsidRPr="00097548">
        <w:rPr>
          <w:lang w:val="en-GB"/>
        </w:rPr>
        <w:t>cefiderocol</w:t>
      </w:r>
      <w:proofErr w:type="spellEnd"/>
      <w:r w:rsidR="00816FB6" w:rsidRPr="00097548">
        <w:rPr>
          <w:lang w:val="en-GB"/>
        </w:rPr>
        <w:t xml:space="preserve"> because</w:t>
      </w:r>
      <w:r w:rsidR="00494DDB" w:rsidRPr="00097548">
        <w:rPr>
          <w:lang w:val="en-GB"/>
        </w:rPr>
        <w:t xml:space="preserve"> under a policy of responsible antimicrobial stewardship, it would replace treatments with a similar spectrum of activity</w:t>
      </w:r>
      <w:r w:rsidR="00EC1559" w:rsidRPr="00097548">
        <w:rPr>
          <w:lang w:val="en-GB"/>
        </w:rPr>
        <w:t xml:space="preserve">. </w:t>
      </w:r>
      <w:r w:rsidR="00AE30EB" w:rsidRPr="00097548">
        <w:rPr>
          <w:lang w:val="en-GB"/>
        </w:rPr>
        <w:t xml:space="preserve">The committee concluded </w:t>
      </w:r>
      <w:r w:rsidR="00EC1559" w:rsidRPr="00097548">
        <w:rPr>
          <w:lang w:val="en-GB"/>
        </w:rPr>
        <w:t xml:space="preserve">spectrum value </w:t>
      </w:r>
      <w:r w:rsidR="002E70EB" w:rsidRPr="00097548">
        <w:rPr>
          <w:lang w:val="en-GB"/>
        </w:rPr>
        <w:t>was not a source of</w:t>
      </w:r>
      <w:r w:rsidR="00B0191A" w:rsidRPr="00097548">
        <w:rPr>
          <w:lang w:val="en-GB"/>
        </w:rPr>
        <w:t xml:space="preserve"> benefit in this evaluation</w:t>
      </w:r>
      <w:r w:rsidR="00AE30EB" w:rsidRPr="00097548">
        <w:rPr>
          <w:lang w:val="en-GB"/>
        </w:rPr>
        <w:t>.</w:t>
      </w:r>
    </w:p>
    <w:p w14:paraId="56A41DA6" w14:textId="33BB6F25" w:rsidR="00B10610" w:rsidRPr="00097548" w:rsidRDefault="000F76BC" w:rsidP="00B10610">
      <w:pPr>
        <w:pStyle w:val="Heading3"/>
      </w:pPr>
      <w:proofErr w:type="spellStart"/>
      <w:r w:rsidRPr="00097548">
        <w:t>Cefiderocol</w:t>
      </w:r>
      <w:proofErr w:type="spellEnd"/>
      <w:r w:rsidRPr="00097548">
        <w:t xml:space="preserve"> is unlikely to offer </w:t>
      </w:r>
      <w:r w:rsidR="00D51898" w:rsidRPr="00097548">
        <w:t>t</w:t>
      </w:r>
      <w:r w:rsidR="00B10610" w:rsidRPr="00097548">
        <w:t>ransmission value</w:t>
      </w:r>
      <w:r w:rsidRPr="00097548">
        <w:t xml:space="preserve">, but this </w:t>
      </w:r>
      <w:r w:rsidR="00B10610" w:rsidRPr="00097548">
        <w:t>is uncertain</w:t>
      </w:r>
    </w:p>
    <w:p w14:paraId="632D265A" w14:textId="15117EE8" w:rsidR="00775443" w:rsidRPr="00097548" w:rsidRDefault="00775443" w:rsidP="00775443">
      <w:pPr>
        <w:pStyle w:val="Numberedlevel2text"/>
        <w:rPr>
          <w:lang w:val="en-GB"/>
        </w:rPr>
      </w:pPr>
      <w:r w:rsidRPr="00097548">
        <w:rPr>
          <w:lang w:val="en-GB"/>
        </w:rPr>
        <w:t xml:space="preserve">Transmission value refers to the benefits of a new antimicrobial reducing transmission of a given pathogen from </w:t>
      </w:r>
      <w:r w:rsidR="00F3117E">
        <w:rPr>
          <w:lang w:val="en-GB"/>
        </w:rPr>
        <w:t xml:space="preserve">treated </w:t>
      </w:r>
      <w:r w:rsidR="00CF59FB" w:rsidRPr="00097548">
        <w:rPr>
          <w:lang w:val="en-GB"/>
        </w:rPr>
        <w:t xml:space="preserve">people </w:t>
      </w:r>
      <w:r w:rsidRPr="00097548">
        <w:rPr>
          <w:lang w:val="en-GB"/>
        </w:rPr>
        <w:t>to other people</w:t>
      </w:r>
      <w:r w:rsidR="00F3117E">
        <w:rPr>
          <w:lang w:val="en-GB"/>
        </w:rPr>
        <w:t>; the value is in</w:t>
      </w:r>
      <w:r w:rsidRPr="00097548">
        <w:rPr>
          <w:lang w:val="en-GB"/>
        </w:rPr>
        <w:t xml:space="preserve"> reducing the incidence of resistant infection. EEPRU did not include transmission value in its analysis, because changes impacting transmission are broad and can have opposite effects. For example, if </w:t>
      </w:r>
      <w:proofErr w:type="spellStart"/>
      <w:r w:rsidRPr="00097548">
        <w:rPr>
          <w:lang w:val="en-GB"/>
        </w:rPr>
        <w:t>cefiderocol</w:t>
      </w:r>
      <w:proofErr w:type="spellEnd"/>
      <w:r w:rsidRPr="00097548">
        <w:rPr>
          <w:lang w:val="en-GB"/>
        </w:rPr>
        <w:t xml:space="preserve"> reduced the length of hospital stay</w:t>
      </w:r>
      <w:r w:rsidR="00F3117E">
        <w:rPr>
          <w:lang w:val="en-GB"/>
        </w:rPr>
        <w:t>, treatment</w:t>
      </w:r>
      <w:r w:rsidRPr="00097548">
        <w:rPr>
          <w:lang w:val="en-GB"/>
        </w:rPr>
        <w:t xml:space="preserve"> could reduce </w:t>
      </w:r>
      <w:r w:rsidRPr="00097548">
        <w:rPr>
          <w:lang w:val="en-GB"/>
        </w:rPr>
        <w:lastRenderedPageBreak/>
        <w:t>transmission</w:t>
      </w:r>
      <w:r w:rsidR="004471FF">
        <w:rPr>
          <w:lang w:val="en-GB"/>
        </w:rPr>
        <w:t>,</w:t>
      </w:r>
      <w:r w:rsidRPr="00097548">
        <w:rPr>
          <w:lang w:val="en-GB"/>
        </w:rPr>
        <w:t xml:space="preserve"> but </w:t>
      </w:r>
      <w:r w:rsidR="004471FF">
        <w:rPr>
          <w:lang w:val="en-GB"/>
        </w:rPr>
        <w:t xml:space="preserve">if </w:t>
      </w:r>
      <w:r w:rsidR="00F3117E">
        <w:rPr>
          <w:lang w:val="en-GB"/>
        </w:rPr>
        <w:t xml:space="preserve">treatment lengthened life </w:t>
      </w:r>
      <w:r w:rsidR="004471FF">
        <w:rPr>
          <w:lang w:val="en-GB"/>
        </w:rPr>
        <w:t xml:space="preserve">this could </w:t>
      </w:r>
      <w:r w:rsidRPr="00097548">
        <w:rPr>
          <w:lang w:val="en-GB"/>
        </w:rPr>
        <w:t>increase length of hospital stay</w:t>
      </w:r>
      <w:r w:rsidR="004471FF">
        <w:rPr>
          <w:lang w:val="en-GB"/>
        </w:rPr>
        <w:t xml:space="preserve"> and increase transmission</w:t>
      </w:r>
      <w:r w:rsidRPr="00097548">
        <w:rPr>
          <w:lang w:val="en-GB"/>
        </w:rPr>
        <w:t>. EEPRU w</w:t>
      </w:r>
      <w:r w:rsidR="00500D1D" w:rsidRPr="00097548">
        <w:rPr>
          <w:lang w:val="en-GB"/>
        </w:rPr>
        <w:t>as</w:t>
      </w:r>
      <w:r w:rsidRPr="00097548">
        <w:rPr>
          <w:lang w:val="en-GB"/>
        </w:rPr>
        <w:t xml:space="preserve"> advised by </w:t>
      </w:r>
      <w:r w:rsidR="00500D1D" w:rsidRPr="00097548">
        <w:rPr>
          <w:lang w:val="en-GB"/>
        </w:rPr>
        <w:t xml:space="preserve">its </w:t>
      </w:r>
      <w:r w:rsidRPr="00097548">
        <w:rPr>
          <w:lang w:val="en-GB"/>
        </w:rPr>
        <w:t xml:space="preserve">clinical experts that </w:t>
      </w:r>
      <w:r w:rsidR="00F3117E">
        <w:rPr>
          <w:lang w:val="en-GB"/>
        </w:rPr>
        <w:t xml:space="preserve">even after successful treatment </w:t>
      </w:r>
      <w:r w:rsidRPr="00097548">
        <w:rPr>
          <w:lang w:val="en-GB"/>
        </w:rPr>
        <w:t xml:space="preserve">pathogens may remain in the gut </w:t>
      </w:r>
      <w:r w:rsidR="00F3117E">
        <w:rPr>
          <w:lang w:val="en-GB"/>
        </w:rPr>
        <w:t xml:space="preserve">which </w:t>
      </w:r>
      <w:r w:rsidR="00500D1D" w:rsidRPr="00097548">
        <w:rPr>
          <w:lang w:val="en-GB"/>
        </w:rPr>
        <w:t>risk</w:t>
      </w:r>
      <w:r w:rsidR="00F3117E">
        <w:rPr>
          <w:lang w:val="en-GB"/>
        </w:rPr>
        <w:t>s</w:t>
      </w:r>
      <w:r w:rsidRPr="00097548">
        <w:rPr>
          <w:lang w:val="en-GB"/>
        </w:rPr>
        <w:t xml:space="preserve"> transmission</w:t>
      </w:r>
      <w:r w:rsidR="00F3117E">
        <w:rPr>
          <w:lang w:val="en-GB"/>
        </w:rPr>
        <w:t>;</w:t>
      </w:r>
      <w:r w:rsidRPr="00097548">
        <w:rPr>
          <w:lang w:val="en-GB"/>
        </w:rPr>
        <w:t xml:space="preserve"> </w:t>
      </w:r>
      <w:r w:rsidR="00F3117E">
        <w:rPr>
          <w:lang w:val="en-GB"/>
        </w:rPr>
        <w:t>a</w:t>
      </w:r>
      <w:r w:rsidRPr="00097548">
        <w:rPr>
          <w:lang w:val="en-GB"/>
        </w:rPr>
        <w:t xml:space="preserve"> committee member with specialist expertise in infectious disease agreed. </w:t>
      </w:r>
      <w:r w:rsidR="00F3117E">
        <w:rPr>
          <w:lang w:val="en-GB"/>
        </w:rPr>
        <w:t>T</w:t>
      </w:r>
      <w:r w:rsidRPr="00097548">
        <w:rPr>
          <w:lang w:val="en-GB"/>
        </w:rPr>
        <w:t xml:space="preserve">he </w:t>
      </w:r>
      <w:r w:rsidR="00F3117E">
        <w:rPr>
          <w:lang w:val="en-GB"/>
        </w:rPr>
        <w:t xml:space="preserve">committee consider that the </w:t>
      </w:r>
      <w:r w:rsidRPr="00097548">
        <w:rPr>
          <w:lang w:val="en-GB"/>
        </w:rPr>
        <w:t>overall direction of effect is unclear and there is a lack of evidence to support one direction or the other. The committee concluded that transmission value was unlikely to be a source of benefit but acknowledged that this was an area of uncertainty.</w:t>
      </w:r>
    </w:p>
    <w:p w14:paraId="014EF792" w14:textId="5371B267" w:rsidR="00B10610" w:rsidRPr="00097548" w:rsidRDefault="00B7465B" w:rsidP="00B10610">
      <w:pPr>
        <w:pStyle w:val="Heading3"/>
      </w:pPr>
      <w:r w:rsidRPr="00097548">
        <w:t>The e</w:t>
      </w:r>
      <w:r w:rsidR="00B10610" w:rsidRPr="00097548">
        <w:t xml:space="preserve">nablement value </w:t>
      </w:r>
      <w:r w:rsidRPr="00097548">
        <w:t xml:space="preserve">of </w:t>
      </w:r>
      <w:proofErr w:type="spellStart"/>
      <w:r w:rsidR="001A446F" w:rsidRPr="00097548">
        <w:t>cefiderocol</w:t>
      </w:r>
      <w:proofErr w:type="spellEnd"/>
      <w:r w:rsidR="001A446F" w:rsidRPr="00097548">
        <w:t xml:space="preserve"> </w:t>
      </w:r>
      <w:r w:rsidR="007B64DA" w:rsidRPr="00097548">
        <w:t>i</w:t>
      </w:r>
      <w:r w:rsidR="00B10610" w:rsidRPr="00097548">
        <w:t>s not fully captured</w:t>
      </w:r>
    </w:p>
    <w:p w14:paraId="10A6B430" w14:textId="58BC351E" w:rsidR="00B10610" w:rsidRPr="00097548" w:rsidRDefault="00A145EA" w:rsidP="00A145EA">
      <w:pPr>
        <w:pStyle w:val="Numberedlevel2text"/>
        <w:rPr>
          <w:lang w:val="en-GB"/>
        </w:rPr>
      </w:pPr>
      <w:r w:rsidRPr="00097548">
        <w:rPr>
          <w:lang w:val="en-GB"/>
        </w:rPr>
        <w:t xml:space="preserve">Enablement value refers to the benefits of </w:t>
      </w:r>
      <w:r w:rsidR="004B40ED" w:rsidRPr="00097548">
        <w:rPr>
          <w:lang w:val="en-GB"/>
        </w:rPr>
        <w:t xml:space="preserve">being able to perform </w:t>
      </w:r>
      <w:r w:rsidRPr="00097548">
        <w:rPr>
          <w:lang w:val="en-GB"/>
        </w:rPr>
        <w:t xml:space="preserve">medical procedures because of new antimicrobials </w:t>
      </w:r>
      <w:r w:rsidR="00D46690" w:rsidRPr="00097548">
        <w:rPr>
          <w:lang w:val="en-GB"/>
        </w:rPr>
        <w:t>for</w:t>
      </w:r>
      <w:r w:rsidRPr="00097548">
        <w:rPr>
          <w:lang w:val="en-GB"/>
        </w:rPr>
        <w:t xml:space="preserve"> resistant infections with few treatment options</w:t>
      </w:r>
      <w:r w:rsidR="004E58A9" w:rsidRPr="00097548">
        <w:rPr>
          <w:lang w:val="en-GB"/>
        </w:rPr>
        <w:t>.</w:t>
      </w:r>
      <w:r w:rsidR="005F1149" w:rsidRPr="00097548">
        <w:rPr>
          <w:lang w:val="en-GB"/>
        </w:rPr>
        <w:t xml:space="preserve"> Whe</w:t>
      </w:r>
      <w:r w:rsidR="007134E7" w:rsidRPr="00097548">
        <w:rPr>
          <w:lang w:val="en-GB"/>
        </w:rPr>
        <w:t>n</w:t>
      </w:r>
      <w:r w:rsidR="005F1149" w:rsidRPr="00097548">
        <w:rPr>
          <w:lang w:val="en-GB"/>
        </w:rPr>
        <w:t xml:space="preserve"> possible, EEPRU included </w:t>
      </w:r>
      <w:r w:rsidR="00725F6D" w:rsidRPr="00097548">
        <w:rPr>
          <w:lang w:val="en-GB"/>
        </w:rPr>
        <w:t xml:space="preserve">some aspects of </w:t>
      </w:r>
      <w:r w:rsidR="009D5CDB" w:rsidRPr="00097548">
        <w:rPr>
          <w:lang w:val="en-GB"/>
        </w:rPr>
        <w:t>this value in its analysis</w:t>
      </w:r>
      <w:r w:rsidR="005F1149" w:rsidRPr="00097548">
        <w:rPr>
          <w:lang w:val="en-GB"/>
        </w:rPr>
        <w:t>, including the improve</w:t>
      </w:r>
      <w:r w:rsidR="001A7E7F" w:rsidRPr="00097548">
        <w:rPr>
          <w:lang w:val="en-GB"/>
        </w:rPr>
        <w:t>d</w:t>
      </w:r>
      <w:r w:rsidR="005F1149" w:rsidRPr="00097548">
        <w:rPr>
          <w:lang w:val="en-GB"/>
        </w:rPr>
        <w:t xml:space="preserve"> treatment of postoperative infections, and </w:t>
      </w:r>
      <w:r w:rsidR="00696DD2" w:rsidRPr="00097548">
        <w:rPr>
          <w:lang w:val="en-GB"/>
        </w:rPr>
        <w:t xml:space="preserve">the benefits of </w:t>
      </w:r>
      <w:r w:rsidR="00F3117E">
        <w:rPr>
          <w:lang w:val="en-GB"/>
        </w:rPr>
        <w:t>freeing up</w:t>
      </w:r>
      <w:r w:rsidR="00696DD2" w:rsidRPr="00097548">
        <w:rPr>
          <w:lang w:val="en-GB"/>
        </w:rPr>
        <w:t xml:space="preserve"> hospital resources</w:t>
      </w:r>
      <w:r w:rsidR="00ED2DB8" w:rsidRPr="00097548">
        <w:rPr>
          <w:lang w:val="en-GB"/>
        </w:rPr>
        <w:t>,</w:t>
      </w:r>
      <w:r w:rsidR="00696DD2" w:rsidRPr="00097548">
        <w:rPr>
          <w:lang w:val="en-GB"/>
        </w:rPr>
        <w:t xml:space="preserve"> that would otherwise be used for treating infections, to enable healthcare and procedures in other patients</w:t>
      </w:r>
      <w:r w:rsidR="005F1149" w:rsidRPr="00097548">
        <w:rPr>
          <w:lang w:val="en-GB"/>
        </w:rPr>
        <w:t xml:space="preserve">. </w:t>
      </w:r>
      <w:r w:rsidR="009D5CDB" w:rsidRPr="00097548">
        <w:rPr>
          <w:lang w:val="en-GB"/>
        </w:rPr>
        <w:t>It did not include o</w:t>
      </w:r>
      <w:r w:rsidR="004468B4" w:rsidRPr="00097548">
        <w:rPr>
          <w:lang w:val="en-GB"/>
        </w:rPr>
        <w:t>ther aspects of enablement</w:t>
      </w:r>
      <w:r w:rsidR="009D5CDB" w:rsidRPr="00097548">
        <w:rPr>
          <w:lang w:val="en-GB"/>
        </w:rPr>
        <w:t>,</w:t>
      </w:r>
      <w:r w:rsidR="004468B4" w:rsidRPr="00097548">
        <w:rPr>
          <w:lang w:val="en-GB"/>
        </w:rPr>
        <w:t xml:space="preserve"> such as increasing the number of procedures </w:t>
      </w:r>
      <w:r w:rsidR="00696DD2" w:rsidRPr="00097548">
        <w:rPr>
          <w:lang w:val="en-GB"/>
        </w:rPr>
        <w:t xml:space="preserve">that </w:t>
      </w:r>
      <w:r w:rsidR="00D5220B">
        <w:rPr>
          <w:lang w:val="en-GB"/>
        </w:rPr>
        <w:t>can</w:t>
      </w:r>
      <w:r w:rsidR="00696DD2" w:rsidRPr="00097548">
        <w:rPr>
          <w:lang w:val="en-GB"/>
        </w:rPr>
        <w:t xml:space="preserve"> go ahead in people whose infections are treated</w:t>
      </w:r>
      <w:r w:rsidR="00ED2DB8" w:rsidRPr="00097548">
        <w:rPr>
          <w:lang w:val="en-GB"/>
        </w:rPr>
        <w:t>,</w:t>
      </w:r>
      <w:r w:rsidR="00696DD2" w:rsidRPr="00097548">
        <w:rPr>
          <w:lang w:val="en-GB"/>
        </w:rPr>
        <w:t xml:space="preserve"> </w:t>
      </w:r>
      <w:r w:rsidR="004468B4" w:rsidRPr="00097548">
        <w:rPr>
          <w:lang w:val="en-GB"/>
        </w:rPr>
        <w:t>or keep</w:t>
      </w:r>
      <w:r w:rsidR="004B40ED" w:rsidRPr="00097548">
        <w:rPr>
          <w:lang w:val="en-GB"/>
        </w:rPr>
        <w:t>ing</w:t>
      </w:r>
      <w:r w:rsidR="004468B4" w:rsidRPr="00097548">
        <w:rPr>
          <w:lang w:val="en-GB"/>
        </w:rPr>
        <w:t xml:space="preserve"> wards open during an outbreak.</w:t>
      </w:r>
      <w:r w:rsidR="007D1B2A" w:rsidRPr="00097548">
        <w:rPr>
          <w:lang w:val="en-GB"/>
        </w:rPr>
        <w:t xml:space="preserve"> </w:t>
      </w:r>
      <w:r w:rsidR="00661DFD" w:rsidRPr="00097548">
        <w:rPr>
          <w:lang w:val="en-GB"/>
        </w:rPr>
        <w:t xml:space="preserve">The committee was aware </w:t>
      </w:r>
      <w:r w:rsidR="008C6992" w:rsidRPr="00097548">
        <w:rPr>
          <w:lang w:val="en-GB"/>
        </w:rPr>
        <w:t xml:space="preserve">that </w:t>
      </w:r>
      <w:r w:rsidR="00876735" w:rsidRPr="00097548">
        <w:rPr>
          <w:lang w:val="en-GB"/>
        </w:rPr>
        <w:t xml:space="preserve">treating </w:t>
      </w:r>
      <w:r w:rsidR="008C6992" w:rsidRPr="00097548">
        <w:rPr>
          <w:lang w:val="en-GB"/>
        </w:rPr>
        <w:t xml:space="preserve">a single </w:t>
      </w:r>
      <w:r w:rsidR="00D07B8C" w:rsidRPr="00097548">
        <w:rPr>
          <w:lang w:val="en-GB"/>
        </w:rPr>
        <w:t>drug</w:t>
      </w:r>
      <w:r w:rsidR="00661DFD" w:rsidRPr="00097548">
        <w:rPr>
          <w:lang w:val="en-GB"/>
        </w:rPr>
        <w:t>-</w:t>
      </w:r>
      <w:r w:rsidR="008C6992" w:rsidRPr="00097548">
        <w:rPr>
          <w:lang w:val="en-GB"/>
        </w:rPr>
        <w:t xml:space="preserve">resistant infection can be costly </w:t>
      </w:r>
      <w:r w:rsidR="00661DFD" w:rsidRPr="00097548">
        <w:rPr>
          <w:lang w:val="en-GB"/>
        </w:rPr>
        <w:t>because</w:t>
      </w:r>
      <w:r w:rsidR="00F3117E" w:rsidRPr="00F3117E">
        <w:rPr>
          <w:lang w:val="en-GB"/>
        </w:rPr>
        <w:t xml:space="preserve">, to reduce the risk of transmission, </w:t>
      </w:r>
      <w:r w:rsidR="008C6992" w:rsidRPr="00097548">
        <w:rPr>
          <w:lang w:val="en-GB"/>
        </w:rPr>
        <w:t xml:space="preserve">staff </w:t>
      </w:r>
      <w:r w:rsidR="000B3107" w:rsidRPr="00097548">
        <w:rPr>
          <w:lang w:val="en-GB"/>
        </w:rPr>
        <w:t xml:space="preserve">allocated to </w:t>
      </w:r>
      <w:r w:rsidR="00661DFD" w:rsidRPr="00097548">
        <w:rPr>
          <w:lang w:val="en-GB"/>
        </w:rPr>
        <w:t xml:space="preserve">this </w:t>
      </w:r>
      <w:r w:rsidR="00CF59FB" w:rsidRPr="00097548">
        <w:rPr>
          <w:lang w:val="en-GB"/>
        </w:rPr>
        <w:t xml:space="preserve">person </w:t>
      </w:r>
      <w:r w:rsidR="000B3107" w:rsidRPr="00097548">
        <w:rPr>
          <w:lang w:val="en-GB"/>
        </w:rPr>
        <w:t xml:space="preserve">are </w:t>
      </w:r>
      <w:r w:rsidR="00661DFD" w:rsidRPr="00097548">
        <w:rPr>
          <w:lang w:val="en-GB"/>
        </w:rPr>
        <w:t xml:space="preserve">unable to </w:t>
      </w:r>
      <w:r w:rsidR="00225D88" w:rsidRPr="00097548">
        <w:rPr>
          <w:lang w:val="en-GB"/>
        </w:rPr>
        <w:t>care for</w:t>
      </w:r>
      <w:r w:rsidR="000B3107" w:rsidRPr="00097548">
        <w:rPr>
          <w:lang w:val="en-GB"/>
        </w:rPr>
        <w:t xml:space="preserve"> other </w:t>
      </w:r>
      <w:r w:rsidR="00CF59FB" w:rsidRPr="00097548">
        <w:rPr>
          <w:lang w:val="en-GB"/>
        </w:rPr>
        <w:t>people</w:t>
      </w:r>
      <w:r w:rsidR="008C6992" w:rsidRPr="00097548">
        <w:rPr>
          <w:lang w:val="en-GB"/>
        </w:rPr>
        <w:t xml:space="preserve">. </w:t>
      </w:r>
      <w:r w:rsidR="004C3B00" w:rsidRPr="00097548">
        <w:rPr>
          <w:lang w:val="en-GB"/>
        </w:rPr>
        <w:t xml:space="preserve">It </w:t>
      </w:r>
      <w:r w:rsidR="00225D88" w:rsidRPr="00097548">
        <w:rPr>
          <w:lang w:val="en-GB"/>
        </w:rPr>
        <w:t xml:space="preserve">noted that </w:t>
      </w:r>
      <w:r w:rsidR="000B3107" w:rsidRPr="00097548">
        <w:rPr>
          <w:lang w:val="en-GB"/>
        </w:rPr>
        <w:t xml:space="preserve">the reduced renal toxicity of </w:t>
      </w:r>
      <w:proofErr w:type="spellStart"/>
      <w:r w:rsidR="000B3107" w:rsidRPr="00097548">
        <w:rPr>
          <w:lang w:val="en-GB"/>
        </w:rPr>
        <w:t>cefiderocol</w:t>
      </w:r>
      <w:proofErr w:type="spellEnd"/>
      <w:r w:rsidR="000B3107" w:rsidRPr="00097548">
        <w:rPr>
          <w:lang w:val="en-GB"/>
        </w:rPr>
        <w:t xml:space="preserve"> </w:t>
      </w:r>
      <w:r w:rsidR="00D46690" w:rsidRPr="00097548">
        <w:rPr>
          <w:lang w:val="en-GB"/>
        </w:rPr>
        <w:t xml:space="preserve">compared with </w:t>
      </w:r>
      <w:r w:rsidR="00910685" w:rsidRPr="00097548">
        <w:rPr>
          <w:lang w:val="en-GB"/>
        </w:rPr>
        <w:t>antimicrobials</w:t>
      </w:r>
      <w:r w:rsidR="00D12C53" w:rsidRPr="00097548">
        <w:rPr>
          <w:lang w:val="en-GB"/>
        </w:rPr>
        <w:t xml:space="preserve"> that clinicians would otherwise offer </w:t>
      </w:r>
      <w:r w:rsidR="000B3107" w:rsidRPr="00097548">
        <w:rPr>
          <w:lang w:val="en-GB"/>
        </w:rPr>
        <w:t xml:space="preserve">would </w:t>
      </w:r>
      <w:r w:rsidR="00225D88" w:rsidRPr="00097548">
        <w:rPr>
          <w:lang w:val="en-GB"/>
        </w:rPr>
        <w:t xml:space="preserve">free up hospital resources by </w:t>
      </w:r>
      <w:r w:rsidR="000B3107" w:rsidRPr="00097548">
        <w:rPr>
          <w:lang w:val="en-GB"/>
        </w:rPr>
        <w:t xml:space="preserve">reducing </w:t>
      </w:r>
      <w:r w:rsidR="00225D88" w:rsidRPr="00097548">
        <w:rPr>
          <w:lang w:val="en-GB"/>
        </w:rPr>
        <w:t xml:space="preserve">the number </w:t>
      </w:r>
      <w:r w:rsidR="000B3107" w:rsidRPr="00097548">
        <w:rPr>
          <w:lang w:val="en-GB"/>
        </w:rPr>
        <w:t xml:space="preserve">of </w:t>
      </w:r>
      <w:r w:rsidR="00225D88" w:rsidRPr="00097548">
        <w:rPr>
          <w:lang w:val="en-GB"/>
        </w:rPr>
        <w:t xml:space="preserve">people needing </w:t>
      </w:r>
      <w:r w:rsidR="000B3107" w:rsidRPr="00097548">
        <w:rPr>
          <w:lang w:val="en-GB"/>
        </w:rPr>
        <w:t>dialysis</w:t>
      </w:r>
      <w:r w:rsidR="00225D88" w:rsidRPr="00097548">
        <w:rPr>
          <w:lang w:val="en-GB"/>
        </w:rPr>
        <w:t xml:space="preserve"> and enabl</w:t>
      </w:r>
      <w:r w:rsidR="00921C21" w:rsidRPr="00097548">
        <w:rPr>
          <w:lang w:val="en-GB"/>
        </w:rPr>
        <w:t>ing</w:t>
      </w:r>
      <w:r w:rsidR="00225D88" w:rsidRPr="00097548">
        <w:rPr>
          <w:lang w:val="en-GB"/>
        </w:rPr>
        <w:t xml:space="preserve"> other procedures to go ahead</w:t>
      </w:r>
      <w:r w:rsidR="000B3107" w:rsidRPr="00097548">
        <w:rPr>
          <w:lang w:val="en-GB"/>
        </w:rPr>
        <w:t xml:space="preserve">. </w:t>
      </w:r>
      <w:r w:rsidR="004468B4" w:rsidRPr="00097548">
        <w:rPr>
          <w:lang w:val="en-GB"/>
        </w:rPr>
        <w:t xml:space="preserve">The committee </w:t>
      </w:r>
      <w:r w:rsidR="00917111" w:rsidRPr="00097548">
        <w:rPr>
          <w:lang w:val="en-GB"/>
        </w:rPr>
        <w:t xml:space="preserve">agreed </w:t>
      </w:r>
      <w:r w:rsidR="004468B4" w:rsidRPr="00097548">
        <w:rPr>
          <w:lang w:val="en-GB"/>
        </w:rPr>
        <w:t xml:space="preserve">that </w:t>
      </w:r>
      <w:r w:rsidR="00270D64" w:rsidRPr="00097548">
        <w:rPr>
          <w:lang w:val="en-GB"/>
        </w:rPr>
        <w:t xml:space="preserve">this was an important source of value for </w:t>
      </w:r>
      <w:proofErr w:type="spellStart"/>
      <w:r w:rsidR="00270D64" w:rsidRPr="00097548">
        <w:rPr>
          <w:lang w:val="en-GB"/>
        </w:rPr>
        <w:t>cefiderocol</w:t>
      </w:r>
      <w:proofErr w:type="spellEnd"/>
      <w:r w:rsidR="00244981" w:rsidRPr="00097548">
        <w:rPr>
          <w:lang w:val="en-GB"/>
        </w:rPr>
        <w:t xml:space="preserve"> </w:t>
      </w:r>
      <w:r w:rsidR="00270D64" w:rsidRPr="00097548">
        <w:rPr>
          <w:lang w:val="en-GB"/>
        </w:rPr>
        <w:t xml:space="preserve">because </w:t>
      </w:r>
      <w:r w:rsidR="00301987" w:rsidRPr="00097548">
        <w:rPr>
          <w:lang w:val="en-GB"/>
        </w:rPr>
        <w:t xml:space="preserve">all </w:t>
      </w:r>
      <w:r w:rsidR="00270D64" w:rsidRPr="00097548">
        <w:rPr>
          <w:lang w:val="en-GB"/>
        </w:rPr>
        <w:t xml:space="preserve">its </w:t>
      </w:r>
      <w:r w:rsidR="00301987" w:rsidRPr="00097548">
        <w:rPr>
          <w:lang w:val="en-GB"/>
        </w:rPr>
        <w:t xml:space="preserve">comparator treatments </w:t>
      </w:r>
      <w:r w:rsidR="00270D64" w:rsidRPr="00097548">
        <w:rPr>
          <w:lang w:val="en-GB"/>
        </w:rPr>
        <w:t xml:space="preserve">are associated with </w:t>
      </w:r>
      <w:r w:rsidR="00301987" w:rsidRPr="00097548">
        <w:rPr>
          <w:lang w:val="en-GB"/>
        </w:rPr>
        <w:t>a high risk of renal toxicity</w:t>
      </w:r>
      <w:r w:rsidR="004C3B00" w:rsidRPr="00097548">
        <w:rPr>
          <w:lang w:val="en-GB"/>
        </w:rPr>
        <w:t>,</w:t>
      </w:r>
      <w:r w:rsidR="00270D64" w:rsidRPr="00097548">
        <w:rPr>
          <w:lang w:val="en-GB"/>
        </w:rPr>
        <w:t xml:space="preserve"> </w:t>
      </w:r>
      <w:r w:rsidR="00917111" w:rsidRPr="00097548">
        <w:rPr>
          <w:lang w:val="en-GB"/>
        </w:rPr>
        <w:t>which would</w:t>
      </w:r>
      <w:r w:rsidR="004C3B00" w:rsidRPr="00097548">
        <w:rPr>
          <w:lang w:val="en-GB"/>
        </w:rPr>
        <w:t xml:space="preserve"> lead to the</w:t>
      </w:r>
      <w:r w:rsidR="00917111" w:rsidRPr="00097548">
        <w:rPr>
          <w:lang w:val="en-GB"/>
        </w:rPr>
        <w:t xml:space="preserve"> </w:t>
      </w:r>
      <w:r w:rsidR="00AC0068" w:rsidRPr="00097548">
        <w:rPr>
          <w:lang w:val="en-GB"/>
        </w:rPr>
        <w:t xml:space="preserve">need </w:t>
      </w:r>
      <w:r w:rsidR="004C3B00" w:rsidRPr="00097548">
        <w:rPr>
          <w:lang w:val="en-GB"/>
        </w:rPr>
        <w:t xml:space="preserve">for </w:t>
      </w:r>
      <w:r w:rsidR="00270D64" w:rsidRPr="00097548">
        <w:rPr>
          <w:lang w:val="en-GB"/>
        </w:rPr>
        <w:t>dialysis.</w:t>
      </w:r>
      <w:r w:rsidR="00892870" w:rsidRPr="00097548">
        <w:rPr>
          <w:lang w:val="en-GB"/>
        </w:rPr>
        <w:t xml:space="preserve"> </w:t>
      </w:r>
      <w:r w:rsidR="00D12C53" w:rsidRPr="00097548">
        <w:rPr>
          <w:lang w:val="en-GB"/>
        </w:rPr>
        <w:t>The committee</w:t>
      </w:r>
      <w:r w:rsidR="00917111" w:rsidRPr="00097548">
        <w:rPr>
          <w:lang w:val="en-GB"/>
        </w:rPr>
        <w:t xml:space="preserve"> agreed</w:t>
      </w:r>
      <w:r w:rsidR="00301987" w:rsidRPr="00097548">
        <w:rPr>
          <w:lang w:val="en-GB"/>
        </w:rPr>
        <w:t xml:space="preserve"> that </w:t>
      </w:r>
      <w:r w:rsidR="004468B4" w:rsidRPr="00097548">
        <w:rPr>
          <w:lang w:val="en-GB"/>
        </w:rPr>
        <w:t xml:space="preserve">enabling procedures to go ahead was a benefit of </w:t>
      </w:r>
      <w:proofErr w:type="spellStart"/>
      <w:r w:rsidR="00917111" w:rsidRPr="00097548">
        <w:rPr>
          <w:lang w:val="en-GB"/>
        </w:rPr>
        <w:t>cefiderocol</w:t>
      </w:r>
      <w:proofErr w:type="spellEnd"/>
      <w:r w:rsidR="004468B4" w:rsidRPr="00097548">
        <w:rPr>
          <w:lang w:val="en-GB"/>
        </w:rPr>
        <w:t xml:space="preserve">. </w:t>
      </w:r>
      <w:r w:rsidR="00661DFD" w:rsidRPr="00097548">
        <w:rPr>
          <w:lang w:val="en-GB"/>
        </w:rPr>
        <w:t>The committee noted that improvements in medicine meant that the number of procedures and interventions</w:t>
      </w:r>
      <w:r w:rsidR="00921C21" w:rsidRPr="00097548">
        <w:rPr>
          <w:lang w:val="en-GB"/>
        </w:rPr>
        <w:t>,</w:t>
      </w:r>
      <w:r w:rsidR="00661DFD" w:rsidRPr="00097548">
        <w:rPr>
          <w:lang w:val="en-GB"/>
        </w:rPr>
        <w:t xml:space="preserve"> including</w:t>
      </w:r>
      <w:r w:rsidR="00921C21" w:rsidRPr="00097548">
        <w:rPr>
          <w:lang w:val="en-GB"/>
        </w:rPr>
        <w:t xml:space="preserve"> </w:t>
      </w:r>
      <w:r w:rsidR="00661DFD" w:rsidRPr="00097548">
        <w:rPr>
          <w:lang w:val="en-GB"/>
        </w:rPr>
        <w:t xml:space="preserve">organ transplantation and new </w:t>
      </w:r>
      <w:r w:rsidR="00661DFD" w:rsidRPr="00097548">
        <w:rPr>
          <w:lang w:val="en-GB"/>
        </w:rPr>
        <w:lastRenderedPageBreak/>
        <w:t xml:space="preserve">cancer treatments, </w:t>
      </w:r>
      <w:r w:rsidR="00921C21" w:rsidRPr="00097548">
        <w:rPr>
          <w:lang w:val="en-GB"/>
        </w:rPr>
        <w:t xml:space="preserve">has </w:t>
      </w:r>
      <w:r w:rsidR="00661DFD" w:rsidRPr="00097548">
        <w:rPr>
          <w:lang w:val="en-GB"/>
        </w:rPr>
        <w:t>increased in recent years and will continue to increase in the next 5 to 10 years</w:t>
      </w:r>
      <w:r w:rsidR="00F3117E">
        <w:rPr>
          <w:lang w:val="en-GB"/>
        </w:rPr>
        <w:t xml:space="preserve"> and beyond</w:t>
      </w:r>
      <w:r w:rsidR="00661DFD" w:rsidRPr="00097548">
        <w:rPr>
          <w:lang w:val="en-GB"/>
        </w:rPr>
        <w:t>.</w:t>
      </w:r>
      <w:bookmarkStart w:id="18" w:name="_Hlk97806272"/>
      <w:r w:rsidR="00173279" w:rsidRPr="00097548">
        <w:rPr>
          <w:lang w:val="en-GB"/>
        </w:rPr>
        <w:t xml:space="preserve"> </w:t>
      </w:r>
      <w:bookmarkStart w:id="19" w:name="_Hlk99376281"/>
      <w:bookmarkStart w:id="20" w:name="_Hlk98760546"/>
      <w:r w:rsidR="00D12C53" w:rsidRPr="00097548">
        <w:rPr>
          <w:lang w:val="en-GB"/>
        </w:rPr>
        <w:t xml:space="preserve">The committee </w:t>
      </w:r>
      <w:r w:rsidR="000768A5">
        <w:rPr>
          <w:lang w:val="en-GB"/>
        </w:rPr>
        <w:t>recognised</w:t>
      </w:r>
      <w:r w:rsidR="00D12C53" w:rsidRPr="00097548">
        <w:rPr>
          <w:lang w:val="en-GB"/>
        </w:rPr>
        <w:t xml:space="preserve"> that </w:t>
      </w:r>
      <w:bookmarkStart w:id="21" w:name="_Hlk98845087"/>
      <w:r w:rsidR="00D470CB" w:rsidRPr="00097548">
        <w:rPr>
          <w:lang w:val="en-GB"/>
        </w:rPr>
        <w:t xml:space="preserve">the magnitude of </w:t>
      </w:r>
      <w:proofErr w:type="spellStart"/>
      <w:r w:rsidR="00D470CB" w:rsidRPr="00097548">
        <w:rPr>
          <w:lang w:val="en-GB"/>
        </w:rPr>
        <w:t>cefiderocol’s</w:t>
      </w:r>
      <w:proofErr w:type="spellEnd"/>
      <w:r w:rsidR="00D470CB" w:rsidRPr="00097548">
        <w:rPr>
          <w:lang w:val="en-GB"/>
        </w:rPr>
        <w:t xml:space="preserve"> enablement value depends, in part, on </w:t>
      </w:r>
      <w:bookmarkEnd w:id="21"/>
      <w:r w:rsidR="000768A5">
        <w:rPr>
          <w:lang w:val="en-GB"/>
        </w:rPr>
        <w:t>the value of the</w:t>
      </w:r>
      <w:r w:rsidR="00D12C53" w:rsidRPr="00097548">
        <w:rPr>
          <w:lang w:val="en-GB"/>
        </w:rPr>
        <w:t xml:space="preserve"> ‘enabled’ </w:t>
      </w:r>
      <w:bookmarkEnd w:id="19"/>
      <w:r w:rsidR="000768A5">
        <w:rPr>
          <w:lang w:val="en-GB"/>
        </w:rPr>
        <w:t>procedures</w:t>
      </w:r>
      <w:r w:rsidR="00D12C53" w:rsidRPr="00097548">
        <w:rPr>
          <w:lang w:val="en-GB"/>
        </w:rPr>
        <w:t xml:space="preserve">. </w:t>
      </w:r>
      <w:bookmarkEnd w:id="20"/>
      <w:r w:rsidR="00173279" w:rsidRPr="00097548">
        <w:rPr>
          <w:lang w:val="en-GB"/>
        </w:rPr>
        <w:t xml:space="preserve">The committee </w:t>
      </w:r>
      <w:r w:rsidR="009B5938" w:rsidRPr="00097548">
        <w:rPr>
          <w:lang w:val="en-GB"/>
        </w:rPr>
        <w:t xml:space="preserve">was </w:t>
      </w:r>
      <w:r w:rsidR="00D12C53" w:rsidRPr="00097548">
        <w:rPr>
          <w:lang w:val="en-GB"/>
        </w:rPr>
        <w:t xml:space="preserve">also </w:t>
      </w:r>
      <w:r w:rsidR="009B5938" w:rsidRPr="00097548">
        <w:rPr>
          <w:lang w:val="en-GB"/>
        </w:rPr>
        <w:t>aware</w:t>
      </w:r>
      <w:r w:rsidR="00173279" w:rsidRPr="00097548">
        <w:rPr>
          <w:lang w:val="en-GB"/>
        </w:rPr>
        <w:t xml:space="preserve"> that the model</w:t>
      </w:r>
      <w:r w:rsidR="009B5938" w:rsidRPr="00097548">
        <w:rPr>
          <w:lang w:val="en-GB"/>
        </w:rPr>
        <w:t xml:space="preserve"> </w:t>
      </w:r>
      <w:r w:rsidR="00173279" w:rsidRPr="00097548">
        <w:rPr>
          <w:lang w:val="en-GB"/>
        </w:rPr>
        <w:t xml:space="preserve">did not capture the value provided by </w:t>
      </w:r>
      <w:proofErr w:type="spellStart"/>
      <w:r w:rsidR="00173279" w:rsidRPr="00097548">
        <w:rPr>
          <w:lang w:val="en-GB"/>
        </w:rPr>
        <w:t>cefiderocol</w:t>
      </w:r>
      <w:proofErr w:type="spellEnd"/>
      <w:r w:rsidR="00173279" w:rsidRPr="00097548">
        <w:rPr>
          <w:lang w:val="en-GB"/>
        </w:rPr>
        <w:t xml:space="preserve"> of reducing staff time and other hospital resources that are </w:t>
      </w:r>
      <w:r w:rsidR="009B5938" w:rsidRPr="00097548">
        <w:rPr>
          <w:lang w:val="en-GB"/>
        </w:rPr>
        <w:t>lost</w:t>
      </w:r>
      <w:r w:rsidR="00173279" w:rsidRPr="00097548">
        <w:rPr>
          <w:lang w:val="en-GB"/>
        </w:rPr>
        <w:t xml:space="preserve"> because of procedures</w:t>
      </w:r>
      <w:r w:rsidR="00D12C53" w:rsidRPr="00097548">
        <w:rPr>
          <w:lang w:val="en-GB"/>
        </w:rPr>
        <w:t xml:space="preserve"> cancelled because of infection</w:t>
      </w:r>
      <w:r w:rsidR="00173279" w:rsidRPr="00097548">
        <w:rPr>
          <w:lang w:val="en-GB"/>
        </w:rPr>
        <w:t>.</w:t>
      </w:r>
      <w:bookmarkEnd w:id="18"/>
      <w:r w:rsidR="004F3274" w:rsidRPr="00097548">
        <w:rPr>
          <w:lang w:val="en-GB"/>
        </w:rPr>
        <w:t xml:space="preserve"> The committee acknowledged the challenges in modelling enablement </w:t>
      </w:r>
      <w:proofErr w:type="gramStart"/>
      <w:r w:rsidR="004F3274" w:rsidRPr="00097548">
        <w:rPr>
          <w:lang w:val="en-GB"/>
        </w:rPr>
        <w:t>value</w:t>
      </w:r>
      <w:r w:rsidR="00F3117E">
        <w:rPr>
          <w:lang w:val="en-GB"/>
        </w:rPr>
        <w:t>,</w:t>
      </w:r>
      <w:r w:rsidR="004F3274" w:rsidRPr="00097548">
        <w:rPr>
          <w:lang w:val="en-GB"/>
        </w:rPr>
        <w:t xml:space="preserve"> and</w:t>
      </w:r>
      <w:proofErr w:type="gramEnd"/>
      <w:r w:rsidR="004F3274" w:rsidRPr="00097548">
        <w:rPr>
          <w:lang w:val="en-GB"/>
        </w:rPr>
        <w:t xml:space="preserve"> concluded that EEPRU’s model had not fully captured </w:t>
      </w:r>
      <w:r w:rsidR="00F3117E">
        <w:rPr>
          <w:lang w:val="en-GB"/>
        </w:rPr>
        <w:t>it</w:t>
      </w:r>
      <w:r w:rsidR="004F3274" w:rsidRPr="00097548">
        <w:rPr>
          <w:lang w:val="en-GB"/>
        </w:rPr>
        <w:t>.</w:t>
      </w:r>
    </w:p>
    <w:p w14:paraId="7632F27D" w14:textId="11CE556C" w:rsidR="00B10610" w:rsidRPr="00097548" w:rsidRDefault="00B7465B" w:rsidP="00B10610">
      <w:pPr>
        <w:pStyle w:val="Heading3"/>
      </w:pPr>
      <w:r w:rsidRPr="00097548">
        <w:t>The d</w:t>
      </w:r>
      <w:r w:rsidR="00B10610" w:rsidRPr="00097548">
        <w:t>iversity value</w:t>
      </w:r>
      <w:r w:rsidR="00BB67B4" w:rsidRPr="00097548">
        <w:t xml:space="preserve"> of </w:t>
      </w:r>
      <w:proofErr w:type="spellStart"/>
      <w:r w:rsidR="000B3107" w:rsidRPr="00097548">
        <w:t>cefiderocol</w:t>
      </w:r>
      <w:proofErr w:type="spellEnd"/>
      <w:r w:rsidR="00B10610" w:rsidRPr="00097548">
        <w:t xml:space="preserve"> </w:t>
      </w:r>
      <w:r w:rsidR="007B64DA" w:rsidRPr="00097548">
        <w:t>i</w:t>
      </w:r>
      <w:r w:rsidR="00B10610" w:rsidRPr="00097548">
        <w:t>s not captured</w:t>
      </w:r>
    </w:p>
    <w:p w14:paraId="21BB55C8" w14:textId="5F11536F" w:rsidR="00C64A47" w:rsidRPr="00097548" w:rsidRDefault="00A145EA" w:rsidP="00C64A47">
      <w:pPr>
        <w:pStyle w:val="Numberedlevel2text"/>
        <w:rPr>
          <w:lang w:val="en-GB"/>
        </w:rPr>
      </w:pPr>
      <w:r w:rsidRPr="00097548">
        <w:rPr>
          <w:lang w:val="en-GB"/>
        </w:rPr>
        <w:t xml:space="preserve">Diversity value refers to the benefits </w:t>
      </w:r>
      <w:r w:rsidR="00F3117E">
        <w:rPr>
          <w:lang w:val="en-GB"/>
        </w:rPr>
        <w:t>that</w:t>
      </w:r>
      <w:r w:rsidRPr="00097548">
        <w:rPr>
          <w:lang w:val="en-GB"/>
        </w:rPr>
        <w:t xml:space="preserve"> new antimicrobials </w:t>
      </w:r>
      <w:r w:rsidR="00F3117E">
        <w:rPr>
          <w:lang w:val="en-GB"/>
        </w:rPr>
        <w:t xml:space="preserve">offer by </w:t>
      </w:r>
      <w:r w:rsidR="00C63885" w:rsidRPr="00097548">
        <w:rPr>
          <w:lang w:val="en-GB"/>
        </w:rPr>
        <w:t>diversifying</w:t>
      </w:r>
      <w:r w:rsidRPr="00097548">
        <w:rPr>
          <w:lang w:val="en-GB"/>
        </w:rPr>
        <w:t xml:space="preserve"> the range of treatments available</w:t>
      </w:r>
      <w:r w:rsidR="004C3B00" w:rsidRPr="00097548">
        <w:rPr>
          <w:lang w:val="en-GB"/>
        </w:rPr>
        <w:t>,</w:t>
      </w:r>
      <w:r w:rsidR="00D12C53" w:rsidRPr="00097548">
        <w:rPr>
          <w:lang w:val="en-GB"/>
        </w:rPr>
        <w:t xml:space="preserve"> thereby </w:t>
      </w:r>
      <w:r w:rsidRPr="00097548">
        <w:rPr>
          <w:lang w:val="en-GB"/>
        </w:rPr>
        <w:t xml:space="preserve">reducing </w:t>
      </w:r>
      <w:r w:rsidR="00936984" w:rsidRPr="00097548">
        <w:rPr>
          <w:lang w:val="en-GB"/>
        </w:rPr>
        <w:t>use of</w:t>
      </w:r>
      <w:r w:rsidRPr="00097548">
        <w:rPr>
          <w:lang w:val="en-GB"/>
        </w:rPr>
        <w:t xml:space="preserve"> </w:t>
      </w:r>
      <w:r w:rsidR="00E30E77" w:rsidRPr="00097548">
        <w:rPr>
          <w:lang w:val="en-GB"/>
        </w:rPr>
        <w:t xml:space="preserve">individual </w:t>
      </w:r>
      <w:r w:rsidRPr="00097548">
        <w:rPr>
          <w:lang w:val="en-GB"/>
        </w:rPr>
        <w:t>treatments</w:t>
      </w:r>
      <w:r w:rsidR="004937C6" w:rsidRPr="00097548">
        <w:rPr>
          <w:lang w:val="en-GB"/>
        </w:rPr>
        <w:t xml:space="preserve">. EEPRU did not model </w:t>
      </w:r>
      <w:r w:rsidR="00936984" w:rsidRPr="00097548">
        <w:rPr>
          <w:lang w:val="en-GB"/>
        </w:rPr>
        <w:t xml:space="preserve">strategies involving </w:t>
      </w:r>
      <w:r w:rsidR="004937C6" w:rsidRPr="00097548">
        <w:rPr>
          <w:lang w:val="en-GB"/>
        </w:rPr>
        <w:t>diverse prescribing</w:t>
      </w:r>
      <w:r w:rsidR="00B7465B" w:rsidRPr="00097548">
        <w:rPr>
          <w:lang w:val="en-GB"/>
        </w:rPr>
        <w:t>,</w:t>
      </w:r>
      <w:r w:rsidR="004937C6" w:rsidRPr="00097548">
        <w:rPr>
          <w:lang w:val="en-GB"/>
        </w:rPr>
        <w:t xml:space="preserve"> </w:t>
      </w:r>
      <w:r w:rsidR="00936984" w:rsidRPr="00097548">
        <w:rPr>
          <w:lang w:val="en-GB"/>
        </w:rPr>
        <w:t xml:space="preserve">which </w:t>
      </w:r>
      <w:r w:rsidR="004937C6" w:rsidRPr="00097548">
        <w:rPr>
          <w:lang w:val="en-GB"/>
        </w:rPr>
        <w:t xml:space="preserve">it considered </w:t>
      </w:r>
      <w:r w:rsidR="00936984" w:rsidRPr="00097548">
        <w:rPr>
          <w:lang w:val="en-GB"/>
        </w:rPr>
        <w:t xml:space="preserve">inappropriate </w:t>
      </w:r>
      <w:r w:rsidR="004937C6" w:rsidRPr="00097548">
        <w:rPr>
          <w:lang w:val="en-GB"/>
        </w:rPr>
        <w:t>in high</w:t>
      </w:r>
      <w:r w:rsidR="00CE2168" w:rsidRPr="00097548">
        <w:rPr>
          <w:lang w:val="en-GB"/>
        </w:rPr>
        <w:t>-</w:t>
      </w:r>
      <w:r w:rsidR="004937C6" w:rsidRPr="00097548">
        <w:rPr>
          <w:lang w:val="en-GB"/>
        </w:rPr>
        <w:t>value clinical scenarios</w:t>
      </w:r>
      <w:r w:rsidR="00936984" w:rsidRPr="00097548">
        <w:rPr>
          <w:lang w:val="en-GB"/>
        </w:rPr>
        <w:t xml:space="preserve"> without</w:t>
      </w:r>
      <w:r w:rsidR="004937C6" w:rsidRPr="00097548">
        <w:rPr>
          <w:lang w:val="en-GB"/>
        </w:rPr>
        <w:t xml:space="preserve"> effective alternative treatment</w:t>
      </w:r>
      <w:r w:rsidR="0013398F" w:rsidRPr="00097548">
        <w:rPr>
          <w:lang w:val="en-GB"/>
        </w:rPr>
        <w:t>s</w:t>
      </w:r>
      <w:r w:rsidR="004937C6" w:rsidRPr="00097548">
        <w:rPr>
          <w:lang w:val="en-GB"/>
        </w:rPr>
        <w:t xml:space="preserve">. </w:t>
      </w:r>
      <w:r w:rsidR="00C07D36" w:rsidRPr="00097548">
        <w:rPr>
          <w:lang w:val="en-GB"/>
        </w:rPr>
        <w:t xml:space="preserve">EEPRU considered that </w:t>
      </w:r>
      <w:proofErr w:type="spellStart"/>
      <w:r w:rsidR="00C07D36" w:rsidRPr="00097548">
        <w:rPr>
          <w:lang w:val="en-GB"/>
        </w:rPr>
        <w:t>cefiderocol</w:t>
      </w:r>
      <w:proofErr w:type="spellEnd"/>
      <w:r w:rsidR="00C07D36" w:rsidRPr="00097548">
        <w:rPr>
          <w:lang w:val="en-GB"/>
        </w:rPr>
        <w:t xml:space="preserve"> should not be used </w:t>
      </w:r>
      <w:r w:rsidR="00C07D36">
        <w:rPr>
          <w:lang w:val="en-GB"/>
        </w:rPr>
        <w:t>o</w:t>
      </w:r>
      <w:r w:rsidR="00C64A47" w:rsidRPr="00097548">
        <w:rPr>
          <w:lang w:val="en-GB"/>
        </w:rPr>
        <w:t>utside of high-value clinical scenarios</w:t>
      </w:r>
      <w:r w:rsidR="00C07D36">
        <w:rPr>
          <w:lang w:val="en-GB"/>
        </w:rPr>
        <w:t xml:space="preserve"> </w:t>
      </w:r>
      <w:r w:rsidR="00C64A47" w:rsidRPr="00097548">
        <w:rPr>
          <w:lang w:val="en-GB"/>
        </w:rPr>
        <w:t>to avoid developing resistance</w:t>
      </w:r>
      <w:r w:rsidR="0013398F" w:rsidRPr="00097548">
        <w:rPr>
          <w:lang w:val="en-GB"/>
        </w:rPr>
        <w:t xml:space="preserve"> associated with othe</w:t>
      </w:r>
      <w:r w:rsidR="00AE341C" w:rsidRPr="00097548">
        <w:rPr>
          <w:lang w:val="en-GB"/>
        </w:rPr>
        <w:t>r</w:t>
      </w:r>
      <w:r w:rsidR="0013398F" w:rsidRPr="00097548">
        <w:rPr>
          <w:lang w:val="en-GB"/>
        </w:rPr>
        <w:t xml:space="preserve"> antimicrobials</w:t>
      </w:r>
      <w:r w:rsidR="00C64A47" w:rsidRPr="00097548">
        <w:rPr>
          <w:lang w:val="en-GB"/>
        </w:rPr>
        <w:t xml:space="preserve">. The clinical experts suggested that </w:t>
      </w:r>
      <w:r w:rsidR="0013398F" w:rsidRPr="00097548">
        <w:rPr>
          <w:lang w:val="en-GB"/>
        </w:rPr>
        <w:t xml:space="preserve">EEPRU’s </w:t>
      </w:r>
      <w:r w:rsidR="00C64A47" w:rsidRPr="00097548">
        <w:rPr>
          <w:lang w:val="en-GB"/>
        </w:rPr>
        <w:t xml:space="preserve">model underestimated diversity value, explaining that </w:t>
      </w:r>
      <w:proofErr w:type="spellStart"/>
      <w:r w:rsidR="00C64A47" w:rsidRPr="00097548">
        <w:rPr>
          <w:lang w:val="en-GB"/>
        </w:rPr>
        <w:t>cefiderocol</w:t>
      </w:r>
      <w:proofErr w:type="spellEnd"/>
      <w:r w:rsidR="00C64A47" w:rsidRPr="00097548">
        <w:rPr>
          <w:lang w:val="en-GB"/>
        </w:rPr>
        <w:t xml:space="preserve"> will reduce use of carbapenems, and provide an alternative treatment option when there are supply issues with other antimicrobials. They also </w:t>
      </w:r>
      <w:r w:rsidR="00C323F1" w:rsidRPr="00097548">
        <w:rPr>
          <w:lang w:val="en-GB"/>
        </w:rPr>
        <w:t>suggested</w:t>
      </w:r>
      <w:r w:rsidR="00C64A47" w:rsidRPr="00097548">
        <w:rPr>
          <w:lang w:val="en-GB"/>
        </w:rPr>
        <w:t xml:space="preserve"> that diversity value is particularly important when treating severe infections in intensive care units where resistance is more likely to develop because multiple pathogens and resistance mechanisms can be present at the same time</w:t>
      </w:r>
      <w:r w:rsidR="00C323F1" w:rsidRPr="00097548">
        <w:rPr>
          <w:lang w:val="en-GB"/>
        </w:rPr>
        <w:t xml:space="preserve">, noting that </w:t>
      </w:r>
      <w:proofErr w:type="spellStart"/>
      <w:r w:rsidR="00C323F1" w:rsidRPr="00097548">
        <w:rPr>
          <w:lang w:val="en-GB"/>
        </w:rPr>
        <w:t>cefiderocol</w:t>
      </w:r>
      <w:proofErr w:type="spellEnd"/>
      <w:r w:rsidR="00C323F1" w:rsidRPr="00097548">
        <w:rPr>
          <w:lang w:val="en-GB"/>
        </w:rPr>
        <w:t xml:space="preserve"> </w:t>
      </w:r>
      <w:r w:rsidR="0013398F" w:rsidRPr="00097548">
        <w:rPr>
          <w:lang w:val="en-GB"/>
        </w:rPr>
        <w:t>is active</w:t>
      </w:r>
      <w:r w:rsidR="00C323F1" w:rsidRPr="00097548">
        <w:rPr>
          <w:lang w:val="en-GB"/>
        </w:rPr>
        <w:t xml:space="preserve"> against several different pathogens and resistance mechanisms</w:t>
      </w:r>
      <w:r w:rsidR="00C64A47" w:rsidRPr="00097548">
        <w:rPr>
          <w:lang w:val="en-GB"/>
        </w:rPr>
        <w:t xml:space="preserve">. </w:t>
      </w:r>
      <w:r w:rsidR="00693E09" w:rsidRPr="00097548">
        <w:rPr>
          <w:lang w:val="en-GB"/>
        </w:rPr>
        <w:t>The committee noted that p</w:t>
      </w:r>
      <w:r w:rsidR="00B63EDA" w:rsidRPr="00097548">
        <w:rPr>
          <w:lang w:val="en-GB"/>
        </w:rPr>
        <w:t xml:space="preserve">eople in intensive care units </w:t>
      </w:r>
      <w:r w:rsidR="00C07D36">
        <w:rPr>
          <w:lang w:val="en-GB"/>
        </w:rPr>
        <w:t>may</w:t>
      </w:r>
      <w:r w:rsidR="00B63EDA" w:rsidRPr="00097548">
        <w:rPr>
          <w:lang w:val="en-GB"/>
        </w:rPr>
        <w:t xml:space="preserve"> </w:t>
      </w:r>
      <w:r w:rsidR="009D540B" w:rsidRPr="00097548">
        <w:rPr>
          <w:lang w:val="en-GB"/>
        </w:rPr>
        <w:t xml:space="preserve">have </w:t>
      </w:r>
      <w:r w:rsidR="00BC545B" w:rsidRPr="00097548">
        <w:rPr>
          <w:lang w:val="en-GB"/>
        </w:rPr>
        <w:t xml:space="preserve">organ failure and </w:t>
      </w:r>
      <w:r w:rsidR="00B63EDA" w:rsidRPr="00097548">
        <w:rPr>
          <w:lang w:val="en-GB"/>
        </w:rPr>
        <w:t xml:space="preserve">have </w:t>
      </w:r>
      <w:r w:rsidR="00A46C80" w:rsidRPr="00097548">
        <w:rPr>
          <w:lang w:val="en-GB"/>
        </w:rPr>
        <w:t xml:space="preserve">few </w:t>
      </w:r>
      <w:r w:rsidR="00B63EDA" w:rsidRPr="00097548">
        <w:rPr>
          <w:lang w:val="en-GB"/>
        </w:rPr>
        <w:t>treatment options</w:t>
      </w:r>
      <w:r w:rsidR="00971539" w:rsidRPr="00097548">
        <w:rPr>
          <w:lang w:val="en-GB"/>
        </w:rPr>
        <w:t>. It is therefore</w:t>
      </w:r>
      <w:r w:rsidR="00BC545B" w:rsidRPr="00097548">
        <w:rPr>
          <w:lang w:val="en-GB"/>
        </w:rPr>
        <w:t xml:space="preserve"> important to have a diverse range of antimicrobials available</w:t>
      </w:r>
      <w:r w:rsidR="009D540B" w:rsidRPr="00097548">
        <w:rPr>
          <w:lang w:val="en-GB"/>
        </w:rPr>
        <w:t xml:space="preserve"> in this setting</w:t>
      </w:r>
      <w:bookmarkStart w:id="22" w:name="_Hlk97809577"/>
      <w:r w:rsidR="00021146" w:rsidRPr="00097548">
        <w:rPr>
          <w:lang w:val="en-GB"/>
        </w:rPr>
        <w:t xml:space="preserve"> because relying on a limited range of antimicrobials will drive resistance</w:t>
      </w:r>
      <w:bookmarkEnd w:id="22"/>
      <w:r w:rsidR="00BC545B" w:rsidRPr="00097548">
        <w:rPr>
          <w:lang w:val="en-GB"/>
        </w:rPr>
        <w:t>.</w:t>
      </w:r>
      <w:r w:rsidR="00B63EDA" w:rsidRPr="00097548">
        <w:rPr>
          <w:lang w:val="en-GB"/>
        </w:rPr>
        <w:t xml:space="preserve"> </w:t>
      </w:r>
      <w:r w:rsidR="00C64A47" w:rsidRPr="00097548">
        <w:rPr>
          <w:lang w:val="en-GB"/>
        </w:rPr>
        <w:t xml:space="preserve">The committee agreed that </w:t>
      </w:r>
      <w:proofErr w:type="spellStart"/>
      <w:r w:rsidR="00C64A47" w:rsidRPr="00097548">
        <w:rPr>
          <w:lang w:val="en-GB"/>
        </w:rPr>
        <w:t>cefiderocol</w:t>
      </w:r>
      <w:proofErr w:type="spellEnd"/>
      <w:r w:rsidR="00C64A47" w:rsidRPr="00097548">
        <w:rPr>
          <w:lang w:val="en-GB"/>
        </w:rPr>
        <w:t xml:space="preserve"> offered diversity value because it is active against a range of different pathogens, and active against both types of </w:t>
      </w:r>
      <w:proofErr w:type="spellStart"/>
      <w:r w:rsidR="00C64A47" w:rsidRPr="00097548">
        <w:rPr>
          <w:lang w:val="en-GB"/>
        </w:rPr>
        <w:t>carbapenemase</w:t>
      </w:r>
      <w:proofErr w:type="spellEnd"/>
      <w:r w:rsidR="00C64A47" w:rsidRPr="00097548">
        <w:rPr>
          <w:lang w:val="en-GB"/>
        </w:rPr>
        <w:t xml:space="preserve">-mediated resistance in </w:t>
      </w:r>
      <w:r w:rsidR="004C3B00" w:rsidRPr="00097548">
        <w:rPr>
          <w:lang w:val="en-GB"/>
        </w:rPr>
        <w:t>g</w:t>
      </w:r>
      <w:r w:rsidR="00946DA4" w:rsidRPr="00097548">
        <w:rPr>
          <w:lang w:val="en-GB"/>
        </w:rPr>
        <w:t>ram</w:t>
      </w:r>
      <w:r w:rsidR="008E21BE" w:rsidRPr="00097548">
        <w:rPr>
          <w:lang w:val="en-GB"/>
        </w:rPr>
        <w:t>-</w:t>
      </w:r>
      <w:r w:rsidR="00C64A47" w:rsidRPr="00097548">
        <w:rPr>
          <w:lang w:val="en-GB"/>
        </w:rPr>
        <w:lastRenderedPageBreak/>
        <w:t xml:space="preserve">negative bacteria (see </w:t>
      </w:r>
      <w:r w:rsidR="00AC0068" w:rsidRPr="00097548">
        <w:rPr>
          <w:lang w:val="en-GB"/>
        </w:rPr>
        <w:t xml:space="preserve">section </w:t>
      </w:r>
      <w:r w:rsidR="009B5DCA">
        <w:rPr>
          <w:lang w:val="en-GB"/>
        </w:rPr>
        <w:t>4</w:t>
      </w:r>
      <w:r w:rsidR="00C64A47" w:rsidRPr="00097548">
        <w:rPr>
          <w:lang w:val="en-GB"/>
        </w:rPr>
        <w:t xml:space="preserve">.1). The committee concluded that diversity value was an uncaptured value that would increase the net health benefits of </w:t>
      </w:r>
      <w:proofErr w:type="spellStart"/>
      <w:r w:rsidR="00C64A47" w:rsidRPr="00097548">
        <w:rPr>
          <w:lang w:val="en-GB"/>
        </w:rPr>
        <w:t>cefiderocol</w:t>
      </w:r>
      <w:proofErr w:type="spellEnd"/>
      <w:r w:rsidR="00C64A47" w:rsidRPr="00097548">
        <w:rPr>
          <w:lang w:val="en-GB"/>
        </w:rPr>
        <w:t>.</w:t>
      </w:r>
    </w:p>
    <w:p w14:paraId="1196CB23" w14:textId="3D299341" w:rsidR="00B10610" w:rsidRPr="00097548" w:rsidRDefault="00B7465B" w:rsidP="00B10610">
      <w:pPr>
        <w:pStyle w:val="Heading3"/>
      </w:pPr>
      <w:r w:rsidRPr="00097548">
        <w:t>The i</w:t>
      </w:r>
      <w:r w:rsidR="00B10610" w:rsidRPr="00097548">
        <w:t>nsurance value</w:t>
      </w:r>
      <w:r w:rsidR="00BB67B4" w:rsidRPr="00097548">
        <w:t xml:space="preserve"> provided by </w:t>
      </w:r>
      <w:proofErr w:type="spellStart"/>
      <w:r w:rsidR="00FB12B8" w:rsidRPr="00097548">
        <w:t>cefiderocol</w:t>
      </w:r>
      <w:proofErr w:type="spellEnd"/>
      <w:r w:rsidR="00B10610" w:rsidRPr="00097548">
        <w:t xml:space="preserve"> </w:t>
      </w:r>
      <w:r w:rsidR="007B64DA" w:rsidRPr="00097548">
        <w:t>is</w:t>
      </w:r>
      <w:r w:rsidR="00B10610" w:rsidRPr="00097548">
        <w:t xml:space="preserve"> not fully capture</w:t>
      </w:r>
      <w:r w:rsidR="004E58A9" w:rsidRPr="00097548">
        <w:t>d</w:t>
      </w:r>
    </w:p>
    <w:p w14:paraId="4EFE33E0" w14:textId="79D41797" w:rsidR="00D65FFB" w:rsidRPr="00097548" w:rsidRDefault="00A145EA" w:rsidP="000A2349">
      <w:pPr>
        <w:pStyle w:val="Numberedlevel2text"/>
        <w:rPr>
          <w:lang w:val="en-GB"/>
        </w:rPr>
      </w:pPr>
      <w:r w:rsidRPr="00097548">
        <w:rPr>
          <w:lang w:val="en-GB"/>
        </w:rPr>
        <w:t>Insurance value refers to the benefits of reserving a new antimicrobial until resistance eliminates current alternatives as options</w:t>
      </w:r>
      <w:r w:rsidR="00B7465B" w:rsidRPr="00097548">
        <w:rPr>
          <w:lang w:val="en-GB"/>
        </w:rPr>
        <w:t>,</w:t>
      </w:r>
      <w:r w:rsidRPr="00097548">
        <w:rPr>
          <w:lang w:val="en-GB"/>
        </w:rPr>
        <w:t xml:space="preserve"> or </w:t>
      </w:r>
      <w:r w:rsidR="00F42C6E" w:rsidRPr="00097548">
        <w:rPr>
          <w:lang w:val="en-GB"/>
        </w:rPr>
        <w:t>the benefits of being prepared for</w:t>
      </w:r>
      <w:r w:rsidRPr="00097548">
        <w:rPr>
          <w:lang w:val="en-GB"/>
        </w:rPr>
        <w:t xml:space="preserve"> a catastrophic emergence of widespread </w:t>
      </w:r>
      <w:r w:rsidR="00D07B8C" w:rsidRPr="00097548">
        <w:rPr>
          <w:lang w:val="en-GB"/>
        </w:rPr>
        <w:t>drug</w:t>
      </w:r>
      <w:r w:rsidR="00B7465B" w:rsidRPr="00097548">
        <w:rPr>
          <w:lang w:val="en-GB"/>
        </w:rPr>
        <w:t>-</w:t>
      </w:r>
      <w:r w:rsidRPr="00097548">
        <w:rPr>
          <w:lang w:val="en-GB"/>
        </w:rPr>
        <w:t>resistant infections</w:t>
      </w:r>
      <w:r w:rsidR="00F42C6E" w:rsidRPr="00097548">
        <w:rPr>
          <w:lang w:val="en-GB"/>
        </w:rPr>
        <w:t xml:space="preserve"> against which only the new antimicrobial is effective</w:t>
      </w:r>
      <w:r w:rsidR="00AE2AA9" w:rsidRPr="00097548">
        <w:rPr>
          <w:lang w:val="en-GB"/>
        </w:rPr>
        <w:t xml:space="preserve">. </w:t>
      </w:r>
      <w:r w:rsidR="00FF65AF" w:rsidRPr="00097548">
        <w:rPr>
          <w:lang w:val="en-GB"/>
        </w:rPr>
        <w:t xml:space="preserve">The committee was aware that EEPRU did not model a scenario in which </w:t>
      </w:r>
      <w:proofErr w:type="spellStart"/>
      <w:r w:rsidR="00FF65AF" w:rsidRPr="00097548">
        <w:rPr>
          <w:lang w:val="en-GB"/>
        </w:rPr>
        <w:t>cefiderocol</w:t>
      </w:r>
      <w:proofErr w:type="spellEnd"/>
      <w:r w:rsidR="00FF65AF" w:rsidRPr="00097548">
        <w:rPr>
          <w:lang w:val="en-GB"/>
        </w:rPr>
        <w:t xml:space="preserve"> is held back (that is, not used at all to preserve its effectiveness</w:t>
      </w:r>
      <w:r w:rsidR="004C3B00" w:rsidRPr="00097548">
        <w:rPr>
          <w:lang w:val="en-GB"/>
        </w:rPr>
        <w:t>)</w:t>
      </w:r>
      <w:r w:rsidR="00FF65AF" w:rsidRPr="00097548">
        <w:rPr>
          <w:lang w:val="en-GB"/>
        </w:rPr>
        <w:t xml:space="preserve">. It recalled EEPRU’s scenario in which a new drug-resistant pathogen emerges against which </w:t>
      </w:r>
      <w:proofErr w:type="spellStart"/>
      <w:r w:rsidR="00FF65AF" w:rsidRPr="00097548">
        <w:rPr>
          <w:lang w:val="en-GB"/>
        </w:rPr>
        <w:t>cefiderocol</w:t>
      </w:r>
      <w:proofErr w:type="spellEnd"/>
      <w:r w:rsidR="00FF65AF" w:rsidRPr="00097548">
        <w:rPr>
          <w:lang w:val="en-GB"/>
        </w:rPr>
        <w:t xml:space="preserve"> is the only effective treatment (see </w:t>
      </w:r>
      <w:r w:rsidR="00AC0068" w:rsidRPr="00097548">
        <w:rPr>
          <w:lang w:val="en-GB"/>
        </w:rPr>
        <w:t xml:space="preserve">section </w:t>
      </w:r>
      <w:r w:rsidR="009B5DCA">
        <w:rPr>
          <w:lang w:val="en-GB"/>
        </w:rPr>
        <w:t>4</w:t>
      </w:r>
      <w:r w:rsidR="00FF65AF" w:rsidRPr="00097548">
        <w:rPr>
          <w:lang w:val="en-GB"/>
        </w:rPr>
        <w:t>.</w:t>
      </w:r>
      <w:r w:rsidR="007D5CB1" w:rsidRPr="00097548">
        <w:rPr>
          <w:lang w:val="en-GB"/>
        </w:rPr>
        <w:t>15</w:t>
      </w:r>
      <w:r w:rsidR="00FF65AF" w:rsidRPr="00097548">
        <w:rPr>
          <w:lang w:val="en-GB"/>
        </w:rPr>
        <w:t>)</w:t>
      </w:r>
      <w:bookmarkStart w:id="23" w:name="_Hlk97806133"/>
      <w:bookmarkStart w:id="24" w:name="_Hlk97736701"/>
      <w:r w:rsidR="008F4B3B" w:rsidRPr="00097548">
        <w:rPr>
          <w:lang w:val="en-GB"/>
        </w:rPr>
        <w:t xml:space="preserve">. The committee noted that these </w:t>
      </w:r>
      <w:r w:rsidR="00FF65AF" w:rsidRPr="00097548">
        <w:rPr>
          <w:lang w:val="en-GB"/>
        </w:rPr>
        <w:t>analyses were based on adopting a risk</w:t>
      </w:r>
      <w:r w:rsidR="00444E4E" w:rsidRPr="00097548">
        <w:rPr>
          <w:lang w:val="en-GB"/>
        </w:rPr>
        <w:t>-</w:t>
      </w:r>
      <w:r w:rsidR="00FF65AF" w:rsidRPr="00097548">
        <w:rPr>
          <w:lang w:val="en-GB"/>
        </w:rPr>
        <w:t xml:space="preserve">neutral </w:t>
      </w:r>
      <w:proofErr w:type="gramStart"/>
      <w:r w:rsidR="00E16F84" w:rsidRPr="00097548">
        <w:rPr>
          <w:lang w:val="en-GB"/>
        </w:rPr>
        <w:t>perspective</w:t>
      </w:r>
      <w:r w:rsidR="00F6691B" w:rsidRPr="00097548">
        <w:rPr>
          <w:lang w:val="en-GB"/>
        </w:rPr>
        <w:t>,</w:t>
      </w:r>
      <w:r w:rsidR="00E16F84" w:rsidRPr="00097548">
        <w:rPr>
          <w:lang w:val="en-GB"/>
        </w:rPr>
        <w:t xml:space="preserve"> </w:t>
      </w:r>
      <w:r w:rsidR="008F4B3B" w:rsidRPr="00097548">
        <w:rPr>
          <w:lang w:val="en-GB"/>
        </w:rPr>
        <w:t>but</w:t>
      </w:r>
      <w:proofErr w:type="gramEnd"/>
      <w:r w:rsidR="008F4B3B" w:rsidRPr="00097548">
        <w:rPr>
          <w:lang w:val="en-GB"/>
        </w:rPr>
        <w:t xml:space="preserve"> agreed that a </w:t>
      </w:r>
      <w:r w:rsidR="00E30CE4" w:rsidRPr="00097548">
        <w:rPr>
          <w:lang w:val="en-GB"/>
        </w:rPr>
        <w:t xml:space="preserve">risk-averse </w:t>
      </w:r>
      <w:r w:rsidR="008F4B3B" w:rsidRPr="00097548">
        <w:rPr>
          <w:lang w:val="en-GB"/>
        </w:rPr>
        <w:t>perspective is likely to be more appropriate for estimating the insurance value of an antimicrobial</w:t>
      </w:r>
      <w:r w:rsidR="00E16F84" w:rsidRPr="00097548">
        <w:rPr>
          <w:lang w:val="en-GB"/>
        </w:rPr>
        <w:t xml:space="preserve">. </w:t>
      </w:r>
      <w:bookmarkEnd w:id="23"/>
      <w:r w:rsidR="00E16F84" w:rsidRPr="00097548">
        <w:rPr>
          <w:lang w:val="en-GB"/>
        </w:rPr>
        <w:t>Being</w:t>
      </w:r>
      <w:r w:rsidR="00E16F84" w:rsidRPr="00097548">
        <w:rPr>
          <w:lang w:val="en-GB" w:eastAsia="en-GB"/>
        </w:rPr>
        <w:t xml:space="preserve"> </w:t>
      </w:r>
      <w:r w:rsidR="00FF65AF" w:rsidRPr="00097548">
        <w:rPr>
          <w:lang w:val="en-GB"/>
        </w:rPr>
        <w:t>risk</w:t>
      </w:r>
      <w:r w:rsidR="00D5220B">
        <w:rPr>
          <w:lang w:val="en-GB"/>
        </w:rPr>
        <w:t xml:space="preserve"> </w:t>
      </w:r>
      <w:proofErr w:type="gramStart"/>
      <w:r w:rsidR="00FF65AF" w:rsidRPr="00097548">
        <w:rPr>
          <w:lang w:val="en-GB"/>
        </w:rPr>
        <w:t>averse</w:t>
      </w:r>
      <w:proofErr w:type="gramEnd"/>
      <w:r w:rsidR="00FF65AF" w:rsidRPr="00097548">
        <w:rPr>
          <w:lang w:val="en-GB"/>
        </w:rPr>
        <w:t xml:space="preserve"> means paying more than the expected value of a product (in this case, a new antimicrobial) to </w:t>
      </w:r>
      <w:r w:rsidR="00971539" w:rsidRPr="00097548">
        <w:rPr>
          <w:lang w:val="en-GB"/>
        </w:rPr>
        <w:t>i</w:t>
      </w:r>
      <w:r w:rsidR="00FF65AF" w:rsidRPr="00097548">
        <w:rPr>
          <w:lang w:val="en-GB"/>
        </w:rPr>
        <w:t xml:space="preserve">nsure against unwanted future events. </w:t>
      </w:r>
      <w:r w:rsidR="00223CA9" w:rsidRPr="00097548">
        <w:rPr>
          <w:lang w:val="en-GB"/>
        </w:rPr>
        <w:t xml:space="preserve">However, the </w:t>
      </w:r>
      <w:r w:rsidR="00FF65AF" w:rsidRPr="00097548">
        <w:rPr>
          <w:lang w:val="en-GB"/>
        </w:rPr>
        <w:t xml:space="preserve">committee </w:t>
      </w:r>
      <w:r w:rsidR="00223CA9" w:rsidRPr="00097548">
        <w:rPr>
          <w:lang w:val="en-GB"/>
        </w:rPr>
        <w:t xml:space="preserve">acknowledged </w:t>
      </w:r>
      <w:r w:rsidR="00FF65AF" w:rsidRPr="00097548">
        <w:rPr>
          <w:lang w:val="en-GB"/>
        </w:rPr>
        <w:t xml:space="preserve">that </w:t>
      </w:r>
      <w:r w:rsidR="00F6691B" w:rsidRPr="00097548">
        <w:rPr>
          <w:lang w:val="en-GB"/>
        </w:rPr>
        <w:t xml:space="preserve">it </w:t>
      </w:r>
      <w:r w:rsidR="00FF65AF" w:rsidRPr="00097548">
        <w:rPr>
          <w:lang w:val="en-GB"/>
        </w:rPr>
        <w:t>had no basis to determine</w:t>
      </w:r>
      <w:r w:rsidR="007C37D3" w:rsidRPr="00097548">
        <w:rPr>
          <w:lang w:val="en-GB"/>
        </w:rPr>
        <w:t xml:space="preserve"> </w:t>
      </w:r>
      <w:bookmarkStart w:id="25" w:name="_Hlk96007027"/>
      <w:r w:rsidR="007C37D3" w:rsidRPr="00097548">
        <w:rPr>
          <w:lang w:val="en-GB"/>
        </w:rPr>
        <w:t>the additional value</w:t>
      </w:r>
      <w:r w:rsidR="00BA424A" w:rsidRPr="00097548">
        <w:rPr>
          <w:lang w:val="en-GB"/>
        </w:rPr>
        <w:t xml:space="preserve"> that</w:t>
      </w:r>
      <w:r w:rsidR="007C37D3" w:rsidRPr="00097548">
        <w:rPr>
          <w:lang w:val="en-GB"/>
        </w:rPr>
        <w:t xml:space="preserve"> the NHS would be willing to pay to avoid a situation in which an infection emerged that was resistant to all</w:t>
      </w:r>
      <w:r w:rsidR="00BA424A" w:rsidRPr="00097548">
        <w:rPr>
          <w:lang w:val="en-GB"/>
        </w:rPr>
        <w:t xml:space="preserve"> available</w:t>
      </w:r>
      <w:r w:rsidR="007C37D3" w:rsidRPr="00097548">
        <w:rPr>
          <w:lang w:val="en-GB"/>
        </w:rPr>
        <w:t xml:space="preserve"> treatments</w:t>
      </w:r>
      <w:bookmarkEnd w:id="25"/>
      <w:r w:rsidR="007C37D3" w:rsidRPr="00097548">
        <w:rPr>
          <w:lang w:val="en-GB"/>
        </w:rPr>
        <w:t>.</w:t>
      </w:r>
      <w:r w:rsidR="00BA424A" w:rsidRPr="00097548">
        <w:rPr>
          <w:lang w:val="en-GB"/>
        </w:rPr>
        <w:t xml:space="preserve"> </w:t>
      </w:r>
      <w:r w:rsidR="007B64DA" w:rsidRPr="00097548">
        <w:rPr>
          <w:lang w:val="en-GB"/>
        </w:rPr>
        <w:t xml:space="preserve">The committee concluded that </w:t>
      </w:r>
      <w:r w:rsidR="00FF65AF" w:rsidRPr="00097548">
        <w:rPr>
          <w:lang w:val="en-GB"/>
        </w:rPr>
        <w:t>EEPRU’s model</w:t>
      </w:r>
      <w:r w:rsidR="0061729C" w:rsidRPr="00097548">
        <w:rPr>
          <w:lang w:val="en-GB"/>
        </w:rPr>
        <w:t xml:space="preserve"> had not fully captured </w:t>
      </w:r>
      <w:r w:rsidR="00FF65AF" w:rsidRPr="00097548">
        <w:rPr>
          <w:lang w:val="en-GB"/>
        </w:rPr>
        <w:t xml:space="preserve">the potential ‘insurance value’ of </w:t>
      </w:r>
      <w:proofErr w:type="spellStart"/>
      <w:r w:rsidR="00FF65AF" w:rsidRPr="00097548">
        <w:rPr>
          <w:lang w:val="en-GB"/>
        </w:rPr>
        <w:t>cefiderocol</w:t>
      </w:r>
      <w:proofErr w:type="spellEnd"/>
      <w:r w:rsidR="0061729C" w:rsidRPr="00097548">
        <w:rPr>
          <w:lang w:val="en-GB"/>
        </w:rPr>
        <w:t>.</w:t>
      </w:r>
    </w:p>
    <w:bookmarkEnd w:id="24"/>
    <w:p w14:paraId="11CB1AAF" w14:textId="17732174" w:rsidR="00067442" w:rsidRPr="00097548" w:rsidRDefault="00067442" w:rsidP="00B82A82">
      <w:pPr>
        <w:pStyle w:val="Heading2"/>
      </w:pPr>
      <w:r w:rsidRPr="00097548">
        <w:t>Incremental</w:t>
      </w:r>
      <w:r w:rsidR="00B633DC" w:rsidRPr="00097548">
        <w:t xml:space="preserve"> net health</w:t>
      </w:r>
      <w:r w:rsidRPr="00097548">
        <w:t xml:space="preserve"> benefits estimate</w:t>
      </w:r>
    </w:p>
    <w:p w14:paraId="14DA0963" w14:textId="5EE8CEBB" w:rsidR="00322EFF" w:rsidRPr="00097548" w:rsidRDefault="00322EFF" w:rsidP="00322EFF">
      <w:pPr>
        <w:pStyle w:val="Heading3"/>
      </w:pPr>
      <w:r w:rsidRPr="00097548">
        <w:t xml:space="preserve">The incremental </w:t>
      </w:r>
      <w:r w:rsidR="007B200D" w:rsidRPr="00097548">
        <w:t xml:space="preserve">net </w:t>
      </w:r>
      <w:r w:rsidRPr="00097548">
        <w:t xml:space="preserve">health benefit of </w:t>
      </w:r>
      <w:proofErr w:type="spellStart"/>
      <w:r w:rsidR="00692F2C" w:rsidRPr="00097548">
        <w:t>cefiderocol</w:t>
      </w:r>
      <w:proofErr w:type="spellEnd"/>
      <w:r w:rsidR="0051044F" w:rsidRPr="00097548">
        <w:t xml:space="preserve"> </w:t>
      </w:r>
      <w:r w:rsidRPr="00097548">
        <w:t>is</w:t>
      </w:r>
      <w:r w:rsidR="00377413" w:rsidRPr="00097548">
        <w:t xml:space="preserve"> </w:t>
      </w:r>
      <w:r w:rsidR="00EF43A5" w:rsidRPr="00097548">
        <w:t xml:space="preserve">estimated to be </w:t>
      </w:r>
      <w:r w:rsidR="00692F2C" w:rsidRPr="00097548">
        <w:t>16</w:t>
      </w:r>
      <w:r w:rsidR="009416B9" w:rsidRPr="00097548">
        <w:t>,</w:t>
      </w:r>
      <w:r w:rsidR="00692F2C" w:rsidRPr="00097548">
        <w:t>200</w:t>
      </w:r>
      <w:r w:rsidRPr="00097548">
        <w:t xml:space="preserve"> QALY</w:t>
      </w:r>
      <w:r w:rsidR="009416B9" w:rsidRPr="00097548">
        <w:t>s</w:t>
      </w:r>
      <w:r w:rsidRPr="00097548">
        <w:t xml:space="preserve"> over the 20-year modelled time horizon</w:t>
      </w:r>
    </w:p>
    <w:p w14:paraId="4264453D" w14:textId="3EE131F6" w:rsidR="00B81E96" w:rsidRPr="00097548" w:rsidRDefault="002847D4" w:rsidP="009416B9">
      <w:pPr>
        <w:pStyle w:val="Numberedlevel2text"/>
        <w:numPr>
          <w:ilvl w:val="1"/>
          <w:numId w:val="1"/>
        </w:numPr>
        <w:rPr>
          <w:lang w:val="en-GB"/>
        </w:rPr>
      </w:pPr>
      <w:bookmarkStart w:id="26" w:name="_Hlk24556768"/>
      <w:r w:rsidRPr="00097548">
        <w:rPr>
          <w:lang w:val="en-GB"/>
        </w:rPr>
        <w:t xml:space="preserve">The committee </w:t>
      </w:r>
      <w:r w:rsidR="00B81E96" w:rsidRPr="00097548">
        <w:rPr>
          <w:lang w:val="en-GB"/>
        </w:rPr>
        <w:t>recalled</w:t>
      </w:r>
      <w:r w:rsidRPr="00097548">
        <w:rPr>
          <w:lang w:val="en-GB"/>
        </w:rPr>
        <w:t xml:space="preserve"> </w:t>
      </w:r>
      <w:r w:rsidR="00B7465B" w:rsidRPr="00097548">
        <w:rPr>
          <w:lang w:val="en-GB"/>
        </w:rPr>
        <w:t xml:space="preserve">its </w:t>
      </w:r>
      <w:r w:rsidR="00B81E96" w:rsidRPr="00097548">
        <w:rPr>
          <w:lang w:val="en-GB"/>
        </w:rPr>
        <w:t>preferred assumptions</w:t>
      </w:r>
      <w:r w:rsidR="00E4507D" w:rsidRPr="00097548">
        <w:rPr>
          <w:lang w:val="en-GB"/>
        </w:rPr>
        <w:t xml:space="preserve"> from the options presented by EEPRU</w:t>
      </w:r>
      <w:r w:rsidR="00B81E96" w:rsidRPr="00097548">
        <w:rPr>
          <w:lang w:val="en-GB"/>
        </w:rPr>
        <w:t>:</w:t>
      </w:r>
    </w:p>
    <w:p w14:paraId="0098E300" w14:textId="1F5D1FEC" w:rsidR="00692F2C" w:rsidRPr="00097548" w:rsidRDefault="00692F2C" w:rsidP="00067F4E">
      <w:pPr>
        <w:pStyle w:val="Bulletindent1"/>
        <w:numPr>
          <w:ilvl w:val="0"/>
          <w:numId w:val="7"/>
        </w:numPr>
        <w:tabs>
          <w:tab w:val="clear" w:pos="568"/>
          <w:tab w:val="num" w:pos="1418"/>
        </w:tabs>
        <w:ind w:left="1418"/>
      </w:pPr>
      <w:bookmarkStart w:id="27" w:name="_Hlk98518915"/>
      <w:r w:rsidRPr="00097548">
        <w:lastRenderedPageBreak/>
        <w:t xml:space="preserve">The network meta-analysis </w:t>
      </w:r>
      <w:r w:rsidR="00C46168" w:rsidRPr="00097548">
        <w:t xml:space="preserve">of susceptibility studies </w:t>
      </w:r>
      <w:r w:rsidR="00781A85" w:rsidRPr="00097548">
        <w:t xml:space="preserve">used in </w:t>
      </w:r>
      <w:r w:rsidR="002A0A73" w:rsidRPr="00097548">
        <w:t>EEPRU’s base-case economic model</w:t>
      </w:r>
      <w:r w:rsidR="00781A85" w:rsidRPr="00097548">
        <w:t xml:space="preserve"> </w:t>
      </w:r>
      <w:r w:rsidR="00444E4E" w:rsidRPr="00097548">
        <w:t xml:space="preserve">was </w:t>
      </w:r>
      <w:r w:rsidR="00C46168" w:rsidRPr="00097548">
        <w:t xml:space="preserve">an appropriate source of evidence for clinical outcomes </w:t>
      </w:r>
      <w:r w:rsidRPr="00097548">
        <w:t xml:space="preserve">(see </w:t>
      </w:r>
      <w:r w:rsidR="00AC0068" w:rsidRPr="00097548">
        <w:t xml:space="preserve">section </w:t>
      </w:r>
      <w:r w:rsidR="009B5DCA">
        <w:t>4</w:t>
      </w:r>
      <w:r w:rsidRPr="00097548">
        <w:t>.</w:t>
      </w:r>
      <w:r w:rsidR="00C73A9F" w:rsidRPr="00097548">
        <w:t>7</w:t>
      </w:r>
      <w:r w:rsidRPr="00097548">
        <w:t>).</w:t>
      </w:r>
    </w:p>
    <w:bookmarkEnd w:id="27"/>
    <w:p w14:paraId="49194E60" w14:textId="0B3A0CAE" w:rsidR="00B81E96" w:rsidRPr="00097548" w:rsidRDefault="00692F2C" w:rsidP="00067F4E">
      <w:pPr>
        <w:pStyle w:val="Bulletindent1"/>
        <w:numPr>
          <w:ilvl w:val="0"/>
          <w:numId w:val="7"/>
        </w:numPr>
        <w:tabs>
          <w:tab w:val="clear" w:pos="568"/>
          <w:tab w:val="num" w:pos="1418"/>
        </w:tabs>
        <w:ind w:left="1418"/>
      </w:pPr>
      <w:r w:rsidRPr="00097548">
        <w:t>MBL</w:t>
      </w:r>
      <w:r w:rsidR="00851275" w:rsidRPr="00097548">
        <w:t>-</w:t>
      </w:r>
      <w:r w:rsidR="00322C83" w:rsidRPr="00097548">
        <w:t xml:space="preserve">producing </w:t>
      </w:r>
      <w:proofErr w:type="spellStart"/>
      <w:r w:rsidR="00322C83" w:rsidRPr="00067F4E">
        <w:rPr>
          <w:i/>
          <w:iCs/>
        </w:rPr>
        <w:t>Enterobacterale</w:t>
      </w:r>
      <w:r w:rsidR="00EA5F5C" w:rsidRPr="00067F4E">
        <w:rPr>
          <w:i/>
          <w:iCs/>
        </w:rPr>
        <w:t>s</w:t>
      </w:r>
      <w:proofErr w:type="spellEnd"/>
      <w:r w:rsidR="00DA0E05" w:rsidRPr="00067F4E">
        <w:t xml:space="preserve"> infection</w:t>
      </w:r>
      <w:r w:rsidR="00322C83" w:rsidRPr="00067F4E">
        <w:t>s</w:t>
      </w:r>
      <w:r w:rsidR="00322C83" w:rsidRPr="00097548">
        <w:t xml:space="preserve"> </w:t>
      </w:r>
      <w:r w:rsidR="00DA0E05" w:rsidRPr="00097548">
        <w:t xml:space="preserve">are </w:t>
      </w:r>
      <w:r w:rsidR="00322C83" w:rsidRPr="00097548">
        <w:t xml:space="preserve">likely to </w:t>
      </w:r>
      <w:r w:rsidR="00753CEF" w:rsidRPr="00097548">
        <w:t>increas</w:t>
      </w:r>
      <w:r w:rsidR="00781A85" w:rsidRPr="00097548">
        <w:t>e</w:t>
      </w:r>
      <w:r w:rsidR="00753CEF" w:rsidRPr="00097548">
        <w:t xml:space="preserve"> over the modelled</w:t>
      </w:r>
      <w:r w:rsidR="00C07D36">
        <w:t xml:space="preserve"> 20-year</w:t>
      </w:r>
      <w:r w:rsidR="00753CEF" w:rsidRPr="00097548">
        <w:t xml:space="preserve"> time horizon</w:t>
      </w:r>
      <w:r w:rsidR="00F30931" w:rsidRPr="00097548">
        <w:t xml:space="preserve">, that is, </w:t>
      </w:r>
      <w:r w:rsidR="00B81E96" w:rsidRPr="00097548">
        <w:t>follow a persistent</w:t>
      </w:r>
      <w:r w:rsidR="006E77BA">
        <w:t xml:space="preserve"> growth</w:t>
      </w:r>
      <w:r w:rsidR="00B81E96" w:rsidRPr="00097548">
        <w:t xml:space="preserve"> trend</w:t>
      </w:r>
      <w:r w:rsidR="00D51898" w:rsidRPr="00097548">
        <w:t xml:space="preserve"> (see </w:t>
      </w:r>
      <w:r w:rsidR="00AC0068" w:rsidRPr="00097548">
        <w:t xml:space="preserve">section </w:t>
      </w:r>
      <w:r w:rsidR="009B5DCA">
        <w:t>4</w:t>
      </w:r>
      <w:r w:rsidR="00D51898" w:rsidRPr="00097548">
        <w:t>.</w:t>
      </w:r>
      <w:r w:rsidR="00C73A9F" w:rsidRPr="00097548">
        <w:t>13</w:t>
      </w:r>
      <w:r w:rsidR="00D51898" w:rsidRPr="00097548">
        <w:t>)</w:t>
      </w:r>
      <w:r w:rsidR="007249A2" w:rsidRPr="00097548">
        <w:t>.</w:t>
      </w:r>
    </w:p>
    <w:p w14:paraId="5D7ED1B6" w14:textId="085198BF" w:rsidR="00B81E96" w:rsidRPr="00097548" w:rsidRDefault="00F16636" w:rsidP="00067F4E">
      <w:pPr>
        <w:pStyle w:val="Bulletindent1"/>
        <w:numPr>
          <w:ilvl w:val="0"/>
          <w:numId w:val="7"/>
        </w:numPr>
        <w:tabs>
          <w:tab w:val="clear" w:pos="568"/>
          <w:tab w:val="num" w:pos="1418"/>
        </w:tabs>
        <w:ind w:left="1418"/>
      </w:pPr>
      <w:r w:rsidRPr="00097548">
        <w:t>The</w:t>
      </w:r>
      <w:r w:rsidR="00B81E96" w:rsidRPr="00097548">
        <w:t xml:space="preserve"> clinical advis</w:t>
      </w:r>
      <w:r w:rsidR="00CE2168" w:rsidRPr="00097548">
        <w:t>ers</w:t>
      </w:r>
      <w:r w:rsidR="00B81E96" w:rsidRPr="00097548">
        <w:t>’ classification</w:t>
      </w:r>
      <w:r w:rsidRPr="00097548">
        <w:t xml:space="preserve"> </w:t>
      </w:r>
      <w:r w:rsidR="007249A2" w:rsidRPr="00097548">
        <w:t xml:space="preserve">of infection site </w:t>
      </w:r>
      <w:r w:rsidRPr="00097548">
        <w:t xml:space="preserve">is more appropriate </w:t>
      </w:r>
      <w:r w:rsidR="007249A2" w:rsidRPr="00097548">
        <w:t xml:space="preserve">than </w:t>
      </w:r>
      <w:r w:rsidR="0028744F" w:rsidRPr="00097548">
        <w:t>the UKHSA</w:t>
      </w:r>
      <w:r w:rsidR="004F02F9" w:rsidRPr="00097548">
        <w:t>’s</w:t>
      </w:r>
      <w:r w:rsidR="007249A2" w:rsidRPr="00097548">
        <w:t xml:space="preserve"> classification for </w:t>
      </w:r>
      <w:r w:rsidRPr="00097548">
        <w:t>estimat</w:t>
      </w:r>
      <w:r w:rsidR="007249A2" w:rsidRPr="00097548">
        <w:t>ing</w:t>
      </w:r>
      <w:r w:rsidRPr="00097548">
        <w:t xml:space="preserve"> the number of </w:t>
      </w:r>
      <w:r w:rsidR="00B7465B" w:rsidRPr="00097548">
        <w:t xml:space="preserve">people </w:t>
      </w:r>
      <w:r w:rsidRPr="00097548">
        <w:t>currently eligible</w:t>
      </w:r>
      <w:r w:rsidR="00B81E96" w:rsidRPr="00097548">
        <w:t xml:space="preserve"> </w:t>
      </w:r>
      <w:r w:rsidR="007249A2" w:rsidRPr="00097548">
        <w:t xml:space="preserve">for </w:t>
      </w:r>
      <w:proofErr w:type="spellStart"/>
      <w:r w:rsidR="00692F2C" w:rsidRPr="00097548">
        <w:t>cefiderocol</w:t>
      </w:r>
      <w:proofErr w:type="spellEnd"/>
      <w:r w:rsidR="00D51898" w:rsidRPr="00097548">
        <w:t xml:space="preserve"> (see </w:t>
      </w:r>
      <w:r w:rsidR="00AC0068" w:rsidRPr="00097548">
        <w:t xml:space="preserve">section </w:t>
      </w:r>
      <w:r w:rsidR="009B5DCA">
        <w:t>4</w:t>
      </w:r>
      <w:r w:rsidR="00D51898" w:rsidRPr="00097548">
        <w:t>.</w:t>
      </w:r>
      <w:r w:rsidR="00C73A9F" w:rsidRPr="00097548">
        <w:t>12</w:t>
      </w:r>
      <w:r w:rsidR="00D51898" w:rsidRPr="00097548">
        <w:t>)</w:t>
      </w:r>
      <w:r w:rsidR="007249A2" w:rsidRPr="00097548">
        <w:t>.</w:t>
      </w:r>
    </w:p>
    <w:p w14:paraId="68F93AEC" w14:textId="23650A5D" w:rsidR="009E4238" w:rsidRPr="00097548" w:rsidRDefault="00892870" w:rsidP="00067F4E">
      <w:pPr>
        <w:pStyle w:val="Bulletindent1"/>
        <w:numPr>
          <w:ilvl w:val="0"/>
          <w:numId w:val="7"/>
        </w:numPr>
        <w:tabs>
          <w:tab w:val="clear" w:pos="568"/>
          <w:tab w:val="num" w:pos="1418"/>
        </w:tabs>
        <w:ind w:left="1418"/>
      </w:pPr>
      <w:r w:rsidRPr="00097548">
        <w:t>R</w:t>
      </w:r>
      <w:r w:rsidR="00322C83" w:rsidRPr="00097548">
        <w:t xml:space="preserve">esistance </w:t>
      </w:r>
      <w:r w:rsidR="00DA441F" w:rsidRPr="00097548">
        <w:t>to</w:t>
      </w:r>
      <w:r w:rsidR="00781A85" w:rsidRPr="00097548">
        <w:t xml:space="preserve"> </w:t>
      </w:r>
      <w:proofErr w:type="spellStart"/>
      <w:r w:rsidR="00692F2C" w:rsidRPr="00097548">
        <w:t>cefiderocol</w:t>
      </w:r>
      <w:proofErr w:type="spellEnd"/>
      <w:r w:rsidR="00692F2C" w:rsidRPr="00097548">
        <w:t xml:space="preserve"> </w:t>
      </w:r>
      <w:r w:rsidR="00322C83" w:rsidRPr="00097548">
        <w:t xml:space="preserve">will increase by 5% </w:t>
      </w:r>
      <w:r w:rsidR="00F30931" w:rsidRPr="00097548">
        <w:t>over the 20-year modelled time horizon</w:t>
      </w:r>
      <w:r w:rsidR="00D51898" w:rsidRPr="00097548">
        <w:t xml:space="preserve"> (see </w:t>
      </w:r>
      <w:r w:rsidR="00AC0068" w:rsidRPr="00097548">
        <w:t xml:space="preserve">section </w:t>
      </w:r>
      <w:r w:rsidR="009B5DCA">
        <w:t>4</w:t>
      </w:r>
      <w:r w:rsidR="00D51898" w:rsidRPr="00097548">
        <w:t>.</w:t>
      </w:r>
      <w:r w:rsidR="00C73A9F" w:rsidRPr="00097548">
        <w:t>14</w:t>
      </w:r>
      <w:r w:rsidR="00D51898" w:rsidRPr="00097548">
        <w:t>)</w:t>
      </w:r>
      <w:r w:rsidR="007249A2" w:rsidRPr="00097548">
        <w:t>.</w:t>
      </w:r>
    </w:p>
    <w:p w14:paraId="3F4F6AFD" w14:textId="764B5DAF" w:rsidR="00B81E96" w:rsidRPr="00097548" w:rsidRDefault="00B81E96" w:rsidP="00067F4E">
      <w:pPr>
        <w:pStyle w:val="Bulletindent1last"/>
        <w:numPr>
          <w:ilvl w:val="0"/>
          <w:numId w:val="7"/>
        </w:numPr>
        <w:tabs>
          <w:tab w:val="clear" w:pos="568"/>
          <w:tab w:val="num" w:pos="1418"/>
        </w:tabs>
        <w:ind w:left="1418"/>
      </w:pPr>
      <w:r w:rsidRPr="00097548">
        <w:t xml:space="preserve">20% of patients </w:t>
      </w:r>
      <w:r w:rsidR="00B7465B" w:rsidRPr="00097548">
        <w:t>would</w:t>
      </w:r>
      <w:r w:rsidR="00755091" w:rsidRPr="00097548">
        <w:t xml:space="preserve"> not be offered</w:t>
      </w:r>
      <w:r w:rsidRPr="00097548">
        <w:t xml:space="preserve"> colistin</w:t>
      </w:r>
      <w:r w:rsidR="009E4238" w:rsidRPr="00097548">
        <w:t xml:space="preserve"> or </w:t>
      </w:r>
      <w:r w:rsidRPr="00097548">
        <w:t xml:space="preserve">aminoglycoside-based </w:t>
      </w:r>
      <w:r w:rsidR="007249A2" w:rsidRPr="00097548">
        <w:t xml:space="preserve">treatment </w:t>
      </w:r>
      <w:r w:rsidRPr="00097548">
        <w:t>regimen</w:t>
      </w:r>
      <w:r w:rsidR="007249A2" w:rsidRPr="00097548">
        <w:t>s</w:t>
      </w:r>
      <w:r w:rsidR="00D51898" w:rsidRPr="00097548">
        <w:t xml:space="preserve"> (see </w:t>
      </w:r>
      <w:r w:rsidR="00AC0068" w:rsidRPr="00097548">
        <w:t xml:space="preserve">section </w:t>
      </w:r>
      <w:r w:rsidR="009B5DCA">
        <w:t>4</w:t>
      </w:r>
      <w:r w:rsidR="00D51898" w:rsidRPr="00097548">
        <w:t>.</w:t>
      </w:r>
      <w:r w:rsidR="00C73A9F" w:rsidRPr="00097548">
        <w:t>16</w:t>
      </w:r>
      <w:r w:rsidR="00D51898" w:rsidRPr="00097548">
        <w:t>)</w:t>
      </w:r>
      <w:r w:rsidR="007249A2" w:rsidRPr="00097548">
        <w:t>.</w:t>
      </w:r>
    </w:p>
    <w:p w14:paraId="548E23C2" w14:textId="358959A4" w:rsidR="007A008E" w:rsidRPr="00097548" w:rsidRDefault="00B7465B" w:rsidP="001301B7">
      <w:pPr>
        <w:pStyle w:val="Numberedlevel2text"/>
        <w:numPr>
          <w:ilvl w:val="0"/>
          <w:numId w:val="0"/>
        </w:numPr>
        <w:ind w:left="1134"/>
      </w:pPr>
      <w:r w:rsidRPr="00097548">
        <w:t xml:space="preserve">Using these assumptions, the </w:t>
      </w:r>
      <w:r w:rsidR="00B81E96" w:rsidRPr="00097548">
        <w:t xml:space="preserve">incremental </w:t>
      </w:r>
      <w:r w:rsidR="007B200D" w:rsidRPr="00097548">
        <w:t xml:space="preserve">net </w:t>
      </w:r>
      <w:r w:rsidR="00B81E96" w:rsidRPr="00097548">
        <w:t xml:space="preserve">health benefit of </w:t>
      </w:r>
      <w:proofErr w:type="spellStart"/>
      <w:r w:rsidR="00692F2C" w:rsidRPr="00097548">
        <w:t>cefiderocol</w:t>
      </w:r>
      <w:proofErr w:type="spellEnd"/>
      <w:r w:rsidR="00692F2C" w:rsidRPr="00097548">
        <w:t xml:space="preserve"> </w:t>
      </w:r>
      <w:r w:rsidR="009E0FAA" w:rsidRPr="00097548">
        <w:t xml:space="preserve">was </w:t>
      </w:r>
      <w:r w:rsidR="007249A2" w:rsidRPr="00097548">
        <w:t xml:space="preserve">approximately </w:t>
      </w:r>
      <w:r w:rsidR="00692F2C" w:rsidRPr="00097548">
        <w:t>5,400</w:t>
      </w:r>
      <w:r w:rsidR="009E0FAA" w:rsidRPr="00097548">
        <w:t xml:space="preserve"> QALYs. </w:t>
      </w:r>
      <w:r w:rsidR="007A008E" w:rsidRPr="00097548">
        <w:t xml:space="preserve">The committee also recalled its conclusions about the benefits of </w:t>
      </w:r>
      <w:proofErr w:type="spellStart"/>
      <w:r w:rsidR="00692F2C" w:rsidRPr="00097548">
        <w:t>cefiderocol</w:t>
      </w:r>
      <w:proofErr w:type="spellEnd"/>
      <w:r w:rsidR="007A008E" w:rsidRPr="00097548">
        <w:t xml:space="preserve"> not captured in EEPRU’s analysis, specifically:</w:t>
      </w:r>
    </w:p>
    <w:p w14:paraId="09A54833" w14:textId="57F0C7CF" w:rsidR="007A008E" w:rsidRPr="00097548" w:rsidRDefault="007A008E" w:rsidP="00067F4E">
      <w:pPr>
        <w:pStyle w:val="Bulletindent1"/>
        <w:numPr>
          <w:ilvl w:val="0"/>
          <w:numId w:val="7"/>
        </w:numPr>
        <w:tabs>
          <w:tab w:val="clear" w:pos="568"/>
          <w:tab w:val="num" w:pos="1418"/>
        </w:tabs>
        <w:ind w:left="1418"/>
      </w:pPr>
      <w:r w:rsidRPr="00097548">
        <w:t xml:space="preserve">The population </w:t>
      </w:r>
      <w:r w:rsidR="00AC0068" w:rsidRPr="00097548">
        <w:t xml:space="preserve">for </w:t>
      </w:r>
      <w:r w:rsidR="0093371A">
        <w:t>which</w:t>
      </w:r>
      <w:r w:rsidRPr="00097548">
        <w:t xml:space="preserve"> </w:t>
      </w:r>
      <w:proofErr w:type="spellStart"/>
      <w:r w:rsidR="00692F2C" w:rsidRPr="00097548">
        <w:t>cefiderocol</w:t>
      </w:r>
      <w:proofErr w:type="spellEnd"/>
      <w:r w:rsidR="00AC0068" w:rsidRPr="00097548">
        <w:t xml:space="preserve"> is suitable</w:t>
      </w:r>
      <w:r w:rsidR="00692F2C" w:rsidRPr="00097548">
        <w:t xml:space="preserve"> </w:t>
      </w:r>
      <w:r w:rsidRPr="00097548">
        <w:t>is likely to be</w:t>
      </w:r>
      <w:r w:rsidR="00692F2C" w:rsidRPr="00097548">
        <w:t xml:space="preserve"> at least</w:t>
      </w:r>
      <w:r w:rsidRPr="00097548">
        <w:t xml:space="preserve"> 2</w:t>
      </w:r>
      <w:r w:rsidR="00B7465B" w:rsidRPr="00097548">
        <w:t xml:space="preserve"> </w:t>
      </w:r>
      <w:r w:rsidR="00692F2C" w:rsidRPr="00097548">
        <w:t xml:space="preserve">times </w:t>
      </w:r>
      <w:r w:rsidRPr="00097548">
        <w:t>larger than EEPRU’s estimate</w:t>
      </w:r>
      <w:r w:rsidR="00FF65AF" w:rsidRPr="00097548">
        <w:t xml:space="preserve"> (see </w:t>
      </w:r>
      <w:r w:rsidR="00AC0068" w:rsidRPr="00097548">
        <w:t xml:space="preserve">section </w:t>
      </w:r>
      <w:r w:rsidR="009B5DCA">
        <w:t>4</w:t>
      </w:r>
      <w:r w:rsidR="00FF65AF" w:rsidRPr="00097548">
        <w:t>.</w:t>
      </w:r>
      <w:r w:rsidR="00C73A9F" w:rsidRPr="00097548">
        <w:t>10</w:t>
      </w:r>
      <w:r w:rsidR="00FF65AF" w:rsidRPr="00097548">
        <w:t>)</w:t>
      </w:r>
      <w:r w:rsidRPr="00097548">
        <w:t xml:space="preserve">. </w:t>
      </w:r>
      <w:r w:rsidR="00B7465B" w:rsidRPr="00097548">
        <w:t>The c</w:t>
      </w:r>
      <w:r w:rsidRPr="00097548">
        <w:t xml:space="preserve">ommittee understood that increasing the population size would increase the incremental benefit of </w:t>
      </w:r>
      <w:proofErr w:type="spellStart"/>
      <w:r w:rsidR="00692F2C" w:rsidRPr="00097548">
        <w:t>cefiderocol</w:t>
      </w:r>
      <w:proofErr w:type="spellEnd"/>
      <w:r w:rsidR="004B4542" w:rsidRPr="00097548">
        <w:t>.</w:t>
      </w:r>
      <w:r w:rsidRPr="00097548">
        <w:t xml:space="preserve"> </w:t>
      </w:r>
      <w:r w:rsidR="005C4976" w:rsidRPr="00097548">
        <w:t xml:space="preserve">On balance, the committee concluded </w:t>
      </w:r>
      <w:r w:rsidR="00007460">
        <w:t xml:space="preserve">that </w:t>
      </w:r>
      <w:r w:rsidR="005C4976" w:rsidRPr="00097548">
        <w:t xml:space="preserve">the </w:t>
      </w:r>
      <w:r w:rsidR="00CD4D14" w:rsidRPr="00097548">
        <w:t xml:space="preserve">doubled </w:t>
      </w:r>
      <w:r w:rsidR="005C4976" w:rsidRPr="00097548">
        <w:t xml:space="preserve">population size would double the incremental QALYs for </w:t>
      </w:r>
      <w:proofErr w:type="spellStart"/>
      <w:r w:rsidR="00444E4E" w:rsidRPr="00097548">
        <w:t>cefiderocol</w:t>
      </w:r>
      <w:proofErr w:type="spellEnd"/>
      <w:r w:rsidR="005C4976" w:rsidRPr="00097548">
        <w:t>.</w:t>
      </w:r>
    </w:p>
    <w:p w14:paraId="7BD70AED" w14:textId="42B5730D" w:rsidR="007A008E" w:rsidRPr="00097548" w:rsidRDefault="00755091" w:rsidP="00067F4E">
      <w:pPr>
        <w:pStyle w:val="Bulletindent1last"/>
        <w:numPr>
          <w:ilvl w:val="0"/>
          <w:numId w:val="7"/>
        </w:numPr>
        <w:tabs>
          <w:tab w:val="clear" w:pos="568"/>
          <w:tab w:val="num" w:pos="1418"/>
        </w:tabs>
        <w:ind w:left="1418"/>
      </w:pPr>
      <w:r w:rsidRPr="00097548">
        <w:t xml:space="preserve">The model did </w:t>
      </w:r>
      <w:r w:rsidR="00B7465B" w:rsidRPr="00097548">
        <w:t xml:space="preserve">not </w:t>
      </w:r>
      <w:r w:rsidRPr="00097548">
        <w:t xml:space="preserve">capture all elements of value. </w:t>
      </w:r>
      <w:r w:rsidR="00692F2C" w:rsidRPr="00097548">
        <w:t xml:space="preserve">EEPRU’s assumption that there would be no growth in the population of </w:t>
      </w:r>
      <w:r w:rsidR="002F3842" w:rsidRPr="00097548">
        <w:t xml:space="preserve">people with </w:t>
      </w:r>
      <w:r w:rsidR="00921C21" w:rsidRPr="00097548">
        <w:t xml:space="preserve">MBL-producing </w:t>
      </w:r>
      <w:r w:rsidR="00067F4E" w:rsidRPr="00067F4E">
        <w:rPr>
          <w:i/>
          <w:iCs/>
        </w:rPr>
        <w:t>Pseudomonas aeruginosa</w:t>
      </w:r>
      <w:r w:rsidR="00692F2C" w:rsidRPr="00097548">
        <w:t xml:space="preserve"> infections would likely underestimate the benefits of </w:t>
      </w:r>
      <w:proofErr w:type="spellStart"/>
      <w:r w:rsidR="00692F2C" w:rsidRPr="00097548">
        <w:t>cefiderocol</w:t>
      </w:r>
      <w:proofErr w:type="spellEnd"/>
      <w:r w:rsidR="00FF65AF" w:rsidRPr="00097548">
        <w:t xml:space="preserve"> (see</w:t>
      </w:r>
      <w:r w:rsidR="002F3842" w:rsidRPr="00097548">
        <w:t xml:space="preserve"> </w:t>
      </w:r>
      <w:r w:rsidR="00AC0068" w:rsidRPr="00097548">
        <w:t xml:space="preserve">section </w:t>
      </w:r>
      <w:r w:rsidR="009B5DCA">
        <w:t>4</w:t>
      </w:r>
      <w:r w:rsidR="002F3842" w:rsidRPr="00097548">
        <w:t>.</w:t>
      </w:r>
      <w:r w:rsidR="00C73A9F" w:rsidRPr="00097548">
        <w:t>13</w:t>
      </w:r>
      <w:r w:rsidR="002F3842" w:rsidRPr="00097548">
        <w:t>)</w:t>
      </w:r>
      <w:r w:rsidR="00692F2C" w:rsidRPr="00097548">
        <w:t xml:space="preserve">. </w:t>
      </w:r>
      <w:r w:rsidR="00C64A47" w:rsidRPr="00097548">
        <w:t xml:space="preserve">The committee identified that the model had underestimated the benefits of </w:t>
      </w:r>
      <w:proofErr w:type="spellStart"/>
      <w:r w:rsidR="00C64A47" w:rsidRPr="00097548">
        <w:t>cefiderocol</w:t>
      </w:r>
      <w:proofErr w:type="spellEnd"/>
      <w:r w:rsidR="00C64A47" w:rsidRPr="00097548">
        <w:t xml:space="preserve"> by not accounting for increased resistance to comparators over time (see </w:t>
      </w:r>
      <w:r w:rsidR="00AC0068" w:rsidRPr="00097548">
        <w:t xml:space="preserve">section </w:t>
      </w:r>
      <w:r w:rsidR="009B5DCA">
        <w:t>4</w:t>
      </w:r>
      <w:r w:rsidR="00C64A47" w:rsidRPr="00097548">
        <w:t>.</w:t>
      </w:r>
      <w:r w:rsidR="00C73A9F" w:rsidRPr="00097548">
        <w:t>15</w:t>
      </w:r>
      <w:r w:rsidR="00C64A47" w:rsidRPr="00097548">
        <w:t xml:space="preserve">). It </w:t>
      </w:r>
      <w:r w:rsidR="00D355E8" w:rsidRPr="00097548">
        <w:t xml:space="preserve">also </w:t>
      </w:r>
      <w:r w:rsidRPr="00097548">
        <w:t xml:space="preserve">identified </w:t>
      </w:r>
      <w:r w:rsidR="00F063EC" w:rsidRPr="00097548">
        <w:t xml:space="preserve">that </w:t>
      </w:r>
      <w:r w:rsidR="001255F0" w:rsidRPr="00097548">
        <w:t xml:space="preserve">enablement value, diversity value </w:t>
      </w:r>
      <w:r w:rsidRPr="00097548">
        <w:t xml:space="preserve">and </w:t>
      </w:r>
      <w:r w:rsidR="007A008E" w:rsidRPr="00097548">
        <w:t>insurance value</w:t>
      </w:r>
      <w:r w:rsidR="001255F0" w:rsidRPr="00097548">
        <w:t xml:space="preserve"> were not fully captured</w:t>
      </w:r>
      <w:r w:rsidR="002F3842" w:rsidRPr="00097548">
        <w:t xml:space="preserve"> (see</w:t>
      </w:r>
      <w:r w:rsidR="00AC0068" w:rsidRPr="00097548">
        <w:t xml:space="preserve"> </w:t>
      </w:r>
      <w:r w:rsidR="00AC0068" w:rsidRPr="00097548">
        <w:lastRenderedPageBreak/>
        <w:t>sections</w:t>
      </w:r>
      <w:r w:rsidR="002F3842" w:rsidRPr="00097548">
        <w:t xml:space="preserve"> </w:t>
      </w:r>
      <w:r w:rsidR="009B5DCA">
        <w:t>4</w:t>
      </w:r>
      <w:r w:rsidR="002F3842" w:rsidRPr="00097548">
        <w:t>.</w:t>
      </w:r>
      <w:r w:rsidR="00C73A9F" w:rsidRPr="00097548">
        <w:t xml:space="preserve">17 </w:t>
      </w:r>
      <w:r w:rsidR="002F3842" w:rsidRPr="00097548">
        <w:t>to 3.</w:t>
      </w:r>
      <w:r w:rsidR="00C73A9F" w:rsidRPr="00097548">
        <w:t>22</w:t>
      </w:r>
      <w:r w:rsidR="002F3842" w:rsidRPr="00097548">
        <w:t xml:space="preserve">). The committee </w:t>
      </w:r>
      <w:r w:rsidR="007A008E" w:rsidRPr="00097548">
        <w:t>conclude</w:t>
      </w:r>
      <w:r w:rsidR="0002234F" w:rsidRPr="00097548">
        <w:t xml:space="preserve">d that </w:t>
      </w:r>
      <w:r w:rsidR="006022D0" w:rsidRPr="00097548">
        <w:t xml:space="preserve">the estimate of </w:t>
      </w:r>
      <w:r w:rsidR="007A008E" w:rsidRPr="00097548">
        <w:t>incremental QALYs</w:t>
      </w:r>
      <w:r w:rsidR="0002234F" w:rsidRPr="00097548">
        <w:t xml:space="preserve"> </w:t>
      </w:r>
      <w:r w:rsidR="006022D0" w:rsidRPr="00097548">
        <w:t xml:space="preserve">should be increased </w:t>
      </w:r>
      <w:r w:rsidR="0002234F" w:rsidRPr="00097548">
        <w:t xml:space="preserve">by a further </w:t>
      </w:r>
      <w:r w:rsidR="00D355E8" w:rsidRPr="00097548">
        <w:t>50</w:t>
      </w:r>
      <w:r w:rsidR="0002234F" w:rsidRPr="00097548">
        <w:t>%</w:t>
      </w:r>
      <w:r w:rsidR="006022D0" w:rsidRPr="00097548">
        <w:t xml:space="preserve"> to account for uncaptured value</w:t>
      </w:r>
      <w:r w:rsidR="007A008E" w:rsidRPr="00097548">
        <w:t>.</w:t>
      </w:r>
    </w:p>
    <w:p w14:paraId="53A86462" w14:textId="7204A7FD" w:rsidR="009416B9" w:rsidRPr="00097548" w:rsidRDefault="00010727" w:rsidP="001301B7">
      <w:pPr>
        <w:pStyle w:val="Numberedlevel2text"/>
        <w:numPr>
          <w:ilvl w:val="0"/>
          <w:numId w:val="0"/>
        </w:numPr>
        <w:ind w:left="1134"/>
        <w:rPr>
          <w:lang w:val="en-GB"/>
        </w:rPr>
      </w:pPr>
      <w:bookmarkStart w:id="28" w:name="_Hlk98166826"/>
      <w:r w:rsidRPr="001301B7">
        <w:t>T</w:t>
      </w:r>
      <w:r w:rsidR="00F063EC" w:rsidRPr="001301B7">
        <w:t>he</w:t>
      </w:r>
      <w:r w:rsidR="00F063EC" w:rsidRPr="00097548">
        <w:rPr>
          <w:lang w:val="en-GB"/>
        </w:rPr>
        <w:t xml:space="preserve"> committee </w:t>
      </w:r>
      <w:r w:rsidR="00CA0F19" w:rsidRPr="00097548">
        <w:rPr>
          <w:lang w:val="en-GB"/>
        </w:rPr>
        <w:t>concluded</w:t>
      </w:r>
      <w:r w:rsidR="00B81E96" w:rsidRPr="00097548">
        <w:rPr>
          <w:lang w:val="en-GB"/>
        </w:rPr>
        <w:t xml:space="preserve"> </w:t>
      </w:r>
      <w:r w:rsidR="00CA0F19" w:rsidRPr="00097548">
        <w:rPr>
          <w:lang w:val="en-GB"/>
        </w:rPr>
        <w:t xml:space="preserve">that the incremental net health benefit of </w:t>
      </w:r>
      <w:proofErr w:type="spellStart"/>
      <w:r w:rsidR="00D355E8" w:rsidRPr="00097548">
        <w:rPr>
          <w:lang w:val="en-GB"/>
        </w:rPr>
        <w:t>cefiderocol</w:t>
      </w:r>
      <w:proofErr w:type="spellEnd"/>
      <w:r w:rsidR="00D355E8" w:rsidRPr="00097548">
        <w:rPr>
          <w:lang w:val="en-GB"/>
        </w:rPr>
        <w:t xml:space="preserve"> </w:t>
      </w:r>
      <w:r w:rsidR="00F063EC" w:rsidRPr="00097548">
        <w:rPr>
          <w:lang w:val="en-GB"/>
        </w:rPr>
        <w:t>would be</w:t>
      </w:r>
      <w:r w:rsidR="002A7398" w:rsidRPr="00097548">
        <w:rPr>
          <w:lang w:val="en-GB"/>
        </w:rPr>
        <w:t xml:space="preserve"> approximately</w:t>
      </w:r>
      <w:r w:rsidR="00F063EC" w:rsidRPr="00097548">
        <w:rPr>
          <w:lang w:val="en-GB"/>
        </w:rPr>
        <w:t xml:space="preserve"> </w:t>
      </w:r>
      <w:r w:rsidR="00D355E8" w:rsidRPr="00097548">
        <w:rPr>
          <w:lang w:val="en-GB"/>
        </w:rPr>
        <w:t>16,2</w:t>
      </w:r>
      <w:r w:rsidR="00CA0F19" w:rsidRPr="00097548">
        <w:rPr>
          <w:lang w:val="en-GB"/>
        </w:rPr>
        <w:t>00</w:t>
      </w:r>
      <w:r w:rsidR="00F063EC" w:rsidRPr="00097548">
        <w:rPr>
          <w:lang w:val="en-GB"/>
        </w:rPr>
        <w:t> </w:t>
      </w:r>
      <w:r w:rsidR="00CA0F19" w:rsidRPr="00097548">
        <w:rPr>
          <w:lang w:val="en-GB"/>
        </w:rPr>
        <w:t>QALYs over the 20-year modelled time horizon</w:t>
      </w:r>
      <w:bookmarkStart w:id="29" w:name="_Hlk97809801"/>
      <w:r w:rsidR="00461A6E">
        <w:rPr>
          <w:lang w:val="en-GB"/>
        </w:rPr>
        <w:t xml:space="preserve">, </w:t>
      </w:r>
      <w:r w:rsidR="00461A6E" w:rsidRPr="0092406A">
        <w:rPr>
          <w:lang w:val="en-GB"/>
        </w:rPr>
        <w:t>when the technology is used within its marketing authorisation and in line with the criteria in section 1.1</w:t>
      </w:r>
      <w:r w:rsidR="00CA0F19" w:rsidRPr="00097548">
        <w:rPr>
          <w:lang w:val="en-GB"/>
        </w:rPr>
        <w:t>.</w:t>
      </w:r>
      <w:r w:rsidRPr="00097548">
        <w:rPr>
          <w:lang w:val="en-GB"/>
        </w:rPr>
        <w:t xml:space="preserve"> It acknowledged that there was a large degree of uncertainty around this estimate </w:t>
      </w:r>
      <w:r w:rsidR="000D1633" w:rsidRPr="00097548">
        <w:rPr>
          <w:lang w:val="en-GB"/>
        </w:rPr>
        <w:t>because of</w:t>
      </w:r>
      <w:r w:rsidRPr="00097548">
        <w:rPr>
          <w:lang w:val="en-GB"/>
        </w:rPr>
        <w:t xml:space="preserve"> uncertainties in the model results </w:t>
      </w:r>
      <w:r w:rsidR="000D1633" w:rsidRPr="00097548">
        <w:rPr>
          <w:lang w:val="en-GB"/>
        </w:rPr>
        <w:t xml:space="preserve">and </w:t>
      </w:r>
      <w:r w:rsidR="007461F3" w:rsidRPr="00097548">
        <w:rPr>
          <w:lang w:val="en-GB"/>
        </w:rPr>
        <w:t xml:space="preserve">in </w:t>
      </w:r>
      <w:r w:rsidR="004C15BB" w:rsidRPr="00097548">
        <w:rPr>
          <w:lang w:val="en-GB"/>
        </w:rPr>
        <w:t>estimat</w:t>
      </w:r>
      <w:r w:rsidR="007461F3" w:rsidRPr="00097548">
        <w:rPr>
          <w:lang w:val="en-GB"/>
        </w:rPr>
        <w:t>ing</w:t>
      </w:r>
      <w:r w:rsidR="004C15BB" w:rsidRPr="00097548">
        <w:rPr>
          <w:lang w:val="en-GB"/>
        </w:rPr>
        <w:t xml:space="preserve"> uncaptured benefit</w:t>
      </w:r>
      <w:r w:rsidR="00781A85" w:rsidRPr="00097548">
        <w:rPr>
          <w:lang w:val="en-GB"/>
        </w:rPr>
        <w:t>s</w:t>
      </w:r>
      <w:r w:rsidR="004C15BB" w:rsidRPr="00097548">
        <w:rPr>
          <w:lang w:val="en-GB"/>
        </w:rPr>
        <w:t xml:space="preserve"> </w:t>
      </w:r>
      <w:r w:rsidR="000D1633" w:rsidRPr="00097548">
        <w:rPr>
          <w:lang w:val="en-GB"/>
        </w:rPr>
        <w:t xml:space="preserve">(see </w:t>
      </w:r>
      <w:r w:rsidR="00BC7EC7">
        <w:rPr>
          <w:lang w:val="en-GB"/>
        </w:rPr>
        <w:t>section</w:t>
      </w:r>
      <w:r w:rsidR="000D1633" w:rsidRPr="00097548">
        <w:rPr>
          <w:lang w:val="en-GB"/>
        </w:rPr>
        <w:t xml:space="preserve"> </w:t>
      </w:r>
      <w:r w:rsidR="00BC7EC7">
        <w:rPr>
          <w:lang w:val="en-GB"/>
        </w:rPr>
        <w:t>4</w:t>
      </w:r>
      <w:r w:rsidR="000D1633" w:rsidRPr="00097548">
        <w:rPr>
          <w:lang w:val="en-GB"/>
        </w:rPr>
        <w:t>.</w:t>
      </w:r>
      <w:r w:rsidR="00C73A9F" w:rsidRPr="00097548">
        <w:rPr>
          <w:lang w:val="en-GB"/>
        </w:rPr>
        <w:t>24</w:t>
      </w:r>
      <w:r w:rsidR="000D1633" w:rsidRPr="00097548">
        <w:rPr>
          <w:lang w:val="en-GB"/>
        </w:rPr>
        <w:t>)</w:t>
      </w:r>
      <w:r w:rsidRPr="00097548">
        <w:rPr>
          <w:lang w:val="en-GB"/>
        </w:rPr>
        <w:t>.</w:t>
      </w:r>
      <w:bookmarkEnd w:id="29"/>
    </w:p>
    <w:bookmarkEnd w:id="28"/>
    <w:p w14:paraId="57A42212" w14:textId="1E1F93D9" w:rsidR="00B16592" w:rsidRPr="00097548" w:rsidRDefault="00B16592" w:rsidP="00B16592">
      <w:pPr>
        <w:pStyle w:val="Heading3"/>
      </w:pPr>
      <w:r w:rsidRPr="00097548">
        <w:t>The</w:t>
      </w:r>
      <w:r w:rsidR="00174622" w:rsidRPr="00097548">
        <w:t xml:space="preserve">re is uncertainty in the analysis and further </w:t>
      </w:r>
      <w:r w:rsidR="00E00C7B" w:rsidRPr="00097548">
        <w:t>research</w:t>
      </w:r>
      <w:r w:rsidR="00820079" w:rsidRPr="00097548">
        <w:t xml:space="preserve"> is encouraged</w:t>
      </w:r>
    </w:p>
    <w:p w14:paraId="110DD561" w14:textId="569EC913" w:rsidR="00F30931" w:rsidRPr="00097548" w:rsidRDefault="0002234F" w:rsidP="00E00C7B">
      <w:pPr>
        <w:pStyle w:val="Numberedlevel2text"/>
        <w:numPr>
          <w:ilvl w:val="1"/>
          <w:numId w:val="1"/>
        </w:numPr>
        <w:rPr>
          <w:lang w:val="en-GB"/>
        </w:rPr>
      </w:pPr>
      <w:bookmarkStart w:id="30" w:name="_Hlk98166894"/>
      <w:r w:rsidRPr="00097548">
        <w:rPr>
          <w:lang w:val="en-GB"/>
        </w:rPr>
        <w:t xml:space="preserve">EEPRU’s </w:t>
      </w:r>
      <w:r w:rsidR="00B16592" w:rsidRPr="00097548">
        <w:rPr>
          <w:lang w:val="en-GB"/>
        </w:rPr>
        <w:t xml:space="preserve">probabilistic sensitivity analysis resulted in a broad range </w:t>
      </w:r>
      <w:r w:rsidRPr="00097548">
        <w:rPr>
          <w:lang w:val="en-GB"/>
        </w:rPr>
        <w:t xml:space="preserve">of </w:t>
      </w:r>
      <w:r w:rsidR="007461F3" w:rsidRPr="00097548">
        <w:rPr>
          <w:lang w:val="en-GB"/>
        </w:rPr>
        <w:t xml:space="preserve">estimates of </w:t>
      </w:r>
      <w:r w:rsidRPr="00097548">
        <w:rPr>
          <w:lang w:val="en-GB"/>
        </w:rPr>
        <w:t>incremental QALY</w:t>
      </w:r>
      <w:r w:rsidR="00664F7A" w:rsidRPr="00097548">
        <w:rPr>
          <w:lang w:val="en-GB"/>
        </w:rPr>
        <w:t>s</w:t>
      </w:r>
      <w:r w:rsidR="00B16592" w:rsidRPr="00097548">
        <w:rPr>
          <w:lang w:val="en-GB"/>
        </w:rPr>
        <w:t xml:space="preserve">. </w:t>
      </w:r>
      <w:r w:rsidR="00010727" w:rsidRPr="00097548">
        <w:rPr>
          <w:lang w:val="en-GB"/>
        </w:rPr>
        <w:t>This indicates that uncertainty around the parameter values in the model affect</w:t>
      </w:r>
      <w:r w:rsidR="00664F7A" w:rsidRPr="00097548">
        <w:rPr>
          <w:lang w:val="en-GB"/>
        </w:rPr>
        <w:t>s</w:t>
      </w:r>
      <w:r w:rsidR="00010727" w:rsidRPr="00097548">
        <w:rPr>
          <w:lang w:val="en-GB"/>
        </w:rPr>
        <w:t xml:space="preserve"> the population-level value of </w:t>
      </w:r>
      <w:proofErr w:type="spellStart"/>
      <w:r w:rsidR="00010727" w:rsidRPr="00097548">
        <w:rPr>
          <w:lang w:val="en-GB"/>
        </w:rPr>
        <w:t>cefiderocol</w:t>
      </w:r>
      <w:proofErr w:type="spellEnd"/>
      <w:r w:rsidR="006633D6" w:rsidRPr="00097548">
        <w:rPr>
          <w:lang w:val="en-GB"/>
        </w:rPr>
        <w:t>.</w:t>
      </w:r>
      <w:r w:rsidR="00010727" w:rsidRPr="00097548">
        <w:rPr>
          <w:lang w:val="en-GB"/>
        </w:rPr>
        <w:t xml:space="preserve"> </w:t>
      </w:r>
      <w:r w:rsidR="003D312F" w:rsidRPr="00097548">
        <w:rPr>
          <w:lang w:val="en-GB"/>
        </w:rPr>
        <w:t xml:space="preserve">The committee </w:t>
      </w:r>
      <w:r w:rsidR="007F66C3" w:rsidRPr="00097548">
        <w:rPr>
          <w:lang w:val="en-GB"/>
        </w:rPr>
        <w:t>recalled several areas of uncertainty in the evaluation</w:t>
      </w:r>
      <w:r w:rsidR="00010727" w:rsidRPr="00097548">
        <w:rPr>
          <w:lang w:val="en-GB"/>
        </w:rPr>
        <w:t xml:space="preserve"> that relate to the model structure and </w:t>
      </w:r>
      <w:r w:rsidR="00664F7A" w:rsidRPr="00097548">
        <w:rPr>
          <w:lang w:val="en-GB"/>
        </w:rPr>
        <w:t xml:space="preserve">to the </w:t>
      </w:r>
      <w:r w:rsidR="00010727" w:rsidRPr="00097548">
        <w:rPr>
          <w:lang w:val="en-GB"/>
        </w:rPr>
        <w:t xml:space="preserve">assumptions made by EEPRU in the absence of </w:t>
      </w:r>
      <w:r w:rsidR="004C15BB" w:rsidRPr="00097548">
        <w:rPr>
          <w:lang w:val="en-GB"/>
        </w:rPr>
        <w:t>evidence</w:t>
      </w:r>
      <w:r w:rsidR="00010727" w:rsidRPr="00097548">
        <w:rPr>
          <w:lang w:val="en-GB"/>
        </w:rPr>
        <w:t>.</w:t>
      </w:r>
      <w:r w:rsidR="007F66C3" w:rsidRPr="00097548">
        <w:rPr>
          <w:lang w:val="en-GB"/>
        </w:rPr>
        <w:t xml:space="preserve"> </w:t>
      </w:r>
      <w:r w:rsidR="00010727" w:rsidRPr="00097548">
        <w:rPr>
          <w:lang w:val="en-GB"/>
        </w:rPr>
        <w:t xml:space="preserve">These included </w:t>
      </w:r>
      <w:r w:rsidR="007F66C3" w:rsidRPr="00097548">
        <w:rPr>
          <w:lang w:val="en-GB"/>
        </w:rPr>
        <w:t xml:space="preserve">the </w:t>
      </w:r>
      <w:r w:rsidR="00350CD0" w:rsidRPr="00097548">
        <w:rPr>
          <w:lang w:val="en-GB"/>
        </w:rPr>
        <w:t xml:space="preserve">association </w:t>
      </w:r>
      <w:r w:rsidR="007F66C3" w:rsidRPr="00097548">
        <w:rPr>
          <w:lang w:val="en-GB"/>
        </w:rPr>
        <w:t xml:space="preserve">between in vitro susceptibility and clinical outcomes, the trends in antimicrobial usage and resistance over time, the limitations of the </w:t>
      </w:r>
      <w:r w:rsidR="00350CD0" w:rsidRPr="00097548">
        <w:rPr>
          <w:lang w:val="en-GB"/>
        </w:rPr>
        <w:t xml:space="preserve">data from </w:t>
      </w:r>
      <w:r w:rsidR="004A626B" w:rsidRPr="00097548">
        <w:rPr>
          <w:lang w:val="en-GB"/>
        </w:rPr>
        <w:t>the UKHSA</w:t>
      </w:r>
      <w:r w:rsidR="007F66C3" w:rsidRPr="00097548">
        <w:rPr>
          <w:lang w:val="en-GB"/>
        </w:rPr>
        <w:t xml:space="preserve"> SGSS to estimate </w:t>
      </w:r>
      <w:r w:rsidR="00350CD0" w:rsidRPr="00097548">
        <w:rPr>
          <w:lang w:val="en-GB"/>
        </w:rPr>
        <w:t xml:space="preserve">the size of the </w:t>
      </w:r>
      <w:r w:rsidR="00174622" w:rsidRPr="00097548">
        <w:rPr>
          <w:lang w:val="en-GB"/>
        </w:rPr>
        <w:t>population</w:t>
      </w:r>
      <w:r w:rsidR="00217889" w:rsidRPr="00097548">
        <w:rPr>
          <w:lang w:val="en-GB"/>
        </w:rPr>
        <w:t xml:space="preserve"> for </w:t>
      </w:r>
      <w:r w:rsidR="00E0753F">
        <w:rPr>
          <w:lang w:val="en-GB"/>
        </w:rPr>
        <w:t>which</w:t>
      </w:r>
      <w:r w:rsidR="00217889" w:rsidRPr="00097548">
        <w:rPr>
          <w:lang w:val="en-GB"/>
        </w:rPr>
        <w:t xml:space="preserve"> </w:t>
      </w:r>
      <w:proofErr w:type="spellStart"/>
      <w:r w:rsidR="00217889" w:rsidRPr="00097548">
        <w:rPr>
          <w:lang w:val="en-GB"/>
        </w:rPr>
        <w:t>cefiderocol</w:t>
      </w:r>
      <w:proofErr w:type="spellEnd"/>
      <w:r w:rsidR="00217889" w:rsidRPr="00097548">
        <w:rPr>
          <w:lang w:val="en-GB"/>
        </w:rPr>
        <w:t xml:space="preserve"> is suitable</w:t>
      </w:r>
      <w:r w:rsidR="00174622" w:rsidRPr="00097548">
        <w:rPr>
          <w:lang w:val="en-GB"/>
        </w:rPr>
        <w:t>,</w:t>
      </w:r>
      <w:r w:rsidR="007F66C3" w:rsidRPr="00097548">
        <w:rPr>
          <w:lang w:val="en-GB"/>
        </w:rPr>
        <w:t xml:space="preserve"> and </w:t>
      </w:r>
      <w:r w:rsidR="006D3213" w:rsidRPr="00097548">
        <w:rPr>
          <w:lang w:val="en-GB"/>
        </w:rPr>
        <w:t>the uncaptured benefits</w:t>
      </w:r>
      <w:r w:rsidR="00B1537E" w:rsidRPr="00097548">
        <w:rPr>
          <w:lang w:val="en-GB"/>
        </w:rPr>
        <w:t xml:space="preserve">. The committee concluded </w:t>
      </w:r>
      <w:r w:rsidR="004A626B" w:rsidRPr="00097548">
        <w:rPr>
          <w:lang w:val="en-GB"/>
        </w:rPr>
        <w:t xml:space="preserve">that </w:t>
      </w:r>
      <w:r w:rsidR="00B1537E" w:rsidRPr="00097548">
        <w:rPr>
          <w:lang w:val="en-GB"/>
        </w:rPr>
        <w:t xml:space="preserve">the </w:t>
      </w:r>
      <w:r w:rsidR="000366E1" w:rsidRPr="00097548">
        <w:rPr>
          <w:lang w:val="en-GB"/>
        </w:rPr>
        <w:t xml:space="preserve">QALY estimates </w:t>
      </w:r>
      <w:r w:rsidR="00B1537E" w:rsidRPr="00097548">
        <w:rPr>
          <w:lang w:val="en-GB"/>
        </w:rPr>
        <w:t xml:space="preserve">were associated with significant </w:t>
      </w:r>
      <w:proofErr w:type="gramStart"/>
      <w:r w:rsidR="00B1537E" w:rsidRPr="00097548">
        <w:rPr>
          <w:lang w:val="en-GB"/>
        </w:rPr>
        <w:t>uncertainty</w:t>
      </w:r>
      <w:r w:rsidR="00DC410A" w:rsidRPr="00097548">
        <w:rPr>
          <w:lang w:val="en-GB"/>
        </w:rPr>
        <w:t>,</w:t>
      </w:r>
      <w:r w:rsidR="000366E1" w:rsidRPr="00097548">
        <w:rPr>
          <w:lang w:val="en-GB"/>
        </w:rPr>
        <w:t xml:space="preserve"> and</w:t>
      </w:r>
      <w:proofErr w:type="gramEnd"/>
      <w:r w:rsidR="000366E1" w:rsidRPr="00097548">
        <w:rPr>
          <w:lang w:val="en-GB"/>
        </w:rPr>
        <w:t xml:space="preserve"> encourage</w:t>
      </w:r>
      <w:r w:rsidR="002A7398" w:rsidRPr="00097548">
        <w:rPr>
          <w:lang w:val="en-GB"/>
        </w:rPr>
        <w:t>d</w:t>
      </w:r>
      <w:r w:rsidR="000366E1" w:rsidRPr="00097548">
        <w:rPr>
          <w:lang w:val="en-GB"/>
        </w:rPr>
        <w:t xml:space="preserve"> research to develop best practice in the health economic evaluation of antimicrobials</w:t>
      </w:r>
      <w:r w:rsidR="00461A6E">
        <w:rPr>
          <w:lang w:val="en-GB"/>
        </w:rPr>
        <w:t xml:space="preserve"> (see sections </w:t>
      </w:r>
      <w:r w:rsidR="00461A6E" w:rsidRPr="00461A6E">
        <w:rPr>
          <w:lang w:val="en-GB"/>
        </w:rPr>
        <w:t>5 and 6)</w:t>
      </w:r>
      <w:r w:rsidR="00B1537E" w:rsidRPr="00097548">
        <w:rPr>
          <w:lang w:val="en-GB"/>
        </w:rPr>
        <w:t>.</w:t>
      </w:r>
    </w:p>
    <w:bookmarkEnd w:id="26"/>
    <w:bookmarkEnd w:id="30"/>
    <w:p w14:paraId="5C9F51C6" w14:textId="1326ACEE" w:rsidR="00643582" w:rsidRPr="00097548" w:rsidRDefault="00C251F9" w:rsidP="00643582">
      <w:pPr>
        <w:pStyle w:val="Heading2"/>
      </w:pPr>
      <w:r w:rsidRPr="00097548">
        <w:t>Conclusion</w:t>
      </w:r>
    </w:p>
    <w:p w14:paraId="68BDA61A" w14:textId="70970892" w:rsidR="00E00C7B" w:rsidRPr="00097548" w:rsidRDefault="009416B9" w:rsidP="00E00C7B">
      <w:pPr>
        <w:pStyle w:val="Heading3"/>
      </w:pPr>
      <w:r w:rsidRPr="00097548">
        <w:t xml:space="preserve">The total </w:t>
      </w:r>
      <w:r w:rsidR="00E75BB5" w:rsidRPr="00097548">
        <w:t>benefits</w:t>
      </w:r>
      <w:r w:rsidRPr="00097548">
        <w:t xml:space="preserve"> of </w:t>
      </w:r>
      <w:proofErr w:type="spellStart"/>
      <w:r w:rsidR="00386E63" w:rsidRPr="00097548">
        <w:t>cefiderocol</w:t>
      </w:r>
      <w:proofErr w:type="spellEnd"/>
      <w:r w:rsidR="00386E63" w:rsidRPr="00097548">
        <w:t xml:space="preserve"> </w:t>
      </w:r>
      <w:r w:rsidRPr="00097548">
        <w:t xml:space="preserve">assigned to each year of the contract period should be </w:t>
      </w:r>
      <w:r w:rsidR="00E00C7B" w:rsidRPr="00097548">
        <w:t xml:space="preserve">a minimum of </w:t>
      </w:r>
      <w:r w:rsidR="00386E63" w:rsidRPr="00097548">
        <w:t>970</w:t>
      </w:r>
      <w:r w:rsidR="00E00C7B" w:rsidRPr="00097548">
        <w:t xml:space="preserve"> QALYs</w:t>
      </w:r>
    </w:p>
    <w:p w14:paraId="20E1CF7F" w14:textId="103B152E" w:rsidR="00E00C7B" w:rsidRPr="00097548" w:rsidRDefault="00E00C7B" w:rsidP="00E00C7B">
      <w:pPr>
        <w:pStyle w:val="Numberedlevel2text"/>
        <w:rPr>
          <w:lang w:val="en-GB"/>
        </w:rPr>
      </w:pPr>
      <w:r w:rsidRPr="00097548">
        <w:rPr>
          <w:lang w:val="en-GB"/>
        </w:rPr>
        <w:t xml:space="preserve">Having concluded that the total benefits over the 20-year time horizon </w:t>
      </w:r>
      <w:r w:rsidR="00BA455F" w:rsidRPr="00097548">
        <w:rPr>
          <w:lang w:val="en-GB"/>
        </w:rPr>
        <w:t xml:space="preserve">would be </w:t>
      </w:r>
      <w:r w:rsidRPr="00097548">
        <w:rPr>
          <w:lang w:val="en-GB"/>
        </w:rPr>
        <w:t xml:space="preserve">approximately </w:t>
      </w:r>
      <w:r w:rsidR="00386E63" w:rsidRPr="00097548">
        <w:rPr>
          <w:lang w:val="en-GB"/>
        </w:rPr>
        <w:t>16,2</w:t>
      </w:r>
      <w:r w:rsidRPr="00097548">
        <w:rPr>
          <w:lang w:val="en-GB"/>
        </w:rPr>
        <w:t>00 QALYs</w:t>
      </w:r>
      <w:r w:rsidR="00461A6E">
        <w:rPr>
          <w:lang w:val="en-GB"/>
        </w:rPr>
        <w:t xml:space="preserve"> (see section 4.2</w:t>
      </w:r>
      <w:r w:rsidR="00BC7EC7">
        <w:rPr>
          <w:lang w:val="en-GB"/>
        </w:rPr>
        <w:t>3</w:t>
      </w:r>
      <w:r w:rsidR="00461A6E">
        <w:rPr>
          <w:lang w:val="en-GB"/>
        </w:rPr>
        <w:t>)</w:t>
      </w:r>
      <w:r w:rsidRPr="00097548">
        <w:rPr>
          <w:lang w:val="en-GB"/>
        </w:rPr>
        <w:t xml:space="preserve">, the committee </w:t>
      </w:r>
      <w:r w:rsidRPr="00097548">
        <w:rPr>
          <w:lang w:val="en-GB"/>
        </w:rPr>
        <w:lastRenderedPageBreak/>
        <w:t xml:space="preserve">considered what proportion </w:t>
      </w:r>
      <w:r w:rsidR="00BA455F" w:rsidRPr="00097548">
        <w:rPr>
          <w:lang w:val="en-GB"/>
        </w:rPr>
        <w:t xml:space="preserve">of this </w:t>
      </w:r>
      <w:r w:rsidRPr="00097548">
        <w:rPr>
          <w:lang w:val="en-GB"/>
        </w:rPr>
        <w:t xml:space="preserve">should be assigned to </w:t>
      </w:r>
      <w:r w:rsidR="005D376D" w:rsidRPr="00097548">
        <w:rPr>
          <w:lang w:val="en-GB"/>
        </w:rPr>
        <w:t xml:space="preserve">a </w:t>
      </w:r>
      <w:r w:rsidR="00350CD0" w:rsidRPr="00097548">
        <w:rPr>
          <w:lang w:val="en-GB"/>
        </w:rPr>
        <w:t xml:space="preserve">10-year </w:t>
      </w:r>
      <w:r w:rsidRPr="00097548">
        <w:rPr>
          <w:lang w:val="en-GB"/>
        </w:rPr>
        <w:t xml:space="preserve">contract period. </w:t>
      </w:r>
      <w:r w:rsidR="002F15C2" w:rsidRPr="00097548">
        <w:rPr>
          <w:lang w:val="en-GB"/>
        </w:rPr>
        <w:t>It considered that</w:t>
      </w:r>
      <w:r w:rsidRPr="00097548">
        <w:rPr>
          <w:lang w:val="en-GB"/>
        </w:rPr>
        <w:t xml:space="preserve"> </w:t>
      </w:r>
      <w:r w:rsidR="002F15C2" w:rsidRPr="00097548">
        <w:rPr>
          <w:lang w:val="en-GB"/>
        </w:rPr>
        <w:t>this</w:t>
      </w:r>
      <w:r w:rsidRPr="00097548">
        <w:rPr>
          <w:lang w:val="en-GB"/>
        </w:rPr>
        <w:t xml:space="preserve"> should be at least as much as the rewards typically </w:t>
      </w:r>
      <w:r w:rsidR="00350CD0" w:rsidRPr="00097548">
        <w:rPr>
          <w:lang w:val="en-GB"/>
        </w:rPr>
        <w:t xml:space="preserve">earned </w:t>
      </w:r>
      <w:r w:rsidRPr="00097548">
        <w:rPr>
          <w:lang w:val="en-GB"/>
        </w:rPr>
        <w:t xml:space="preserve">by </w:t>
      </w:r>
      <w:r w:rsidR="00A36F0C" w:rsidRPr="00097548">
        <w:rPr>
          <w:lang w:val="en-GB"/>
        </w:rPr>
        <w:t xml:space="preserve">companies </w:t>
      </w:r>
      <w:r w:rsidR="002A7398" w:rsidRPr="00097548">
        <w:rPr>
          <w:lang w:val="en-GB"/>
        </w:rPr>
        <w:t xml:space="preserve">during the first 10 years </w:t>
      </w:r>
      <w:r w:rsidR="007E7DC0" w:rsidRPr="00097548">
        <w:rPr>
          <w:lang w:val="en-GB"/>
        </w:rPr>
        <w:t>of</w:t>
      </w:r>
      <w:r w:rsidR="002A7398" w:rsidRPr="00097548">
        <w:rPr>
          <w:lang w:val="en-GB"/>
        </w:rPr>
        <w:t xml:space="preserve"> </w:t>
      </w:r>
      <w:r w:rsidR="007E7DC0" w:rsidRPr="00097548">
        <w:rPr>
          <w:lang w:val="en-GB"/>
        </w:rPr>
        <w:t xml:space="preserve">marketing a </w:t>
      </w:r>
      <w:r w:rsidRPr="00097548">
        <w:rPr>
          <w:lang w:val="en-GB"/>
        </w:rPr>
        <w:t xml:space="preserve">non-antimicrobial drug. Assigning a lower proportion would not address the </w:t>
      </w:r>
      <w:r w:rsidR="00664F7A" w:rsidRPr="00097548">
        <w:rPr>
          <w:lang w:val="en-GB"/>
        </w:rPr>
        <w:t xml:space="preserve">issues of </w:t>
      </w:r>
      <w:r w:rsidRPr="00097548">
        <w:rPr>
          <w:lang w:val="en-GB"/>
        </w:rPr>
        <w:t>market failure</w:t>
      </w:r>
      <w:r w:rsidR="00350CD0" w:rsidRPr="00097548">
        <w:rPr>
          <w:lang w:val="en-GB"/>
        </w:rPr>
        <w:t xml:space="preserve"> </w:t>
      </w:r>
      <w:r w:rsidR="00664F7A" w:rsidRPr="00097548">
        <w:rPr>
          <w:lang w:val="en-GB"/>
        </w:rPr>
        <w:t>for</w:t>
      </w:r>
      <w:r w:rsidR="007C5CC2" w:rsidRPr="00097548">
        <w:rPr>
          <w:lang w:val="en-GB"/>
        </w:rPr>
        <w:t xml:space="preserve"> </w:t>
      </w:r>
      <w:r w:rsidR="00350CD0" w:rsidRPr="00097548">
        <w:rPr>
          <w:lang w:val="en-GB"/>
        </w:rPr>
        <w:t>new antimicrobial</w:t>
      </w:r>
      <w:r w:rsidR="00E634C0" w:rsidRPr="00097548">
        <w:rPr>
          <w:lang w:val="en-GB"/>
        </w:rPr>
        <w:t>s</w:t>
      </w:r>
      <w:r w:rsidRPr="00097548">
        <w:rPr>
          <w:lang w:val="en-GB"/>
        </w:rPr>
        <w:t xml:space="preserve"> </w:t>
      </w:r>
      <w:r w:rsidR="00350CD0" w:rsidRPr="00097548">
        <w:rPr>
          <w:lang w:val="en-GB"/>
        </w:rPr>
        <w:t xml:space="preserve">nor </w:t>
      </w:r>
      <w:r w:rsidRPr="00097548">
        <w:rPr>
          <w:lang w:val="en-GB"/>
        </w:rPr>
        <w:t xml:space="preserve">create a </w:t>
      </w:r>
      <w:r w:rsidR="007C5CC2" w:rsidRPr="00097548">
        <w:rPr>
          <w:lang w:val="en-GB"/>
        </w:rPr>
        <w:t>‘</w:t>
      </w:r>
      <w:r w:rsidRPr="00097548">
        <w:rPr>
          <w:lang w:val="en-GB"/>
        </w:rPr>
        <w:t>pull incentive</w:t>
      </w:r>
      <w:r w:rsidR="007C5CC2" w:rsidRPr="00097548">
        <w:rPr>
          <w:lang w:val="en-GB"/>
        </w:rPr>
        <w:t>’</w:t>
      </w:r>
      <w:r w:rsidRPr="00097548">
        <w:rPr>
          <w:lang w:val="en-GB"/>
        </w:rPr>
        <w:t xml:space="preserve"> for investment. </w:t>
      </w:r>
      <w:r w:rsidR="002A7398" w:rsidRPr="00097548">
        <w:rPr>
          <w:lang w:val="en-GB"/>
        </w:rPr>
        <w:t xml:space="preserve">EEPRU presented the committee with evidence that </w:t>
      </w:r>
      <w:r w:rsidRPr="00097548">
        <w:rPr>
          <w:lang w:val="en-GB"/>
        </w:rPr>
        <w:t xml:space="preserve">the proportion of benefits </w:t>
      </w:r>
      <w:r w:rsidR="00BA455F" w:rsidRPr="00097548">
        <w:rPr>
          <w:lang w:val="en-GB"/>
        </w:rPr>
        <w:t>of</w:t>
      </w:r>
      <w:r w:rsidRPr="00097548">
        <w:rPr>
          <w:lang w:val="en-GB"/>
        </w:rPr>
        <w:t xml:space="preserve"> non-antimicrobial drugs in their first 10</w:t>
      </w:r>
      <w:r w:rsidR="00BA455F" w:rsidRPr="00097548">
        <w:rPr>
          <w:lang w:val="en-GB"/>
        </w:rPr>
        <w:t> </w:t>
      </w:r>
      <w:r w:rsidRPr="00097548">
        <w:rPr>
          <w:lang w:val="en-GB"/>
        </w:rPr>
        <w:t xml:space="preserve">years on the market </w:t>
      </w:r>
      <w:r w:rsidR="002A7398" w:rsidRPr="00097548">
        <w:rPr>
          <w:lang w:val="en-GB"/>
        </w:rPr>
        <w:t xml:space="preserve">is </w:t>
      </w:r>
      <w:r w:rsidRPr="00097548">
        <w:rPr>
          <w:lang w:val="en-GB"/>
        </w:rPr>
        <w:t xml:space="preserve">about 60%. The committee’s view was that the proportion of benefits </w:t>
      </w:r>
      <w:r w:rsidR="00BA455F" w:rsidRPr="00097548">
        <w:rPr>
          <w:lang w:val="en-GB"/>
        </w:rPr>
        <w:t xml:space="preserve">that should </w:t>
      </w:r>
      <w:r w:rsidRPr="00097548">
        <w:rPr>
          <w:lang w:val="en-GB"/>
        </w:rPr>
        <w:t xml:space="preserve">be assigned to the </w:t>
      </w:r>
      <w:r w:rsidR="00E634C0" w:rsidRPr="00097548">
        <w:rPr>
          <w:lang w:val="en-GB"/>
        </w:rPr>
        <w:t>10</w:t>
      </w:r>
      <w:r w:rsidR="005D376D" w:rsidRPr="00097548">
        <w:rPr>
          <w:lang w:val="en-GB"/>
        </w:rPr>
        <w:t>-</w:t>
      </w:r>
      <w:r w:rsidR="00E634C0" w:rsidRPr="00097548">
        <w:rPr>
          <w:lang w:val="en-GB"/>
        </w:rPr>
        <w:t xml:space="preserve">year </w:t>
      </w:r>
      <w:r w:rsidRPr="00097548">
        <w:rPr>
          <w:lang w:val="en-GB"/>
        </w:rPr>
        <w:t xml:space="preserve">contract period ranged from 60% to 100%. The committee concluded that the proportion </w:t>
      </w:r>
      <w:r w:rsidR="00BA455F" w:rsidRPr="00097548">
        <w:rPr>
          <w:lang w:val="en-GB"/>
        </w:rPr>
        <w:t xml:space="preserve">of QALY benefits </w:t>
      </w:r>
      <w:r w:rsidRPr="00097548">
        <w:rPr>
          <w:lang w:val="en-GB"/>
        </w:rPr>
        <w:t xml:space="preserve">to assign to each year of </w:t>
      </w:r>
      <w:r w:rsidR="005D376D" w:rsidRPr="00097548">
        <w:rPr>
          <w:lang w:val="en-GB"/>
        </w:rPr>
        <w:t xml:space="preserve">a </w:t>
      </w:r>
      <w:r w:rsidRPr="00097548">
        <w:rPr>
          <w:lang w:val="en-GB"/>
        </w:rPr>
        <w:t xml:space="preserve">10-year contract period should be a minimum of 60%, resulting in a minimum of </w:t>
      </w:r>
      <w:r w:rsidR="00386E63" w:rsidRPr="00097548">
        <w:rPr>
          <w:lang w:val="en-GB"/>
        </w:rPr>
        <w:t>970</w:t>
      </w:r>
      <w:r w:rsidRPr="00097548">
        <w:rPr>
          <w:lang w:val="en-GB"/>
        </w:rPr>
        <w:t xml:space="preserve"> QALYs per year.</w:t>
      </w:r>
    </w:p>
    <w:p w14:paraId="6D4E1881" w14:textId="1B79A712" w:rsidR="002F3842" w:rsidRPr="00097548" w:rsidRDefault="002F3842" w:rsidP="002F3842">
      <w:pPr>
        <w:pStyle w:val="Heading3"/>
      </w:pPr>
      <w:proofErr w:type="spellStart"/>
      <w:r w:rsidRPr="00097548">
        <w:t>Cefiderocol</w:t>
      </w:r>
      <w:proofErr w:type="spellEnd"/>
      <w:r w:rsidRPr="00097548">
        <w:t xml:space="preserve"> should only be offered </w:t>
      </w:r>
      <w:r w:rsidR="00DC410A" w:rsidRPr="00097548">
        <w:t>if there are</w:t>
      </w:r>
      <w:r w:rsidRPr="00097548">
        <w:t xml:space="preserve"> </w:t>
      </w:r>
      <w:r w:rsidR="00E9401C">
        <w:t>no suitable alternative</w:t>
      </w:r>
      <w:r w:rsidRPr="00097548">
        <w:t xml:space="preserve"> treatment options</w:t>
      </w:r>
      <w:r w:rsidR="00DC410A" w:rsidRPr="00097548">
        <w:t>,</w:t>
      </w:r>
      <w:r w:rsidR="00AC0068" w:rsidRPr="00097548">
        <w:t xml:space="preserve"> </w:t>
      </w:r>
      <w:r w:rsidR="00007460">
        <w:t xml:space="preserve">and </w:t>
      </w:r>
      <w:r w:rsidR="00AC0068" w:rsidRPr="00097548">
        <w:t>after advice from a specialist in</w:t>
      </w:r>
      <w:r w:rsidR="00E57F98" w:rsidRPr="00097548">
        <w:t xml:space="preserve"> </w:t>
      </w:r>
      <w:bookmarkStart w:id="31" w:name="_Hlk97809990"/>
      <w:r w:rsidR="00E57F98" w:rsidRPr="00097548">
        <w:t>microbiology or</w:t>
      </w:r>
      <w:r w:rsidR="00AC0068" w:rsidRPr="00097548">
        <w:t xml:space="preserve"> infecti</w:t>
      </w:r>
      <w:r w:rsidR="00E57F98" w:rsidRPr="00097548">
        <w:t>ous disease</w:t>
      </w:r>
      <w:bookmarkEnd w:id="31"/>
    </w:p>
    <w:p w14:paraId="6CD00E41" w14:textId="6D937307" w:rsidR="002F3842" w:rsidRPr="00097548" w:rsidRDefault="002F3842" w:rsidP="00924D32">
      <w:pPr>
        <w:pStyle w:val="Numberedlevel2text"/>
        <w:rPr>
          <w:lang w:val="en-GB"/>
        </w:rPr>
      </w:pPr>
      <w:r w:rsidRPr="00097548">
        <w:rPr>
          <w:lang w:val="en-GB"/>
        </w:rPr>
        <w:t xml:space="preserve">The committee agreed that good antimicrobial stewardship is extremely important to preserve the effectiveness of </w:t>
      </w:r>
      <w:proofErr w:type="spellStart"/>
      <w:r w:rsidRPr="00097548">
        <w:rPr>
          <w:lang w:val="en-GB"/>
        </w:rPr>
        <w:t>cefiderocol</w:t>
      </w:r>
      <w:proofErr w:type="spellEnd"/>
      <w:r w:rsidRPr="00097548">
        <w:rPr>
          <w:lang w:val="en-GB"/>
        </w:rPr>
        <w:t xml:space="preserve"> and to minimise the risk of developing resistance</w:t>
      </w:r>
      <w:r w:rsidR="00F84050" w:rsidRPr="00097548">
        <w:rPr>
          <w:lang w:val="en-GB"/>
        </w:rPr>
        <w:t>. It</w:t>
      </w:r>
      <w:r w:rsidRPr="00097548">
        <w:rPr>
          <w:lang w:val="en-GB"/>
        </w:rPr>
        <w:t xml:space="preserve"> was</w:t>
      </w:r>
      <w:r w:rsidR="00F84050" w:rsidRPr="00097548">
        <w:rPr>
          <w:lang w:val="en-GB"/>
        </w:rPr>
        <w:t xml:space="preserve"> </w:t>
      </w:r>
      <w:r w:rsidRPr="00097548">
        <w:rPr>
          <w:lang w:val="en-GB"/>
        </w:rPr>
        <w:t>aware</w:t>
      </w:r>
      <w:r w:rsidR="00F84050" w:rsidRPr="00097548">
        <w:rPr>
          <w:lang w:val="en-GB"/>
        </w:rPr>
        <w:t xml:space="preserve"> of</w:t>
      </w:r>
      <w:r w:rsidR="003A105E" w:rsidRPr="00097548">
        <w:rPr>
          <w:lang w:val="en-GB"/>
        </w:rPr>
        <w:t xml:space="preserve"> </w:t>
      </w:r>
      <w:hyperlink r:id="rId17" w:history="1">
        <w:r w:rsidR="00217889" w:rsidRPr="00097548">
          <w:rPr>
            <w:rStyle w:val="Hyperlink"/>
            <w:lang w:val="en-GB"/>
          </w:rPr>
          <w:t>NICE's guideline on antimicrobial stewardship</w:t>
        </w:r>
      </w:hyperlink>
      <w:r w:rsidRPr="00097548">
        <w:rPr>
          <w:lang w:val="en-GB"/>
        </w:rPr>
        <w:t xml:space="preserve">. The committee agreed that </w:t>
      </w:r>
      <w:proofErr w:type="spellStart"/>
      <w:r w:rsidRPr="00097548">
        <w:rPr>
          <w:lang w:val="en-GB"/>
        </w:rPr>
        <w:t>cefiderocol</w:t>
      </w:r>
      <w:proofErr w:type="spellEnd"/>
      <w:r w:rsidRPr="00097548">
        <w:rPr>
          <w:lang w:val="en-GB"/>
        </w:rPr>
        <w:t xml:space="preserve"> should </w:t>
      </w:r>
      <w:r w:rsidR="00051113" w:rsidRPr="00097548">
        <w:rPr>
          <w:lang w:val="en-GB"/>
        </w:rPr>
        <w:t xml:space="preserve">be reserved for </w:t>
      </w:r>
      <w:r w:rsidRPr="00097548">
        <w:rPr>
          <w:lang w:val="en-GB"/>
        </w:rPr>
        <w:t xml:space="preserve">people with </w:t>
      </w:r>
      <w:r w:rsidR="00E9401C">
        <w:rPr>
          <w:lang w:val="en-GB"/>
        </w:rPr>
        <w:t>no suitable alternative</w:t>
      </w:r>
      <w:r w:rsidRPr="00097548">
        <w:rPr>
          <w:lang w:val="en-GB"/>
        </w:rPr>
        <w:t xml:space="preserve"> treatment options, </w:t>
      </w:r>
      <w:bookmarkStart w:id="32" w:name="_Hlk109214217"/>
      <w:r w:rsidR="00007460">
        <w:rPr>
          <w:lang w:val="en-GB"/>
        </w:rPr>
        <w:t xml:space="preserve">either </w:t>
      </w:r>
      <w:r w:rsidR="00007460" w:rsidRPr="001E0A1A">
        <w:rPr>
          <w:lang w:val="en-GB"/>
        </w:rPr>
        <w:t xml:space="preserve">because </w:t>
      </w:r>
      <w:r w:rsidR="00007460">
        <w:rPr>
          <w:lang w:val="en-GB"/>
        </w:rPr>
        <w:t xml:space="preserve">clinicians expect or have confirmed that </w:t>
      </w:r>
      <w:r w:rsidR="00007460" w:rsidRPr="001E0A1A">
        <w:rPr>
          <w:lang w:val="en-GB"/>
        </w:rPr>
        <w:t>the infection is resistant to other antimicrobials</w:t>
      </w:r>
      <w:r w:rsidR="00B538F2">
        <w:rPr>
          <w:lang w:val="en-GB"/>
        </w:rPr>
        <w:t xml:space="preserve">, </w:t>
      </w:r>
      <w:r w:rsidRPr="00097548">
        <w:rPr>
          <w:lang w:val="en-GB"/>
        </w:rPr>
        <w:t>or</w:t>
      </w:r>
      <w:r w:rsidR="00CF2A79">
        <w:rPr>
          <w:lang w:val="en-GB"/>
        </w:rPr>
        <w:t xml:space="preserve"> because</w:t>
      </w:r>
      <w:r w:rsidRPr="00097548">
        <w:rPr>
          <w:lang w:val="en-GB"/>
        </w:rPr>
        <w:t xml:space="preserve"> there are concerns about the toxicity or availability of alternative treatments </w:t>
      </w:r>
      <w:bookmarkEnd w:id="32"/>
      <w:r w:rsidRPr="00097548">
        <w:rPr>
          <w:lang w:val="en-GB"/>
        </w:rPr>
        <w:t xml:space="preserve">(see </w:t>
      </w:r>
      <w:r w:rsidR="00F84050" w:rsidRPr="00097548">
        <w:rPr>
          <w:lang w:val="en-GB"/>
        </w:rPr>
        <w:t xml:space="preserve">section </w:t>
      </w:r>
      <w:r w:rsidR="009B5DCA">
        <w:rPr>
          <w:lang w:val="en-GB"/>
        </w:rPr>
        <w:t>4</w:t>
      </w:r>
      <w:r w:rsidRPr="00097548">
        <w:rPr>
          <w:lang w:val="en-GB"/>
        </w:rPr>
        <w:t>.</w:t>
      </w:r>
      <w:r w:rsidR="00C73A9F" w:rsidRPr="00097548">
        <w:rPr>
          <w:lang w:val="en-GB"/>
        </w:rPr>
        <w:t>16</w:t>
      </w:r>
      <w:r w:rsidRPr="00097548">
        <w:rPr>
          <w:lang w:val="en-GB"/>
        </w:rPr>
        <w:t xml:space="preserve">). The committee considered that </w:t>
      </w:r>
      <w:r w:rsidR="00664F7A" w:rsidRPr="00097548">
        <w:rPr>
          <w:lang w:val="en-GB"/>
        </w:rPr>
        <w:t xml:space="preserve">ideally clinicians would offer </w:t>
      </w:r>
      <w:proofErr w:type="spellStart"/>
      <w:r w:rsidRPr="00097548">
        <w:rPr>
          <w:lang w:val="en-GB"/>
        </w:rPr>
        <w:t>cefiderocol</w:t>
      </w:r>
      <w:proofErr w:type="spellEnd"/>
      <w:r w:rsidRPr="00097548">
        <w:rPr>
          <w:lang w:val="en-GB"/>
        </w:rPr>
        <w:t xml:space="preserve"> only after </w:t>
      </w:r>
      <w:r w:rsidR="00485EFD">
        <w:rPr>
          <w:lang w:val="en-GB"/>
        </w:rPr>
        <w:t xml:space="preserve">tests for </w:t>
      </w:r>
      <w:r w:rsidR="00EF7A93">
        <w:rPr>
          <w:lang w:val="en-GB"/>
        </w:rPr>
        <w:t xml:space="preserve">microbiology susceptibility and mechanisms of resistance </w:t>
      </w:r>
      <w:r w:rsidRPr="00097548">
        <w:rPr>
          <w:lang w:val="en-GB"/>
        </w:rPr>
        <w:t xml:space="preserve">have confirmed that the pathogen </w:t>
      </w:r>
      <w:r w:rsidR="009D540B" w:rsidRPr="00097548">
        <w:rPr>
          <w:lang w:val="en-GB"/>
        </w:rPr>
        <w:t xml:space="preserve">is </w:t>
      </w:r>
      <w:r w:rsidR="000C1FE8" w:rsidRPr="00097548">
        <w:rPr>
          <w:lang w:val="en-GB"/>
        </w:rPr>
        <w:t xml:space="preserve">resistant to </w:t>
      </w:r>
      <w:r w:rsidR="00EF7A93">
        <w:rPr>
          <w:lang w:val="en-GB"/>
        </w:rPr>
        <w:t>other suitable</w:t>
      </w:r>
      <w:r w:rsidR="00EF7A93" w:rsidRPr="00097548">
        <w:rPr>
          <w:lang w:val="en-GB"/>
        </w:rPr>
        <w:t xml:space="preserve"> </w:t>
      </w:r>
      <w:r w:rsidR="000C1FE8" w:rsidRPr="00097548">
        <w:rPr>
          <w:lang w:val="en-GB"/>
        </w:rPr>
        <w:t xml:space="preserve">treatment options and </w:t>
      </w:r>
      <w:r w:rsidRPr="00097548">
        <w:rPr>
          <w:lang w:val="en-GB"/>
        </w:rPr>
        <w:t xml:space="preserve">susceptible to </w:t>
      </w:r>
      <w:proofErr w:type="spellStart"/>
      <w:r w:rsidR="000C1FE8" w:rsidRPr="00097548">
        <w:rPr>
          <w:lang w:val="en-GB"/>
        </w:rPr>
        <w:t>cefiderocol</w:t>
      </w:r>
      <w:proofErr w:type="spellEnd"/>
      <w:r w:rsidRPr="00097548">
        <w:rPr>
          <w:lang w:val="en-GB"/>
        </w:rPr>
        <w:t xml:space="preserve">. However, </w:t>
      </w:r>
      <w:r w:rsidR="002A7398" w:rsidRPr="00097548">
        <w:rPr>
          <w:lang w:val="en-GB"/>
        </w:rPr>
        <w:t xml:space="preserve">it </w:t>
      </w:r>
      <w:r w:rsidRPr="00097548">
        <w:rPr>
          <w:lang w:val="en-GB"/>
        </w:rPr>
        <w:t>recognised that having these test results before starting treatment was not always possible, for example</w:t>
      </w:r>
      <w:r w:rsidR="00007460">
        <w:rPr>
          <w:lang w:val="en-GB"/>
        </w:rPr>
        <w:t>,</w:t>
      </w:r>
      <w:r w:rsidRPr="00097548">
        <w:rPr>
          <w:lang w:val="en-GB"/>
        </w:rPr>
        <w:t xml:space="preserve"> </w:t>
      </w:r>
      <w:r w:rsidR="00DC410A" w:rsidRPr="00097548">
        <w:rPr>
          <w:lang w:val="en-GB"/>
        </w:rPr>
        <w:t xml:space="preserve">if a person’s </w:t>
      </w:r>
      <w:r w:rsidR="00F84050" w:rsidRPr="00097548">
        <w:rPr>
          <w:lang w:val="en-GB"/>
        </w:rPr>
        <w:t>condition is clinically unstable</w:t>
      </w:r>
      <w:r w:rsidRPr="00097548">
        <w:rPr>
          <w:lang w:val="en-GB"/>
        </w:rPr>
        <w:t xml:space="preserve"> with a fast-progressing infection </w:t>
      </w:r>
      <w:r w:rsidR="00F84050" w:rsidRPr="00097548">
        <w:rPr>
          <w:lang w:val="en-GB"/>
        </w:rPr>
        <w:t xml:space="preserve">that </w:t>
      </w:r>
      <w:r w:rsidRPr="00097548">
        <w:rPr>
          <w:lang w:val="en-GB"/>
        </w:rPr>
        <w:t xml:space="preserve">is not responding to other antimicrobials. The </w:t>
      </w:r>
      <w:r w:rsidRPr="00097548">
        <w:rPr>
          <w:lang w:val="en-GB"/>
        </w:rPr>
        <w:lastRenderedPageBreak/>
        <w:t xml:space="preserve">committee agreed that it would be appropriate to offer </w:t>
      </w:r>
      <w:proofErr w:type="spellStart"/>
      <w:r w:rsidRPr="00097548">
        <w:rPr>
          <w:lang w:val="en-GB"/>
        </w:rPr>
        <w:t>cefiderocol</w:t>
      </w:r>
      <w:proofErr w:type="spellEnd"/>
      <w:r w:rsidRPr="00097548">
        <w:rPr>
          <w:lang w:val="en-GB"/>
        </w:rPr>
        <w:t xml:space="preserve"> in the absence of test results, only if </w:t>
      </w:r>
      <w:r w:rsidR="002A7398" w:rsidRPr="00097548">
        <w:rPr>
          <w:lang w:val="en-GB"/>
        </w:rPr>
        <w:t xml:space="preserve">clinicians </w:t>
      </w:r>
      <w:r w:rsidRPr="00097548">
        <w:rPr>
          <w:lang w:val="en-GB"/>
        </w:rPr>
        <w:t>strong</w:t>
      </w:r>
      <w:r w:rsidR="002A7398" w:rsidRPr="00097548">
        <w:rPr>
          <w:lang w:val="en-GB"/>
        </w:rPr>
        <w:t>ly</w:t>
      </w:r>
      <w:r w:rsidRPr="00097548">
        <w:rPr>
          <w:lang w:val="en-GB"/>
        </w:rPr>
        <w:t xml:space="preserve"> susp</w:t>
      </w:r>
      <w:r w:rsidR="002A7398" w:rsidRPr="00097548">
        <w:rPr>
          <w:lang w:val="en-GB"/>
        </w:rPr>
        <w:t>ect</w:t>
      </w:r>
      <w:r w:rsidRPr="00097548">
        <w:rPr>
          <w:lang w:val="en-GB"/>
        </w:rPr>
        <w:t xml:space="preserve"> that the infection will be susceptible to </w:t>
      </w:r>
      <w:proofErr w:type="spellStart"/>
      <w:r w:rsidR="002A7398" w:rsidRPr="00097548">
        <w:rPr>
          <w:lang w:val="en-GB"/>
        </w:rPr>
        <w:t>cefiderocol</w:t>
      </w:r>
      <w:proofErr w:type="spellEnd"/>
      <w:r w:rsidRPr="00097548">
        <w:rPr>
          <w:lang w:val="en-GB"/>
        </w:rPr>
        <w:t xml:space="preserve">, </w:t>
      </w:r>
      <w:r w:rsidR="00B4772E" w:rsidRPr="00B42955">
        <w:t>and not susceptible to other suitable antibiotics</w:t>
      </w:r>
      <w:r w:rsidRPr="00097548">
        <w:rPr>
          <w:lang w:val="en-GB"/>
        </w:rPr>
        <w:t xml:space="preserve">. The committee noted that </w:t>
      </w:r>
      <w:r w:rsidR="00DC410A" w:rsidRPr="00097548">
        <w:rPr>
          <w:lang w:val="en-GB"/>
        </w:rPr>
        <w:t xml:space="preserve">the </w:t>
      </w:r>
      <w:r w:rsidRPr="00097548">
        <w:rPr>
          <w:lang w:val="en-GB"/>
        </w:rPr>
        <w:t xml:space="preserve">estimates of incremental net health benefit for </w:t>
      </w:r>
      <w:proofErr w:type="spellStart"/>
      <w:r w:rsidRPr="00097548">
        <w:rPr>
          <w:lang w:val="en-GB"/>
        </w:rPr>
        <w:t>cefiderocol</w:t>
      </w:r>
      <w:proofErr w:type="spellEnd"/>
      <w:r w:rsidRPr="00097548">
        <w:rPr>
          <w:lang w:val="en-GB"/>
        </w:rPr>
        <w:t xml:space="preserve"> were based on using it </w:t>
      </w:r>
      <w:r w:rsidR="00924D32" w:rsidRPr="00097548">
        <w:rPr>
          <w:lang w:val="en-GB"/>
        </w:rPr>
        <w:t xml:space="preserve">under these conditions. </w:t>
      </w:r>
      <w:r w:rsidRPr="00097548">
        <w:rPr>
          <w:lang w:val="en-GB"/>
        </w:rPr>
        <w:t>The committee concluded that</w:t>
      </w:r>
      <w:r w:rsidR="00B93627" w:rsidRPr="00097548">
        <w:rPr>
          <w:lang w:val="en-GB"/>
        </w:rPr>
        <w:t xml:space="preserve">, to limit antimicrobial resistance, </w:t>
      </w:r>
      <w:proofErr w:type="spellStart"/>
      <w:r w:rsidRPr="00097548">
        <w:rPr>
          <w:lang w:val="en-GB"/>
        </w:rPr>
        <w:t>cefiderocol</w:t>
      </w:r>
      <w:proofErr w:type="spellEnd"/>
      <w:r w:rsidRPr="00097548">
        <w:rPr>
          <w:lang w:val="en-GB"/>
        </w:rPr>
        <w:t xml:space="preserve"> should be offered </w:t>
      </w:r>
      <w:bookmarkStart w:id="33" w:name="_Hlk98519338"/>
      <w:r w:rsidR="00805D69" w:rsidRPr="00097548">
        <w:rPr>
          <w:lang w:val="en-GB"/>
        </w:rPr>
        <w:t xml:space="preserve">only when there are </w:t>
      </w:r>
      <w:r w:rsidR="00E9401C">
        <w:rPr>
          <w:lang w:val="en-GB"/>
        </w:rPr>
        <w:t>no suitable alternative</w:t>
      </w:r>
      <w:r w:rsidR="00805D69" w:rsidRPr="00097548">
        <w:rPr>
          <w:lang w:val="en-GB"/>
        </w:rPr>
        <w:t xml:space="preserve"> treatment options, and only </w:t>
      </w:r>
      <w:r w:rsidR="00924D32" w:rsidRPr="00097548">
        <w:rPr>
          <w:lang w:val="en-GB"/>
        </w:rPr>
        <w:t xml:space="preserve">when </w:t>
      </w:r>
      <w:r w:rsidR="00485EFD">
        <w:rPr>
          <w:lang w:val="en-GB"/>
        </w:rPr>
        <w:t xml:space="preserve">tests for </w:t>
      </w:r>
      <w:r w:rsidR="00924D32" w:rsidRPr="00097548">
        <w:rPr>
          <w:lang w:val="en-GB"/>
        </w:rPr>
        <w:t xml:space="preserve">microbiological susceptibility </w:t>
      </w:r>
      <w:r w:rsidR="00EF7A93">
        <w:rPr>
          <w:lang w:val="en-GB"/>
        </w:rPr>
        <w:t xml:space="preserve">and </w:t>
      </w:r>
      <w:r w:rsidR="00EF7A93">
        <w:t>mechanisms of resistance</w:t>
      </w:r>
      <w:r w:rsidR="00EF7A93" w:rsidRPr="00924D32">
        <w:rPr>
          <w:lang w:val="en-GB"/>
        </w:rPr>
        <w:t xml:space="preserve"> </w:t>
      </w:r>
      <w:r w:rsidR="00924D32" w:rsidRPr="00097548">
        <w:rPr>
          <w:lang w:val="en-GB"/>
        </w:rPr>
        <w:t>ha</w:t>
      </w:r>
      <w:r w:rsidR="00EF7A93">
        <w:rPr>
          <w:lang w:val="en-GB"/>
        </w:rPr>
        <w:t>ve</w:t>
      </w:r>
      <w:r w:rsidR="00924D32" w:rsidRPr="00097548">
        <w:rPr>
          <w:lang w:val="en-GB"/>
        </w:rPr>
        <w:t xml:space="preserve"> confirmed that the infection is susceptible to </w:t>
      </w:r>
      <w:proofErr w:type="spellStart"/>
      <w:r w:rsidR="00924D32" w:rsidRPr="00097548">
        <w:rPr>
          <w:lang w:val="en-GB"/>
        </w:rPr>
        <w:t>cefiderocol</w:t>
      </w:r>
      <w:proofErr w:type="spellEnd"/>
      <w:r w:rsidR="00EF7A93">
        <w:rPr>
          <w:lang w:val="en-GB"/>
        </w:rPr>
        <w:t xml:space="preserve"> and resistant to other suitable treatment options</w:t>
      </w:r>
      <w:r w:rsidR="00924D32" w:rsidRPr="00097548">
        <w:rPr>
          <w:lang w:val="en-GB"/>
        </w:rPr>
        <w:t xml:space="preserve">, or when there is an urgent need to treat an infection expected to be susceptible to </w:t>
      </w:r>
      <w:proofErr w:type="spellStart"/>
      <w:r w:rsidR="00924D32" w:rsidRPr="00097548">
        <w:rPr>
          <w:lang w:val="en-GB"/>
        </w:rPr>
        <w:t>cefiderocol</w:t>
      </w:r>
      <w:proofErr w:type="spellEnd"/>
      <w:r w:rsidR="00924D32" w:rsidRPr="00097548">
        <w:rPr>
          <w:lang w:val="en-GB"/>
        </w:rPr>
        <w:t xml:space="preserve"> and </w:t>
      </w:r>
      <w:r w:rsidR="00EF7A93">
        <w:rPr>
          <w:lang w:val="en-GB"/>
        </w:rPr>
        <w:t xml:space="preserve">the </w:t>
      </w:r>
      <w:r w:rsidR="00924D32" w:rsidRPr="00097548">
        <w:rPr>
          <w:lang w:val="en-GB"/>
        </w:rPr>
        <w:t xml:space="preserve">results of </w:t>
      </w:r>
      <w:r w:rsidR="00EF7A93">
        <w:rPr>
          <w:lang w:val="en-GB"/>
        </w:rPr>
        <w:t xml:space="preserve">these </w:t>
      </w:r>
      <w:r w:rsidR="00924D32" w:rsidRPr="00097548">
        <w:rPr>
          <w:lang w:val="en-GB"/>
        </w:rPr>
        <w:t>tests are not yet available</w:t>
      </w:r>
      <w:bookmarkEnd w:id="33"/>
      <w:r w:rsidRPr="00097548">
        <w:rPr>
          <w:lang w:val="en-GB"/>
        </w:rPr>
        <w:t>.</w:t>
      </w:r>
    </w:p>
    <w:p w14:paraId="4FFFEE6A" w14:textId="204EA83A" w:rsidR="00935219" w:rsidRPr="00097548" w:rsidRDefault="00935219" w:rsidP="00935219">
      <w:pPr>
        <w:pStyle w:val="Numberedheading1"/>
        <w:numPr>
          <w:ilvl w:val="0"/>
          <w:numId w:val="1"/>
        </w:numPr>
      </w:pPr>
      <w:bookmarkStart w:id="34" w:name="_Hlk98926458"/>
      <w:r w:rsidRPr="00097548">
        <w:t>Recommendations for research</w:t>
      </w:r>
    </w:p>
    <w:p w14:paraId="286A3B6A" w14:textId="562AC303" w:rsidR="00935219" w:rsidRPr="00097548" w:rsidRDefault="00935219" w:rsidP="00935219">
      <w:pPr>
        <w:pStyle w:val="Numberedlevel2text"/>
        <w:numPr>
          <w:ilvl w:val="1"/>
          <w:numId w:val="1"/>
        </w:numPr>
        <w:rPr>
          <w:lang w:val="en-GB"/>
        </w:rPr>
      </w:pPr>
      <w:r w:rsidRPr="00097548">
        <w:rPr>
          <w:lang w:val="en-GB"/>
        </w:rPr>
        <w:t>NICE recommends further research to develop best practice in the health economic evaluation of antimicrobials in the UK, Europe and globally</w:t>
      </w:r>
      <w:r w:rsidR="00EF7A93">
        <w:rPr>
          <w:lang w:val="en-GB"/>
        </w:rPr>
        <w:t>, as detailed in sections 5.2, 5.3 and 5.4</w:t>
      </w:r>
      <w:r w:rsidRPr="00097548">
        <w:rPr>
          <w:lang w:val="en-GB"/>
        </w:rPr>
        <w:t xml:space="preserve">. </w:t>
      </w:r>
    </w:p>
    <w:p w14:paraId="0E76225C" w14:textId="07F76FF6" w:rsidR="00935219" w:rsidRPr="00097548" w:rsidRDefault="00935219" w:rsidP="00D764EE">
      <w:pPr>
        <w:pStyle w:val="Numberedlevel2text"/>
        <w:numPr>
          <w:ilvl w:val="1"/>
          <w:numId w:val="1"/>
        </w:numPr>
        <w:rPr>
          <w:lang w:val="en-GB"/>
        </w:rPr>
      </w:pPr>
      <w:r w:rsidRPr="00097548">
        <w:rPr>
          <w:lang w:val="en-GB"/>
        </w:rPr>
        <w:t>Develop methods to model and quantify the additional elements of benefit of new antimicrobials</w:t>
      </w:r>
      <w:r w:rsidR="006F0DDA" w:rsidRPr="00097548">
        <w:rPr>
          <w:lang w:val="en-GB"/>
        </w:rPr>
        <w:t>,</w:t>
      </w:r>
      <w:r w:rsidRPr="00097548">
        <w:rPr>
          <w:lang w:val="en-GB"/>
        </w:rPr>
        <w:t xml:space="preserve"> including</w:t>
      </w:r>
      <w:r w:rsidR="00B4772E">
        <w:rPr>
          <w:lang w:val="en-GB"/>
        </w:rPr>
        <w:t>,</w:t>
      </w:r>
      <w:r w:rsidRPr="00097548">
        <w:rPr>
          <w:lang w:val="en-GB"/>
        </w:rPr>
        <w:t xml:space="preserve"> but not limited to</w:t>
      </w:r>
      <w:r w:rsidR="00B4772E">
        <w:rPr>
          <w:lang w:val="en-GB"/>
        </w:rPr>
        <w:t>,</w:t>
      </w:r>
      <w:r w:rsidRPr="00097548">
        <w:rPr>
          <w:lang w:val="en-GB"/>
        </w:rPr>
        <w:t xml:space="preserve"> spectrum, transmission, enablement, </w:t>
      </w:r>
      <w:proofErr w:type="gramStart"/>
      <w:r w:rsidRPr="00097548">
        <w:rPr>
          <w:lang w:val="en-GB"/>
        </w:rPr>
        <w:t>diversity</w:t>
      </w:r>
      <w:proofErr w:type="gramEnd"/>
      <w:r w:rsidRPr="00097548">
        <w:rPr>
          <w:lang w:val="en-GB"/>
        </w:rPr>
        <w:t xml:space="preserve"> and insurance value.</w:t>
      </w:r>
    </w:p>
    <w:p w14:paraId="5202A7DF" w14:textId="1A2A5DD9" w:rsidR="00935219" w:rsidRPr="00097548" w:rsidRDefault="00935219" w:rsidP="00B538F2">
      <w:pPr>
        <w:pStyle w:val="Numberedlevel2text"/>
        <w:numPr>
          <w:ilvl w:val="1"/>
          <w:numId w:val="1"/>
        </w:numPr>
        <w:rPr>
          <w:lang w:val="en-GB"/>
        </w:rPr>
      </w:pPr>
      <w:r w:rsidRPr="00097548">
        <w:rPr>
          <w:lang w:val="en-GB"/>
        </w:rPr>
        <w:t>Determin</w:t>
      </w:r>
      <w:r w:rsidR="00485EFD">
        <w:rPr>
          <w:lang w:val="en-GB"/>
        </w:rPr>
        <w:t>e</w:t>
      </w:r>
      <w:r w:rsidRPr="00097548">
        <w:rPr>
          <w:lang w:val="en-GB"/>
        </w:rPr>
        <w:t xml:space="preserve"> the relationship between a pathogen’s in vitro susceptibility to an antimicrobial treatment and relevant outcomes in people with multi-drug-resistant bacterial infections. Data should include patient identification to </w:t>
      </w:r>
      <w:r w:rsidR="006F0DDA" w:rsidRPr="00097548">
        <w:rPr>
          <w:lang w:val="en-GB"/>
        </w:rPr>
        <w:t xml:space="preserve">allow </w:t>
      </w:r>
      <w:r w:rsidRPr="00097548">
        <w:rPr>
          <w:lang w:val="en-GB"/>
        </w:rPr>
        <w:t>linkage</w:t>
      </w:r>
      <w:r w:rsidR="006F0DDA" w:rsidRPr="00097548">
        <w:rPr>
          <w:lang w:val="en-GB"/>
        </w:rPr>
        <w:t>. It should</w:t>
      </w:r>
      <w:r w:rsidRPr="00097548">
        <w:rPr>
          <w:lang w:val="en-GB"/>
        </w:rPr>
        <w:t xml:space="preserve"> reflect </w:t>
      </w:r>
      <w:r w:rsidR="006F0DDA" w:rsidRPr="00097548">
        <w:rPr>
          <w:lang w:val="en-GB"/>
        </w:rPr>
        <w:t xml:space="preserve">the </w:t>
      </w:r>
      <w:r w:rsidRPr="00097548">
        <w:rPr>
          <w:lang w:val="en-GB"/>
        </w:rPr>
        <w:t xml:space="preserve">site </w:t>
      </w:r>
      <w:r w:rsidR="00007460">
        <w:rPr>
          <w:lang w:val="en-GB"/>
        </w:rPr>
        <w:t xml:space="preserve">from which the </w:t>
      </w:r>
      <w:r w:rsidRPr="00097548">
        <w:rPr>
          <w:lang w:val="en-GB"/>
        </w:rPr>
        <w:t>sample</w:t>
      </w:r>
      <w:r w:rsidR="00007460">
        <w:rPr>
          <w:lang w:val="en-GB"/>
        </w:rPr>
        <w:t xml:space="preserve"> was taken</w:t>
      </w:r>
      <w:r w:rsidRPr="00097548">
        <w:rPr>
          <w:lang w:val="en-GB"/>
        </w:rPr>
        <w:t xml:space="preserve">, state </w:t>
      </w:r>
      <w:r w:rsidR="006F0DDA" w:rsidRPr="00097548">
        <w:rPr>
          <w:lang w:val="en-GB"/>
        </w:rPr>
        <w:t xml:space="preserve">the </w:t>
      </w:r>
      <w:r w:rsidRPr="00097548">
        <w:rPr>
          <w:lang w:val="en-GB"/>
        </w:rPr>
        <w:t xml:space="preserve">probable site of infection, identify </w:t>
      </w:r>
      <w:r w:rsidR="006F0DDA" w:rsidRPr="00097548">
        <w:rPr>
          <w:lang w:val="en-GB"/>
        </w:rPr>
        <w:t xml:space="preserve">the </w:t>
      </w:r>
      <w:r w:rsidRPr="00097548">
        <w:rPr>
          <w:lang w:val="en-GB"/>
        </w:rPr>
        <w:t xml:space="preserve">pathogen, identify </w:t>
      </w:r>
      <w:r w:rsidR="006F0DDA" w:rsidRPr="00097548">
        <w:rPr>
          <w:lang w:val="en-GB"/>
        </w:rPr>
        <w:t xml:space="preserve">the </w:t>
      </w:r>
      <w:r w:rsidRPr="00097548">
        <w:rPr>
          <w:lang w:val="en-GB"/>
        </w:rPr>
        <w:t>mechanism of antimicrobial resistance</w:t>
      </w:r>
      <w:r w:rsidR="006F0DDA" w:rsidRPr="00097548">
        <w:rPr>
          <w:lang w:val="en-GB"/>
        </w:rPr>
        <w:t>,</w:t>
      </w:r>
      <w:r w:rsidRPr="00097548">
        <w:rPr>
          <w:lang w:val="en-GB"/>
        </w:rPr>
        <w:t xml:space="preserve"> and record antimicrobial treatment. Relevant clinical outcomes may include</w:t>
      </w:r>
      <w:r w:rsidR="00007460">
        <w:rPr>
          <w:lang w:val="en-GB"/>
        </w:rPr>
        <w:t>,</w:t>
      </w:r>
      <w:r w:rsidRPr="00097548">
        <w:rPr>
          <w:lang w:val="en-GB"/>
        </w:rPr>
        <w:t xml:space="preserve"> but are not limited to</w:t>
      </w:r>
      <w:r w:rsidR="00007460">
        <w:rPr>
          <w:lang w:val="en-GB"/>
        </w:rPr>
        <w:t>,</w:t>
      </w:r>
      <w:r w:rsidRPr="00097548">
        <w:rPr>
          <w:lang w:val="en-GB"/>
        </w:rPr>
        <w:t xml:space="preserve"> mortality (including all-cause mortality and mortality attributable to the infection), clinical cure (signs </w:t>
      </w:r>
      <w:r w:rsidR="00007460">
        <w:rPr>
          <w:lang w:val="en-GB"/>
        </w:rPr>
        <w:t xml:space="preserve">and </w:t>
      </w:r>
      <w:r w:rsidRPr="00097548">
        <w:rPr>
          <w:lang w:val="en-GB"/>
        </w:rPr>
        <w:t>symptoms o</w:t>
      </w:r>
      <w:r w:rsidR="00007460">
        <w:rPr>
          <w:lang w:val="en-GB"/>
        </w:rPr>
        <w:t xml:space="preserve">f </w:t>
      </w:r>
      <w:r w:rsidRPr="00097548">
        <w:rPr>
          <w:lang w:val="en-GB"/>
        </w:rPr>
        <w:t xml:space="preserve">infection </w:t>
      </w:r>
      <w:r w:rsidR="00485EFD">
        <w:rPr>
          <w:lang w:val="en-GB"/>
        </w:rPr>
        <w:t xml:space="preserve">resolved </w:t>
      </w:r>
      <w:r w:rsidR="00007460">
        <w:rPr>
          <w:lang w:val="en-GB"/>
        </w:rPr>
        <w:t xml:space="preserve">and </w:t>
      </w:r>
      <w:r w:rsidRPr="00097548">
        <w:rPr>
          <w:lang w:val="en-GB"/>
        </w:rPr>
        <w:t xml:space="preserve">no further antimicrobial therapy needed) and microbiological </w:t>
      </w:r>
      <w:r w:rsidRPr="00097548">
        <w:rPr>
          <w:lang w:val="en-GB"/>
        </w:rPr>
        <w:lastRenderedPageBreak/>
        <w:t xml:space="preserve">eradication. Relevant safety outcomes include acute kidney injury, renal replacement therapy, colonisation with multi-drug-resistant pathogen </w:t>
      </w:r>
      <w:r w:rsidR="00485EFD">
        <w:rPr>
          <w:lang w:val="en-GB"/>
        </w:rPr>
        <w:t>after</w:t>
      </w:r>
      <w:r w:rsidRPr="00097548">
        <w:rPr>
          <w:lang w:val="en-GB"/>
        </w:rPr>
        <w:t xml:space="preserve"> treatment</w:t>
      </w:r>
      <w:r w:rsidR="006F0DDA" w:rsidRPr="00097548">
        <w:rPr>
          <w:lang w:val="en-GB"/>
        </w:rPr>
        <w:t>,</w:t>
      </w:r>
      <w:r w:rsidRPr="00097548">
        <w:rPr>
          <w:lang w:val="en-GB"/>
        </w:rPr>
        <w:t xml:space="preserve"> and </w:t>
      </w:r>
      <w:proofErr w:type="spellStart"/>
      <w:r w:rsidRPr="00D85995">
        <w:rPr>
          <w:i/>
          <w:lang w:val="en-GB"/>
        </w:rPr>
        <w:t>Clostridioides</w:t>
      </w:r>
      <w:proofErr w:type="spellEnd"/>
      <w:r w:rsidRPr="00D85995">
        <w:rPr>
          <w:i/>
          <w:lang w:val="en-GB"/>
        </w:rPr>
        <w:t xml:space="preserve"> difficile</w:t>
      </w:r>
      <w:r w:rsidRPr="00097548">
        <w:rPr>
          <w:lang w:val="en-GB"/>
        </w:rPr>
        <w:t xml:space="preserve"> infection. Relevant resource-use outcomes include length of hospital stay by ward type and duration of treatment. Ideally</w:t>
      </w:r>
      <w:r w:rsidR="00007460">
        <w:rPr>
          <w:lang w:val="en-GB"/>
        </w:rPr>
        <w:t>,</w:t>
      </w:r>
      <w:r w:rsidRPr="00097548">
        <w:rPr>
          <w:lang w:val="en-GB"/>
        </w:rPr>
        <w:t xml:space="preserve"> a range of different antimicrobial treatments would be included in a single study, to ensure consisten</w:t>
      </w:r>
      <w:r w:rsidR="00007460">
        <w:rPr>
          <w:lang w:val="en-GB"/>
        </w:rPr>
        <w:t>t</w:t>
      </w:r>
      <w:r w:rsidRPr="00097548">
        <w:rPr>
          <w:lang w:val="en-GB"/>
        </w:rPr>
        <w:t xml:space="preserve"> laboratory methods and clinical breakpoints.</w:t>
      </w:r>
    </w:p>
    <w:p w14:paraId="4E798D14" w14:textId="4227D64D" w:rsidR="00935219" w:rsidRPr="00097548" w:rsidRDefault="00935219" w:rsidP="00935219">
      <w:pPr>
        <w:pStyle w:val="Numberedlevel2text"/>
        <w:numPr>
          <w:ilvl w:val="1"/>
          <w:numId w:val="1"/>
        </w:numPr>
        <w:rPr>
          <w:lang w:val="en-GB"/>
        </w:rPr>
      </w:pPr>
      <w:r w:rsidRPr="00097548">
        <w:rPr>
          <w:lang w:val="en-GB"/>
        </w:rPr>
        <w:t>Establish better methods to synthesise evidence from in vitro antimicrobial susceptibility studies. This could include:</w:t>
      </w:r>
    </w:p>
    <w:p w14:paraId="282615A1" w14:textId="322447B9" w:rsidR="00935219" w:rsidRPr="00097548" w:rsidRDefault="00D764EE" w:rsidP="00485EFD">
      <w:pPr>
        <w:pStyle w:val="Bulletindent1"/>
        <w:numPr>
          <w:ilvl w:val="0"/>
          <w:numId w:val="7"/>
        </w:numPr>
        <w:tabs>
          <w:tab w:val="clear" w:pos="568"/>
          <w:tab w:val="num" w:pos="1418"/>
        </w:tabs>
        <w:ind w:left="1418"/>
      </w:pPr>
      <w:r w:rsidRPr="00097548">
        <w:t>E</w:t>
      </w:r>
      <w:r w:rsidR="00935219" w:rsidRPr="00097548">
        <w:t>stablishing whether the different laboratory methods and clinical breakpoints used to assess antimicrobial susceptibility, which are set by different organisations (for example, European Committee on Antimicrobial Susceptibility Testing [EUCAST] and Clinical and Laboratory Standards Institute [CLSI]), are interchangeable</w:t>
      </w:r>
      <w:r w:rsidRPr="00097548">
        <w:t>.</w:t>
      </w:r>
    </w:p>
    <w:p w14:paraId="239E3EE2" w14:textId="61D42D5A" w:rsidR="00D85995" w:rsidRDefault="00D764EE" w:rsidP="00485EFD">
      <w:pPr>
        <w:pStyle w:val="Bulletindent1"/>
        <w:numPr>
          <w:ilvl w:val="0"/>
          <w:numId w:val="7"/>
        </w:numPr>
        <w:tabs>
          <w:tab w:val="clear" w:pos="568"/>
          <w:tab w:val="num" w:pos="1418"/>
        </w:tabs>
        <w:ind w:left="1418"/>
      </w:pPr>
      <w:r w:rsidRPr="00097548">
        <w:t>E</w:t>
      </w:r>
      <w:r w:rsidR="00935219" w:rsidRPr="00097548">
        <w:t xml:space="preserve">stablishing whether it is preferable to use clinical breakpoints </w:t>
      </w:r>
      <w:r w:rsidRPr="00097548">
        <w:t>at the same time as</w:t>
      </w:r>
      <w:r w:rsidR="00935219" w:rsidRPr="00097548">
        <w:t xml:space="preserve"> sample collection, or whether it is acceptable to apply newly published breakpoints to historic</w:t>
      </w:r>
      <w:r w:rsidR="00485EFD">
        <w:t>al</w:t>
      </w:r>
      <w:r w:rsidR="00935219" w:rsidRPr="00097548">
        <w:t xml:space="preserve"> data</w:t>
      </w:r>
      <w:r w:rsidR="00D85995">
        <w:t>.</w:t>
      </w:r>
      <w:r w:rsidRPr="00097548">
        <w:t xml:space="preserve"> </w:t>
      </w:r>
    </w:p>
    <w:p w14:paraId="58188167" w14:textId="5BC527F5" w:rsidR="00935219" w:rsidRPr="00097548" w:rsidRDefault="00D85995" w:rsidP="00485EFD">
      <w:pPr>
        <w:pStyle w:val="Bulletindent1"/>
        <w:numPr>
          <w:ilvl w:val="0"/>
          <w:numId w:val="7"/>
        </w:numPr>
        <w:tabs>
          <w:tab w:val="clear" w:pos="568"/>
          <w:tab w:val="num" w:pos="1418"/>
        </w:tabs>
        <w:ind w:left="1418"/>
      </w:pPr>
      <w:r>
        <w:t>D</w:t>
      </w:r>
      <w:r w:rsidR="00935219" w:rsidRPr="00097548">
        <w:t>eveloping a tool to assess the quality of in vitro antimicrobial susceptibility studies</w:t>
      </w:r>
      <w:r w:rsidR="00D764EE" w:rsidRPr="00097548">
        <w:t>.</w:t>
      </w:r>
    </w:p>
    <w:p w14:paraId="3F2923EF" w14:textId="359AD103" w:rsidR="00935219" w:rsidRPr="00097548" w:rsidRDefault="00D764EE" w:rsidP="00485EFD">
      <w:pPr>
        <w:pStyle w:val="Bulletindent1"/>
        <w:numPr>
          <w:ilvl w:val="0"/>
          <w:numId w:val="7"/>
        </w:numPr>
        <w:tabs>
          <w:tab w:val="clear" w:pos="568"/>
          <w:tab w:val="num" w:pos="1418"/>
        </w:tabs>
        <w:ind w:left="1418"/>
      </w:pPr>
      <w:r w:rsidRPr="00097548">
        <w:t>E</w:t>
      </w:r>
      <w:r w:rsidR="00935219" w:rsidRPr="00097548">
        <w:t>stablishing if and how changes to laboratory methods used to assess susceptibility affect synthesising data from different antimicrobial susceptibility studies</w:t>
      </w:r>
      <w:r w:rsidRPr="00097548">
        <w:t>.</w:t>
      </w:r>
    </w:p>
    <w:p w14:paraId="285467A9" w14:textId="0F512A92" w:rsidR="00935219" w:rsidRPr="00097548" w:rsidRDefault="00D764EE" w:rsidP="00485EFD">
      <w:pPr>
        <w:pStyle w:val="Bulletindent1last"/>
        <w:numPr>
          <w:ilvl w:val="0"/>
          <w:numId w:val="9"/>
        </w:numPr>
      </w:pPr>
      <w:r w:rsidRPr="00097548">
        <w:t>D</w:t>
      </w:r>
      <w:r w:rsidR="00935219" w:rsidRPr="00097548">
        <w:t>eveloping reporting guidelines (</w:t>
      </w:r>
      <w:proofErr w:type="gramStart"/>
      <w:r w:rsidR="00935219" w:rsidRPr="00097548">
        <w:t>similar to</w:t>
      </w:r>
      <w:proofErr w:type="gramEnd"/>
      <w:r w:rsidR="00935219" w:rsidRPr="00097548">
        <w:t xml:space="preserve"> those provided by PRISMA and CONSORT) to ensure studies of antimicrobial susceptibility are reported clearly and comprehensively.</w:t>
      </w:r>
    </w:p>
    <w:p w14:paraId="49197E15" w14:textId="77777777" w:rsidR="00935219" w:rsidRPr="00097548" w:rsidRDefault="00935219" w:rsidP="00935219">
      <w:pPr>
        <w:pStyle w:val="Numberedheading1"/>
        <w:numPr>
          <w:ilvl w:val="0"/>
          <w:numId w:val="1"/>
        </w:numPr>
      </w:pPr>
      <w:bookmarkStart w:id="35" w:name="_Hlk99529820"/>
      <w:r w:rsidRPr="00097548">
        <w:t>Recommendations for data collection and antimicrobial surveillance</w:t>
      </w:r>
    </w:p>
    <w:p w14:paraId="7206D49A" w14:textId="74F092B1" w:rsidR="00935219" w:rsidRPr="00097548" w:rsidRDefault="00935219" w:rsidP="00935219">
      <w:pPr>
        <w:pStyle w:val="Numberedlevel2text"/>
        <w:numPr>
          <w:ilvl w:val="1"/>
          <w:numId w:val="1"/>
        </w:numPr>
        <w:rPr>
          <w:lang w:val="en-GB"/>
        </w:rPr>
      </w:pPr>
      <w:r w:rsidRPr="00097548">
        <w:rPr>
          <w:lang w:val="en-GB"/>
        </w:rPr>
        <w:t xml:space="preserve">The contract between the company and NHS England requires the company to participate in the UK Antimicrobial Registry (UKAR), developed by the British Society for Antimicrobial Chemotherapy (BSAC) </w:t>
      </w:r>
      <w:r w:rsidRPr="00097548">
        <w:rPr>
          <w:lang w:val="en-GB"/>
        </w:rPr>
        <w:lastRenderedPageBreak/>
        <w:t xml:space="preserve">in partnership with the University of Aberdeen. This registry will provide information on the relationship between patterns of antimicrobial usage and emergence of resistance in the </w:t>
      </w:r>
      <w:proofErr w:type="gramStart"/>
      <w:r w:rsidRPr="00097548">
        <w:rPr>
          <w:lang w:val="en-GB"/>
        </w:rPr>
        <w:t>UK, and</w:t>
      </w:r>
      <w:proofErr w:type="gramEnd"/>
      <w:r w:rsidRPr="00097548">
        <w:rPr>
          <w:lang w:val="en-GB"/>
        </w:rPr>
        <w:t xml:space="preserve"> will provide quantitative data on clinical and safety outcomes. </w:t>
      </w:r>
      <w:r w:rsidR="00007460" w:rsidRPr="00007460">
        <w:rPr>
          <w:lang w:val="en-GB"/>
        </w:rPr>
        <w:t xml:space="preserve">The UKAR registry and other surveillance and monitoring programmes in England for antimicrobials, for example </w:t>
      </w:r>
      <w:proofErr w:type="spellStart"/>
      <w:r w:rsidR="00007460" w:rsidRPr="00007460">
        <w:rPr>
          <w:lang w:val="en-GB"/>
        </w:rPr>
        <w:t>Blueteq</w:t>
      </w:r>
      <w:proofErr w:type="spellEnd"/>
      <w:r w:rsidR="00007460" w:rsidRPr="00007460">
        <w:rPr>
          <w:lang w:val="en-GB"/>
        </w:rPr>
        <w:t>, should capture the following information</w:t>
      </w:r>
      <w:r w:rsidRPr="00097548">
        <w:rPr>
          <w:lang w:val="en-GB"/>
        </w:rPr>
        <w:t>:</w:t>
      </w:r>
    </w:p>
    <w:p w14:paraId="0B170425" w14:textId="14FB43AC" w:rsidR="00935219" w:rsidRPr="00097548" w:rsidRDefault="00007460" w:rsidP="00485EFD">
      <w:pPr>
        <w:pStyle w:val="Bulletindent1"/>
        <w:numPr>
          <w:ilvl w:val="0"/>
          <w:numId w:val="7"/>
        </w:numPr>
        <w:tabs>
          <w:tab w:val="clear" w:pos="568"/>
          <w:tab w:val="num" w:pos="1418"/>
        </w:tabs>
        <w:ind w:left="1418"/>
      </w:pPr>
      <w:r>
        <w:t xml:space="preserve">Anatomical site </w:t>
      </w:r>
      <w:r w:rsidR="00935219" w:rsidRPr="00097548">
        <w:t>of clinical infection</w:t>
      </w:r>
      <w:r w:rsidR="00012EAB" w:rsidRPr="00097548">
        <w:t>.</w:t>
      </w:r>
    </w:p>
    <w:p w14:paraId="0D06BE03" w14:textId="373B77E3" w:rsidR="00935219" w:rsidRPr="00097548" w:rsidRDefault="00935219" w:rsidP="00485EFD">
      <w:pPr>
        <w:pStyle w:val="Bulletindent1"/>
        <w:numPr>
          <w:ilvl w:val="0"/>
          <w:numId w:val="7"/>
        </w:numPr>
        <w:tabs>
          <w:tab w:val="clear" w:pos="568"/>
          <w:tab w:val="num" w:pos="1418"/>
        </w:tabs>
        <w:ind w:left="1418"/>
      </w:pPr>
      <w:r w:rsidRPr="00097548">
        <w:t>Type of sample</w:t>
      </w:r>
      <w:r w:rsidR="00007460">
        <w:t xml:space="preserve">, </w:t>
      </w:r>
      <w:r w:rsidR="00012EAB" w:rsidRPr="00097548">
        <w:t>for example,</w:t>
      </w:r>
      <w:r w:rsidRPr="00097548">
        <w:t xml:space="preserve"> sputum, tracheal, bronchial wash, pleural aspirate</w:t>
      </w:r>
      <w:r w:rsidR="00012EAB" w:rsidRPr="00097548">
        <w:t>.</w:t>
      </w:r>
    </w:p>
    <w:p w14:paraId="56B41FE7" w14:textId="77777777" w:rsidR="00935219" w:rsidRPr="00097548" w:rsidRDefault="00935219" w:rsidP="00485EFD">
      <w:pPr>
        <w:pStyle w:val="Bulletindent1"/>
        <w:numPr>
          <w:ilvl w:val="0"/>
          <w:numId w:val="7"/>
        </w:numPr>
        <w:tabs>
          <w:tab w:val="clear" w:pos="568"/>
          <w:tab w:val="num" w:pos="1418"/>
        </w:tabs>
        <w:ind w:left="1418"/>
      </w:pPr>
      <w:bookmarkStart w:id="36" w:name="_Hlk96609107"/>
      <w:r w:rsidRPr="00097548">
        <w:t>Pathogen and mechanism of antimicrobial resistance:</w:t>
      </w:r>
    </w:p>
    <w:bookmarkEnd w:id="36"/>
    <w:p w14:paraId="5738BE34" w14:textId="29239B39" w:rsidR="00935219" w:rsidRPr="00097548" w:rsidRDefault="00935219" w:rsidP="00485EFD">
      <w:pPr>
        <w:pStyle w:val="Bulletindent2"/>
        <w:numPr>
          <w:ilvl w:val="1"/>
          <w:numId w:val="4"/>
        </w:numPr>
        <w:ind w:left="1702" w:hanging="284"/>
      </w:pPr>
      <w:r w:rsidRPr="00097548">
        <w:t>When the results of microbiological or gene tests are available: record the confirmed pathogen, confirmed resistance mechanism and the antimicrobial agents the pathogen is susceptible to.</w:t>
      </w:r>
    </w:p>
    <w:p w14:paraId="382DB837" w14:textId="0C9943F2" w:rsidR="00007460" w:rsidRPr="00007460" w:rsidRDefault="00007460" w:rsidP="00485EFD">
      <w:pPr>
        <w:pStyle w:val="Bulletindent2"/>
        <w:numPr>
          <w:ilvl w:val="1"/>
          <w:numId w:val="4"/>
        </w:numPr>
        <w:ind w:left="1702" w:hanging="284"/>
      </w:pPr>
      <w:r w:rsidRPr="00007460">
        <w:t>If the antimicrobial is used empirically when results of microbiological or gene tests are not yet available, record the suspected pathogen and resistance mechanism.</w:t>
      </w:r>
    </w:p>
    <w:p w14:paraId="24A5702B" w14:textId="05F9CA86" w:rsidR="00935219" w:rsidRPr="00097548" w:rsidRDefault="00935219" w:rsidP="00485EFD">
      <w:pPr>
        <w:pStyle w:val="Bulletindent2"/>
        <w:numPr>
          <w:ilvl w:val="1"/>
          <w:numId w:val="4"/>
        </w:numPr>
        <w:ind w:left="1702" w:hanging="284"/>
      </w:pPr>
      <w:r w:rsidRPr="00097548">
        <w:t xml:space="preserve">Data should capture whether the confirmed pathogen and resistance mechanism differed from that suspected in </w:t>
      </w:r>
      <w:r w:rsidR="00012EAB" w:rsidRPr="00097548">
        <w:t>the empirical setting</w:t>
      </w:r>
      <w:r w:rsidRPr="00097548">
        <w:t>.</w:t>
      </w:r>
    </w:p>
    <w:p w14:paraId="79CCDAB7" w14:textId="27C2B29B" w:rsidR="00935219" w:rsidRPr="00097548" w:rsidRDefault="00935219" w:rsidP="00485EFD">
      <w:pPr>
        <w:pStyle w:val="Bulletindent1"/>
        <w:numPr>
          <w:ilvl w:val="0"/>
          <w:numId w:val="7"/>
        </w:numPr>
        <w:tabs>
          <w:tab w:val="clear" w:pos="568"/>
          <w:tab w:val="num" w:pos="1418"/>
        </w:tabs>
        <w:ind w:left="1418"/>
      </w:pPr>
      <w:r w:rsidRPr="00097548">
        <w:t>Clinical outcomes including</w:t>
      </w:r>
      <w:r w:rsidR="00007460">
        <w:t>,</w:t>
      </w:r>
      <w:r w:rsidRPr="00097548">
        <w:t xml:space="preserve"> but not limited to</w:t>
      </w:r>
      <w:r w:rsidR="00007460">
        <w:t>,</w:t>
      </w:r>
      <w:r w:rsidRPr="00097548">
        <w:t xml:space="preserve"> mortality (including all-cause mortality and mortality attributable to the infection), clinical cure (resolution of signs or symptoms of infection </w:t>
      </w:r>
      <w:r w:rsidR="00007460">
        <w:t xml:space="preserve">and </w:t>
      </w:r>
      <w:r w:rsidRPr="00097548">
        <w:t>no further antimicrobial therapy needed) and microbiological eradication.</w:t>
      </w:r>
    </w:p>
    <w:p w14:paraId="7A435860" w14:textId="1B21BC95" w:rsidR="00935219" w:rsidRPr="00097548" w:rsidRDefault="00935219" w:rsidP="00485EFD">
      <w:pPr>
        <w:pStyle w:val="Bulletindent1"/>
        <w:numPr>
          <w:ilvl w:val="0"/>
          <w:numId w:val="7"/>
        </w:numPr>
        <w:tabs>
          <w:tab w:val="clear" w:pos="568"/>
          <w:tab w:val="num" w:pos="1418"/>
        </w:tabs>
        <w:ind w:left="1418"/>
      </w:pPr>
      <w:r w:rsidRPr="00097548">
        <w:t xml:space="preserve">Safety outcomes including acute kidney injury, renal replacement therapy, colonisation with </w:t>
      </w:r>
      <w:r w:rsidR="00485EFD">
        <w:t xml:space="preserve">a </w:t>
      </w:r>
      <w:r w:rsidRPr="00097548">
        <w:t xml:space="preserve">multi-drug-resistant pathogen </w:t>
      </w:r>
      <w:r w:rsidR="00485EFD">
        <w:t>after</w:t>
      </w:r>
      <w:r w:rsidRPr="00097548">
        <w:t xml:space="preserve"> treatment</w:t>
      </w:r>
      <w:r w:rsidR="00012EAB" w:rsidRPr="00097548">
        <w:t>,</w:t>
      </w:r>
      <w:r w:rsidRPr="00097548">
        <w:t xml:space="preserve"> and </w:t>
      </w:r>
      <w:proofErr w:type="spellStart"/>
      <w:r w:rsidR="00AD1A21">
        <w:rPr>
          <w:i/>
          <w:iCs/>
        </w:rPr>
        <w:t>Clostridioides</w:t>
      </w:r>
      <w:proofErr w:type="spellEnd"/>
      <w:r w:rsidR="00AD1A21">
        <w:rPr>
          <w:i/>
          <w:iCs/>
        </w:rPr>
        <w:t xml:space="preserve"> </w:t>
      </w:r>
      <w:r w:rsidRPr="00485EFD">
        <w:rPr>
          <w:i/>
          <w:iCs/>
        </w:rPr>
        <w:t>difficile</w:t>
      </w:r>
      <w:r w:rsidRPr="00097548">
        <w:t xml:space="preserve"> infection.</w:t>
      </w:r>
    </w:p>
    <w:p w14:paraId="04A24C2C" w14:textId="3F942B0E" w:rsidR="00935219" w:rsidRDefault="00935219" w:rsidP="00485EFD">
      <w:pPr>
        <w:pStyle w:val="Bulletindent1last"/>
        <w:numPr>
          <w:ilvl w:val="0"/>
          <w:numId w:val="7"/>
        </w:numPr>
        <w:tabs>
          <w:tab w:val="clear" w:pos="568"/>
          <w:tab w:val="num" w:pos="1418"/>
        </w:tabs>
        <w:ind w:left="1418"/>
      </w:pPr>
      <w:r w:rsidRPr="00097548">
        <w:t>Resource</w:t>
      </w:r>
      <w:r w:rsidR="00097548">
        <w:t>-use</w:t>
      </w:r>
      <w:r w:rsidRPr="00097548">
        <w:t xml:space="preserve"> outcomes including length of hospital stay by ward type and duration of treatment</w:t>
      </w:r>
      <w:r w:rsidR="00007460">
        <w:t xml:space="preserve"> with antimicrobials</w:t>
      </w:r>
      <w:r w:rsidRPr="00097548">
        <w:t>.</w:t>
      </w:r>
      <w:bookmarkEnd w:id="34"/>
    </w:p>
    <w:p w14:paraId="1F2C386B" w14:textId="6063F2B6" w:rsidR="0090123E" w:rsidRPr="0090123E" w:rsidRDefault="00F833A1" w:rsidP="0090123E">
      <w:pPr>
        <w:pStyle w:val="Numberedlevel2text"/>
      </w:pPr>
      <w:bookmarkStart w:id="37" w:name="_Hlk109212451"/>
      <w:r w:rsidRPr="0090123E">
        <w:t xml:space="preserve">NICE recommends that </w:t>
      </w:r>
      <w:r>
        <w:rPr>
          <w:lang w:val="en-GB"/>
        </w:rPr>
        <w:t xml:space="preserve">as the UK </w:t>
      </w:r>
      <w:r w:rsidRPr="0090123E">
        <w:t>further develop</w:t>
      </w:r>
      <w:r>
        <w:rPr>
          <w:lang w:val="en-GB"/>
        </w:rPr>
        <w:t>s its infrastructure for</w:t>
      </w:r>
      <w:r w:rsidRPr="0090123E">
        <w:t xml:space="preserve"> health data, such as hospital electronic health records and the UKHSA</w:t>
      </w:r>
      <w:r>
        <w:rPr>
          <w:lang w:val="en-GB"/>
        </w:rPr>
        <w:t xml:space="preserve">’s </w:t>
      </w:r>
      <w:r w:rsidRPr="0090123E">
        <w:t>surveillance systems for antimicrobial resistance, consideration is given to new data fields relating to clinically significant infections</w:t>
      </w:r>
      <w:r>
        <w:rPr>
          <w:lang w:val="en-GB"/>
        </w:rPr>
        <w:t xml:space="preserve"> including those </w:t>
      </w:r>
      <w:r>
        <w:rPr>
          <w:lang w:val="en-GB"/>
        </w:rPr>
        <w:lastRenderedPageBreak/>
        <w:t>outlined above (see section 6.1). Th</w:t>
      </w:r>
      <w:r w:rsidR="00485EFD">
        <w:rPr>
          <w:lang w:val="en-GB"/>
        </w:rPr>
        <w:t>is</w:t>
      </w:r>
      <w:r>
        <w:rPr>
          <w:lang w:val="en-GB"/>
        </w:rPr>
        <w:t xml:space="preserve"> data would help address uncertainties in the future when </w:t>
      </w:r>
      <w:r w:rsidRPr="007916DF">
        <w:rPr>
          <w:lang w:val="en-GB"/>
        </w:rPr>
        <w:t>estimat</w:t>
      </w:r>
      <w:r>
        <w:rPr>
          <w:lang w:val="en-GB"/>
        </w:rPr>
        <w:t>ing</w:t>
      </w:r>
      <w:r w:rsidRPr="007916DF">
        <w:rPr>
          <w:lang w:val="en-GB"/>
        </w:rPr>
        <w:t xml:space="preserve"> the</w:t>
      </w:r>
      <w:r>
        <w:rPr>
          <w:lang w:val="en-GB"/>
        </w:rPr>
        <w:t xml:space="preserve"> health benefits </w:t>
      </w:r>
      <w:r w:rsidR="00485EFD">
        <w:rPr>
          <w:lang w:val="en-GB"/>
        </w:rPr>
        <w:t>of</w:t>
      </w:r>
      <w:r w:rsidRPr="007916DF">
        <w:rPr>
          <w:lang w:val="en-GB"/>
        </w:rPr>
        <w:t xml:space="preserve"> new antimicrobial therapies in the UK</w:t>
      </w:r>
      <w:r>
        <w:rPr>
          <w:lang w:val="en-GB"/>
        </w:rPr>
        <w:t>.</w:t>
      </w:r>
    </w:p>
    <w:bookmarkEnd w:id="35"/>
    <w:bookmarkEnd w:id="37"/>
    <w:p w14:paraId="7A26A133" w14:textId="2EFDC2E5" w:rsidR="004845D0" w:rsidRDefault="00263603" w:rsidP="00ED5F88">
      <w:pPr>
        <w:pStyle w:val="NICEnormal"/>
      </w:pPr>
      <w:r w:rsidRPr="00097548">
        <w:t>Amanda Adler</w:t>
      </w:r>
      <w:r w:rsidR="004845D0" w:rsidRPr="00097548">
        <w:br/>
        <w:t xml:space="preserve">Chair, </w:t>
      </w:r>
      <w:r w:rsidRPr="00097548">
        <w:t>antimicrobial</w:t>
      </w:r>
      <w:r w:rsidR="0061340D" w:rsidRPr="00097548">
        <w:t>s</w:t>
      </w:r>
      <w:r w:rsidRPr="00097548">
        <w:t xml:space="preserve"> evaluation</w:t>
      </w:r>
      <w:r w:rsidR="004845D0" w:rsidRPr="00097548">
        <w:t xml:space="preserve"> </w:t>
      </w:r>
      <w:r w:rsidR="003847B9" w:rsidRPr="00097548">
        <w:t>c</w:t>
      </w:r>
      <w:r w:rsidR="004845D0" w:rsidRPr="00097548">
        <w:t>ommittee</w:t>
      </w:r>
      <w:r w:rsidR="004845D0" w:rsidRPr="00097548">
        <w:br/>
      </w:r>
      <w:r w:rsidR="00485EFD">
        <w:t>August</w:t>
      </w:r>
      <w:r w:rsidR="00D85995" w:rsidRPr="00097548">
        <w:t xml:space="preserve"> </w:t>
      </w:r>
      <w:r w:rsidRPr="00097548">
        <w:t>2022</w:t>
      </w:r>
    </w:p>
    <w:p w14:paraId="37032A92" w14:textId="68B8CDBD" w:rsidR="00B16431" w:rsidRPr="00097548" w:rsidRDefault="00263603" w:rsidP="00B16431">
      <w:pPr>
        <w:pStyle w:val="Numberedheading1"/>
        <w:numPr>
          <w:ilvl w:val="0"/>
          <w:numId w:val="1"/>
        </w:numPr>
      </w:pPr>
      <w:r w:rsidRPr="00097548">
        <w:t>Antimicrobials evaluation</w:t>
      </w:r>
      <w:r w:rsidR="00B16431" w:rsidRPr="00097548">
        <w:t xml:space="preserve"> </w:t>
      </w:r>
      <w:r w:rsidR="00343B53" w:rsidRPr="00097548">
        <w:t>c</w:t>
      </w:r>
      <w:r w:rsidR="00B16431" w:rsidRPr="00097548">
        <w:t>ommittee members and NICE project team</w:t>
      </w:r>
    </w:p>
    <w:p w14:paraId="0F85056C" w14:textId="2231B9FC" w:rsidR="00B16431" w:rsidRPr="00097548" w:rsidRDefault="00263603" w:rsidP="00B16431">
      <w:pPr>
        <w:pStyle w:val="Heading2"/>
      </w:pPr>
      <w:bookmarkStart w:id="38" w:name="_Appraisal_committee_members"/>
      <w:bookmarkEnd w:id="38"/>
      <w:r w:rsidRPr="00097548">
        <w:t xml:space="preserve">Antimicrobials evaluation </w:t>
      </w:r>
      <w:r w:rsidR="00343B53" w:rsidRPr="00097548">
        <w:t>c</w:t>
      </w:r>
      <w:r w:rsidR="00B16431" w:rsidRPr="00097548">
        <w:t>ommittee members</w:t>
      </w:r>
    </w:p>
    <w:p w14:paraId="7D2DC6AA" w14:textId="2DA61C5B" w:rsidR="002F2583" w:rsidRPr="00097548" w:rsidRDefault="00263603" w:rsidP="002F2583">
      <w:pPr>
        <w:pStyle w:val="NICEnormal"/>
        <w:rPr>
          <w:rFonts w:eastAsia="Calibri"/>
        </w:rPr>
      </w:pPr>
      <w:r w:rsidRPr="00097548">
        <w:t xml:space="preserve">The </w:t>
      </w:r>
      <w:hyperlink r:id="rId18" w:history="1">
        <w:r w:rsidRPr="00097548">
          <w:rPr>
            <w:rStyle w:val="Hyperlink"/>
          </w:rPr>
          <w:t>antimicrobials evaluation committee</w:t>
        </w:r>
      </w:hyperlink>
      <w:r w:rsidRPr="00097548">
        <w:t xml:space="preserve"> </w:t>
      </w:r>
      <w:r w:rsidR="00303AD4" w:rsidRPr="00097548">
        <w:t>was</w:t>
      </w:r>
      <w:r w:rsidRPr="00097548">
        <w:t xml:space="preserve"> convened to test a new </w:t>
      </w:r>
      <w:r w:rsidR="006B6702">
        <w:t xml:space="preserve">process for </w:t>
      </w:r>
      <w:r w:rsidRPr="00097548">
        <w:t>health technology evaluation on 2 antimicrobial drugs. The committee has 18</w:t>
      </w:r>
      <w:r w:rsidR="00765199" w:rsidRPr="00097548">
        <w:t> </w:t>
      </w:r>
      <w:r w:rsidRPr="00097548">
        <w:t xml:space="preserve">members, including 12 members from other NICE committees and 6 </w:t>
      </w:r>
      <w:r w:rsidR="00423876" w:rsidRPr="00097548">
        <w:t>members</w:t>
      </w:r>
      <w:r w:rsidRPr="00097548">
        <w:t xml:space="preserve"> with specialist expertise</w:t>
      </w:r>
      <w:r w:rsidR="009971E2" w:rsidRPr="00097548">
        <w:t xml:space="preserve"> in infectious disease</w:t>
      </w:r>
      <w:r w:rsidRPr="00097548">
        <w:t>.</w:t>
      </w:r>
    </w:p>
    <w:p w14:paraId="602B5E11" w14:textId="7FAF6EFC" w:rsidR="002F2583" w:rsidRPr="00097548" w:rsidRDefault="002F2583" w:rsidP="002F2583">
      <w:pPr>
        <w:pStyle w:val="NICEnormal"/>
      </w:pPr>
      <w:r w:rsidRPr="00097548">
        <w:t xml:space="preserve">Committee members are asked to declare any interests in the technology to be </w:t>
      </w:r>
      <w:r w:rsidR="00765199" w:rsidRPr="00097548">
        <w:t>evaluated</w:t>
      </w:r>
      <w:r w:rsidRPr="00097548">
        <w:t xml:space="preserve">. </w:t>
      </w:r>
      <w:r w:rsidR="006B6702">
        <w:t>NICE manages these conflicts of interest</w:t>
      </w:r>
      <w:r w:rsidRPr="00097548">
        <w:t>.</w:t>
      </w:r>
    </w:p>
    <w:p w14:paraId="1CB1B5BD" w14:textId="77777777" w:rsidR="00303AD4" w:rsidRPr="00097548" w:rsidRDefault="00303AD4" w:rsidP="00303AD4">
      <w:pPr>
        <w:pStyle w:val="NICEnormal"/>
      </w:pPr>
      <w:r w:rsidRPr="00097548">
        <w:t xml:space="preserve">The </w:t>
      </w:r>
      <w:hyperlink r:id="rId19" w:history="1">
        <w:r w:rsidRPr="00097548">
          <w:rPr>
            <w:rStyle w:val="Hyperlink"/>
          </w:rPr>
          <w:t>minutes of the committee meeting</w:t>
        </w:r>
      </w:hyperlink>
      <w:r w:rsidRPr="00097548">
        <w:t>, which include the names of the members who attended and their declarations of interests, are posted on the NICE website.</w:t>
      </w:r>
    </w:p>
    <w:p w14:paraId="65E81153" w14:textId="77777777" w:rsidR="00B16431" w:rsidRPr="00097548" w:rsidRDefault="00B16431" w:rsidP="00B16431">
      <w:pPr>
        <w:pStyle w:val="Heading2"/>
      </w:pPr>
      <w:r w:rsidRPr="00097548">
        <w:t>NICE project team</w:t>
      </w:r>
    </w:p>
    <w:p w14:paraId="22500B6E" w14:textId="6504AD1D" w:rsidR="00303AD4" w:rsidRPr="00097548" w:rsidRDefault="006B6702" w:rsidP="00303AD4">
      <w:pPr>
        <w:pStyle w:val="NICEnormal"/>
      </w:pPr>
      <w:r>
        <w:t>NICE assigned t</w:t>
      </w:r>
      <w:r w:rsidR="00303AD4" w:rsidRPr="00097548">
        <w:t xml:space="preserve">he antimicrobial evaluation to a team consisting of a technical lead, a technical adviser, several senior </w:t>
      </w:r>
      <w:proofErr w:type="gramStart"/>
      <w:r w:rsidR="00303AD4" w:rsidRPr="00097548">
        <w:t>advisers</w:t>
      </w:r>
      <w:proofErr w:type="gramEnd"/>
      <w:r w:rsidR="00303AD4" w:rsidRPr="00097548">
        <w:t xml:space="preserve"> and a project manager.</w:t>
      </w:r>
    </w:p>
    <w:p w14:paraId="3CBB2BC5" w14:textId="7860E6D1" w:rsidR="00B16431" w:rsidRPr="00097548" w:rsidRDefault="00155378" w:rsidP="00B16431">
      <w:pPr>
        <w:pStyle w:val="NICEnormal"/>
      </w:pPr>
      <w:bookmarkStart w:id="39" w:name="Text45"/>
      <w:r w:rsidRPr="00097548">
        <w:rPr>
          <w:b/>
        </w:rPr>
        <w:t>James Love-Koh</w:t>
      </w:r>
      <w:r w:rsidR="00B16431" w:rsidRPr="00097548">
        <w:br/>
        <w:t xml:space="preserve">Technical </w:t>
      </w:r>
      <w:r w:rsidR="00E65C76" w:rsidRPr="00097548">
        <w:t>l</w:t>
      </w:r>
      <w:r w:rsidR="00B16431" w:rsidRPr="00097548">
        <w:t>ead</w:t>
      </w:r>
    </w:p>
    <w:p w14:paraId="738B073F" w14:textId="100DC58D" w:rsidR="00B16431" w:rsidRPr="00097548" w:rsidRDefault="00423876" w:rsidP="00B16431">
      <w:pPr>
        <w:pStyle w:val="NICEnormal"/>
      </w:pPr>
      <w:r w:rsidRPr="00097548">
        <w:rPr>
          <w:b/>
        </w:rPr>
        <w:t>Sophie Cooper</w:t>
      </w:r>
      <w:r w:rsidR="00B16431" w:rsidRPr="00097548">
        <w:br/>
        <w:t xml:space="preserve">Technical </w:t>
      </w:r>
      <w:r w:rsidR="00E65C76" w:rsidRPr="00097548">
        <w:t>a</w:t>
      </w:r>
      <w:r w:rsidR="00B16431" w:rsidRPr="00097548">
        <w:t>dviser</w:t>
      </w:r>
    </w:p>
    <w:p w14:paraId="427769F4" w14:textId="1444F645" w:rsidR="00423876" w:rsidRPr="00097548" w:rsidRDefault="00423876" w:rsidP="00B16431">
      <w:pPr>
        <w:pStyle w:val="NICEnormal"/>
      </w:pPr>
      <w:r w:rsidRPr="00097548">
        <w:rPr>
          <w:b/>
        </w:rPr>
        <w:t xml:space="preserve">Jacoline </w:t>
      </w:r>
      <w:proofErr w:type="spellStart"/>
      <w:r w:rsidRPr="00097548">
        <w:rPr>
          <w:b/>
        </w:rPr>
        <w:t>Bouvy</w:t>
      </w:r>
      <w:proofErr w:type="spellEnd"/>
      <w:r w:rsidRPr="00097548">
        <w:rPr>
          <w:b/>
        </w:rPr>
        <w:t>, Nick Crabb, Colm Leonard</w:t>
      </w:r>
      <w:r w:rsidR="00765199" w:rsidRPr="00097548">
        <w:br/>
      </w:r>
      <w:r w:rsidRPr="00097548">
        <w:t>Senior advisers</w:t>
      </w:r>
    </w:p>
    <w:p w14:paraId="37A1DE32" w14:textId="44FD20AF" w:rsidR="00B16431" w:rsidRPr="00097548" w:rsidRDefault="00423876" w:rsidP="005D3FD9">
      <w:pPr>
        <w:pStyle w:val="NICEnormal"/>
      </w:pPr>
      <w:r w:rsidRPr="00097548">
        <w:rPr>
          <w:b/>
        </w:rPr>
        <w:lastRenderedPageBreak/>
        <w:t>Charlotte Downing</w:t>
      </w:r>
      <w:r w:rsidR="00B16431" w:rsidRPr="00097548">
        <w:br/>
        <w:t xml:space="preserve">Project </w:t>
      </w:r>
      <w:r w:rsidR="00E65C76" w:rsidRPr="00097548">
        <w:t>m</w:t>
      </w:r>
      <w:r w:rsidR="00B16431" w:rsidRPr="00097548">
        <w:t>anager</w:t>
      </w:r>
      <w:bookmarkEnd w:id="39"/>
    </w:p>
    <w:p w14:paraId="57D5E3A1" w14:textId="0F888AE7" w:rsidR="006E7647" w:rsidRPr="00097548" w:rsidRDefault="006E7647" w:rsidP="00F05E37">
      <w:pPr>
        <w:pStyle w:val="NICEnormal"/>
      </w:pPr>
    </w:p>
    <w:sectPr w:rsidR="006E7647" w:rsidRPr="00097548" w:rsidSect="00C76DDA">
      <w:footerReference w:type="default" r:id="rId2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A9450" w14:textId="77777777" w:rsidR="00267232" w:rsidRDefault="00267232">
      <w:r>
        <w:separator/>
      </w:r>
    </w:p>
  </w:endnote>
  <w:endnote w:type="continuationSeparator" w:id="0">
    <w:p w14:paraId="7D68352C" w14:textId="77777777" w:rsidR="00267232" w:rsidRDefault="0026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FB85" w14:textId="7C4375B8" w:rsidR="00832381" w:rsidRPr="001C1ED2" w:rsidRDefault="00E44F4F" w:rsidP="007A7EC8">
    <w:pPr>
      <w:pStyle w:val="NICEnormalsinglespacing"/>
      <w:spacing w:after="120"/>
      <w:rPr>
        <w:sz w:val="18"/>
        <w:szCs w:val="18"/>
      </w:rPr>
    </w:pPr>
    <w:r>
      <w:rPr>
        <w:sz w:val="18"/>
        <w:szCs w:val="18"/>
      </w:rPr>
      <w:t xml:space="preserve">Final </w:t>
    </w:r>
    <w:r w:rsidR="000609FA">
      <w:rPr>
        <w:sz w:val="18"/>
        <w:szCs w:val="18"/>
      </w:rPr>
      <w:t xml:space="preserve">guidance </w:t>
    </w:r>
    <w:r w:rsidR="00832381" w:rsidRPr="003D33FB">
      <w:rPr>
        <w:sz w:val="18"/>
        <w:szCs w:val="18"/>
      </w:rPr>
      <w:t xml:space="preserve">– </w:t>
    </w:r>
    <w:proofErr w:type="spellStart"/>
    <w:r w:rsidR="00104FB2" w:rsidRPr="00104FB2">
      <w:rPr>
        <w:sz w:val="18"/>
        <w:szCs w:val="18"/>
      </w:rPr>
      <w:t>Cefiderocol</w:t>
    </w:r>
    <w:proofErr w:type="spellEnd"/>
    <w:r w:rsidR="00104FB2" w:rsidRPr="00104FB2">
      <w:rPr>
        <w:sz w:val="18"/>
        <w:szCs w:val="18"/>
      </w:rPr>
      <w:t xml:space="preserve"> for treating severe drug-resistant gram-negative bacterial infections</w:t>
    </w:r>
    <w:r w:rsidR="001C1ED2">
      <w:rPr>
        <w:sz w:val="18"/>
        <w:szCs w:val="18"/>
      </w:rPr>
      <w:tab/>
    </w:r>
    <w:r w:rsidR="00832381" w:rsidRPr="001C1ED2">
      <w:rPr>
        <w:rStyle w:val="PageNumber"/>
        <w:sz w:val="18"/>
        <w:szCs w:val="18"/>
      </w:rPr>
      <w:t xml:space="preserve">Page </w:t>
    </w:r>
    <w:r w:rsidR="00832381" w:rsidRPr="001C1ED2">
      <w:rPr>
        <w:rStyle w:val="PageNumber"/>
        <w:sz w:val="18"/>
        <w:szCs w:val="18"/>
      </w:rPr>
      <w:fldChar w:fldCharType="begin"/>
    </w:r>
    <w:r w:rsidR="00832381" w:rsidRPr="001C1ED2">
      <w:rPr>
        <w:rStyle w:val="PageNumber"/>
        <w:sz w:val="18"/>
        <w:szCs w:val="18"/>
      </w:rPr>
      <w:instrText xml:space="preserve"> PAGE </w:instrText>
    </w:r>
    <w:r w:rsidR="00832381" w:rsidRPr="001C1ED2">
      <w:rPr>
        <w:rStyle w:val="PageNumber"/>
        <w:sz w:val="18"/>
        <w:szCs w:val="18"/>
      </w:rPr>
      <w:fldChar w:fldCharType="separate"/>
    </w:r>
    <w:r w:rsidR="00832381" w:rsidRPr="001C1ED2">
      <w:rPr>
        <w:rStyle w:val="PageNumber"/>
        <w:noProof/>
        <w:sz w:val="18"/>
        <w:szCs w:val="18"/>
      </w:rPr>
      <w:t>20</w:t>
    </w:r>
    <w:r w:rsidR="00832381" w:rsidRPr="001C1ED2">
      <w:rPr>
        <w:rStyle w:val="PageNumber"/>
        <w:sz w:val="18"/>
        <w:szCs w:val="18"/>
      </w:rPr>
      <w:fldChar w:fldCharType="end"/>
    </w:r>
    <w:r w:rsidR="00832381" w:rsidRPr="001C1ED2">
      <w:rPr>
        <w:rStyle w:val="PageNumber"/>
        <w:sz w:val="18"/>
        <w:szCs w:val="18"/>
      </w:rPr>
      <w:t xml:space="preserve"> of </w:t>
    </w:r>
    <w:r w:rsidR="00832381" w:rsidRPr="001C1ED2">
      <w:rPr>
        <w:rStyle w:val="PageNumber"/>
        <w:sz w:val="18"/>
        <w:szCs w:val="18"/>
      </w:rPr>
      <w:fldChar w:fldCharType="begin"/>
    </w:r>
    <w:r w:rsidR="00832381" w:rsidRPr="001C1ED2">
      <w:rPr>
        <w:rStyle w:val="PageNumber"/>
        <w:sz w:val="18"/>
        <w:szCs w:val="18"/>
      </w:rPr>
      <w:instrText xml:space="preserve"> NUMPAGES </w:instrText>
    </w:r>
    <w:r w:rsidR="00832381" w:rsidRPr="001C1ED2">
      <w:rPr>
        <w:rStyle w:val="PageNumber"/>
        <w:sz w:val="18"/>
        <w:szCs w:val="18"/>
      </w:rPr>
      <w:fldChar w:fldCharType="separate"/>
    </w:r>
    <w:r w:rsidR="00832381" w:rsidRPr="001C1ED2">
      <w:rPr>
        <w:rStyle w:val="PageNumber"/>
        <w:noProof/>
        <w:sz w:val="18"/>
        <w:szCs w:val="18"/>
      </w:rPr>
      <w:t>20</w:t>
    </w:r>
    <w:r w:rsidR="00832381" w:rsidRPr="001C1ED2">
      <w:rPr>
        <w:rStyle w:val="PageNumber"/>
        <w:sz w:val="18"/>
        <w:szCs w:val="18"/>
      </w:rPr>
      <w:fldChar w:fldCharType="end"/>
    </w:r>
  </w:p>
  <w:p w14:paraId="73DCE5C5" w14:textId="5DE99CA7" w:rsidR="00832381" w:rsidRDefault="00832381" w:rsidP="007A7EC8">
    <w:pPr>
      <w:pStyle w:val="NICEnormalsinglespacing"/>
      <w:spacing w:after="120"/>
      <w:rPr>
        <w:sz w:val="18"/>
        <w:szCs w:val="18"/>
      </w:rPr>
    </w:pPr>
    <w:r w:rsidRPr="003D33FB">
      <w:rPr>
        <w:sz w:val="18"/>
        <w:szCs w:val="18"/>
      </w:rPr>
      <w:t xml:space="preserve">Issue date: </w:t>
    </w:r>
    <w:r w:rsidR="00A741D5">
      <w:rPr>
        <w:sz w:val="18"/>
        <w:szCs w:val="18"/>
      </w:rPr>
      <w:t>August</w:t>
    </w:r>
    <w:r w:rsidR="00E44F4F">
      <w:rPr>
        <w:sz w:val="18"/>
        <w:szCs w:val="18"/>
      </w:rPr>
      <w:t xml:space="preserve"> </w:t>
    </w:r>
    <w:r w:rsidR="0061340D">
      <w:rPr>
        <w:sz w:val="18"/>
        <w:szCs w:val="18"/>
      </w:rPr>
      <w:t>2022</w:t>
    </w:r>
  </w:p>
  <w:p w14:paraId="7C67A934" w14:textId="37030954" w:rsidR="00832381" w:rsidRPr="007A7EC8" w:rsidRDefault="00832381" w:rsidP="007A7EC8">
    <w:pPr>
      <w:pStyle w:val="NICEnormalsinglespacing"/>
      <w:spacing w:after="120"/>
    </w:pPr>
    <w:r>
      <w:rPr>
        <w:sz w:val="18"/>
        <w:szCs w:val="18"/>
      </w:rPr>
      <w:t xml:space="preserve">© NICE </w:t>
    </w:r>
    <w:r w:rsidR="0061340D">
      <w:rPr>
        <w:sz w:val="18"/>
        <w:szCs w:val="18"/>
      </w:rPr>
      <w:t>2022</w:t>
    </w:r>
    <w:r>
      <w:rPr>
        <w:sz w:val="18"/>
        <w:szCs w:val="18"/>
      </w:rPr>
      <w:t xml:space="preserve">.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CED70" w14:textId="77777777" w:rsidR="00267232" w:rsidRDefault="00267232">
      <w:r>
        <w:separator/>
      </w:r>
    </w:p>
  </w:footnote>
  <w:footnote w:type="continuationSeparator" w:id="0">
    <w:p w14:paraId="40D18168" w14:textId="77777777" w:rsidR="00267232" w:rsidRDefault="00267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81701BD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82365A3"/>
    <w:multiLevelType w:val="hybridMultilevel"/>
    <w:tmpl w:val="D74C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568"/>
        </w:tabs>
        <w:ind w:left="568" w:hanging="284"/>
      </w:pPr>
      <w:rPr>
        <w:rFonts w:ascii="Symbol" w:hAnsi="Symbol" w:hint="default"/>
        <w:color w:val="auto"/>
      </w:rPr>
    </w:lvl>
    <w:lvl w:ilvl="1">
      <w:start w:val="1"/>
      <w:numFmt w:val="bullet"/>
      <w:lvlText w:val=""/>
      <w:lvlJc w:val="left"/>
      <w:pPr>
        <w:tabs>
          <w:tab w:val="num" w:pos="851"/>
        </w:tabs>
        <w:ind w:left="851" w:hanging="283"/>
      </w:pPr>
      <w:rPr>
        <w:rFonts w:ascii="Symbol" w:hAnsi="Symbol" w:hint="default"/>
      </w:rPr>
    </w:lvl>
    <w:lvl w:ilvl="2">
      <w:start w:val="1"/>
      <w:numFmt w:val="bullet"/>
      <w:lvlText w:val=""/>
      <w:lvlJc w:val="left"/>
      <w:pPr>
        <w:tabs>
          <w:tab w:val="num" w:pos="1135"/>
        </w:tabs>
        <w:ind w:left="1135" w:hanging="284"/>
      </w:pPr>
      <w:rPr>
        <w:rFonts w:ascii="Symbol" w:hAnsi="Symbol" w:hint="default"/>
        <w:color w:val="auto"/>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4" w15:restartNumberingAfterBreak="0">
    <w:nsid w:val="190C1E82"/>
    <w:multiLevelType w:val="hybridMultilevel"/>
    <w:tmpl w:val="7F147F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lvlText w:val=""/>
      <w:lvlJc w:val="left"/>
      <w:pPr>
        <w:tabs>
          <w:tab w:val="num" w:pos="1418"/>
        </w:tabs>
        <w:ind w:left="1418" w:hanging="284"/>
      </w:pPr>
      <w:rPr>
        <w:rFonts w:ascii="Symbol" w:hAnsi="Symbol"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102234"/>
    <w:multiLevelType w:val="hybridMultilevel"/>
    <w:tmpl w:val="A5FC655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9CC3584"/>
    <w:multiLevelType w:val="multilevel"/>
    <w:tmpl w:val="B96E374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iCs/>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84A3B7F"/>
    <w:multiLevelType w:val="hybridMultilevel"/>
    <w:tmpl w:val="66B6DA74"/>
    <w:lvl w:ilvl="0" w:tplc="966AC5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53D07B6"/>
    <w:multiLevelType w:val="hybridMultilevel"/>
    <w:tmpl w:val="E6503C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57A6C69"/>
    <w:multiLevelType w:val="hybridMultilevel"/>
    <w:tmpl w:val="A0D8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D5B0DB8"/>
    <w:multiLevelType w:val="hybridMultilevel"/>
    <w:tmpl w:val="1A684F2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703C02EA"/>
    <w:multiLevelType w:val="hybridMultilevel"/>
    <w:tmpl w:val="602CFAAA"/>
    <w:lvl w:ilvl="0" w:tplc="5212EA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2C5178"/>
    <w:multiLevelType w:val="hybridMultilevel"/>
    <w:tmpl w:val="F190A5EA"/>
    <w:lvl w:ilvl="0" w:tplc="08090001">
      <w:start w:val="1"/>
      <w:numFmt w:val="bullet"/>
      <w:lvlText w:val=""/>
      <w:lvlJc w:val="left"/>
      <w:pPr>
        <w:ind w:left="1915" w:hanging="360"/>
      </w:pPr>
      <w:rPr>
        <w:rFonts w:ascii="Symbol" w:hAnsi="Symbol" w:hint="default"/>
      </w:rPr>
    </w:lvl>
    <w:lvl w:ilvl="1" w:tplc="08090003" w:tentative="1">
      <w:start w:val="1"/>
      <w:numFmt w:val="bullet"/>
      <w:lvlText w:val="o"/>
      <w:lvlJc w:val="left"/>
      <w:pPr>
        <w:ind w:left="2635" w:hanging="360"/>
      </w:pPr>
      <w:rPr>
        <w:rFonts w:ascii="Courier New" w:hAnsi="Courier New" w:cs="Courier New" w:hint="default"/>
      </w:rPr>
    </w:lvl>
    <w:lvl w:ilvl="2" w:tplc="08090005" w:tentative="1">
      <w:start w:val="1"/>
      <w:numFmt w:val="bullet"/>
      <w:lvlText w:val=""/>
      <w:lvlJc w:val="left"/>
      <w:pPr>
        <w:ind w:left="3355" w:hanging="360"/>
      </w:pPr>
      <w:rPr>
        <w:rFonts w:ascii="Wingdings" w:hAnsi="Wingdings" w:hint="default"/>
      </w:rPr>
    </w:lvl>
    <w:lvl w:ilvl="3" w:tplc="08090001" w:tentative="1">
      <w:start w:val="1"/>
      <w:numFmt w:val="bullet"/>
      <w:lvlText w:val=""/>
      <w:lvlJc w:val="left"/>
      <w:pPr>
        <w:ind w:left="4075" w:hanging="360"/>
      </w:pPr>
      <w:rPr>
        <w:rFonts w:ascii="Symbol" w:hAnsi="Symbol" w:hint="default"/>
      </w:rPr>
    </w:lvl>
    <w:lvl w:ilvl="4" w:tplc="08090003" w:tentative="1">
      <w:start w:val="1"/>
      <w:numFmt w:val="bullet"/>
      <w:lvlText w:val="o"/>
      <w:lvlJc w:val="left"/>
      <w:pPr>
        <w:ind w:left="4795" w:hanging="360"/>
      </w:pPr>
      <w:rPr>
        <w:rFonts w:ascii="Courier New" w:hAnsi="Courier New" w:cs="Courier New" w:hint="default"/>
      </w:rPr>
    </w:lvl>
    <w:lvl w:ilvl="5" w:tplc="08090005" w:tentative="1">
      <w:start w:val="1"/>
      <w:numFmt w:val="bullet"/>
      <w:lvlText w:val=""/>
      <w:lvlJc w:val="left"/>
      <w:pPr>
        <w:ind w:left="5515" w:hanging="360"/>
      </w:pPr>
      <w:rPr>
        <w:rFonts w:ascii="Wingdings" w:hAnsi="Wingdings" w:hint="default"/>
      </w:rPr>
    </w:lvl>
    <w:lvl w:ilvl="6" w:tplc="08090001" w:tentative="1">
      <w:start w:val="1"/>
      <w:numFmt w:val="bullet"/>
      <w:lvlText w:val=""/>
      <w:lvlJc w:val="left"/>
      <w:pPr>
        <w:ind w:left="6235" w:hanging="360"/>
      </w:pPr>
      <w:rPr>
        <w:rFonts w:ascii="Symbol" w:hAnsi="Symbol" w:hint="default"/>
      </w:rPr>
    </w:lvl>
    <w:lvl w:ilvl="7" w:tplc="08090003" w:tentative="1">
      <w:start w:val="1"/>
      <w:numFmt w:val="bullet"/>
      <w:lvlText w:val="o"/>
      <w:lvlJc w:val="left"/>
      <w:pPr>
        <w:ind w:left="6955" w:hanging="360"/>
      </w:pPr>
      <w:rPr>
        <w:rFonts w:ascii="Courier New" w:hAnsi="Courier New" w:cs="Courier New" w:hint="default"/>
      </w:rPr>
    </w:lvl>
    <w:lvl w:ilvl="8" w:tplc="08090005" w:tentative="1">
      <w:start w:val="1"/>
      <w:numFmt w:val="bullet"/>
      <w:lvlText w:val=""/>
      <w:lvlJc w:val="left"/>
      <w:pPr>
        <w:ind w:left="7675" w:hanging="360"/>
      </w:pPr>
      <w:rPr>
        <w:rFonts w:ascii="Wingdings" w:hAnsi="Wingdings" w:hint="default"/>
      </w:r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2501036">
    <w:abstractNumId w:val="8"/>
  </w:num>
  <w:num w:numId="2" w16cid:durableId="1736076928">
    <w:abstractNumId w:val="2"/>
  </w:num>
  <w:num w:numId="3" w16cid:durableId="1772821246">
    <w:abstractNumId w:val="18"/>
  </w:num>
  <w:num w:numId="4" w16cid:durableId="443380502">
    <w:abstractNumId w:val="10"/>
  </w:num>
  <w:num w:numId="5" w16cid:durableId="1957640846">
    <w:abstractNumId w:val="12"/>
  </w:num>
  <w:num w:numId="6" w16cid:durableId="190656353">
    <w:abstractNumId w:val="0"/>
  </w:num>
  <w:num w:numId="7" w16cid:durableId="230501091">
    <w:abstractNumId w:val="3"/>
  </w:num>
  <w:num w:numId="8" w16cid:durableId="219487052">
    <w:abstractNumId w:val="5"/>
  </w:num>
  <w:num w:numId="9" w16cid:durableId="90012713">
    <w:abstractNumId w:val="6"/>
  </w:num>
  <w:num w:numId="10" w16cid:durableId="2136949183">
    <w:abstractNumId w:val="17"/>
  </w:num>
  <w:num w:numId="11" w16cid:durableId="953637365">
    <w:abstractNumId w:val="8"/>
  </w:num>
  <w:num w:numId="12" w16cid:durableId="1338339677">
    <w:abstractNumId w:val="16"/>
  </w:num>
  <w:num w:numId="13" w16cid:durableId="1527015992">
    <w:abstractNumId w:val="13"/>
  </w:num>
  <w:num w:numId="14" w16cid:durableId="1039668936">
    <w:abstractNumId w:val="9"/>
  </w:num>
  <w:num w:numId="15" w16cid:durableId="2140411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585632">
    <w:abstractNumId w:val="20"/>
  </w:num>
  <w:num w:numId="17" w16cid:durableId="1769539305">
    <w:abstractNumId w:val="7"/>
  </w:num>
  <w:num w:numId="18" w16cid:durableId="1555966427">
    <w:abstractNumId w:val="21"/>
  </w:num>
  <w:num w:numId="19" w16cid:durableId="1356617188">
    <w:abstractNumId w:val="0"/>
  </w:num>
  <w:num w:numId="20" w16cid:durableId="1610308494">
    <w:abstractNumId w:val="4"/>
  </w:num>
  <w:num w:numId="21" w16cid:durableId="1303803721">
    <w:abstractNumId w:val="19"/>
  </w:num>
  <w:num w:numId="22" w16cid:durableId="1021975027">
    <w:abstractNumId w:val="11"/>
  </w:num>
  <w:num w:numId="23" w16cid:durableId="231698961">
    <w:abstractNumId w:val="15"/>
  </w:num>
  <w:num w:numId="24" w16cid:durableId="126191329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A0"/>
    <w:rsid w:val="00000441"/>
    <w:rsid w:val="00000D96"/>
    <w:rsid w:val="0000223D"/>
    <w:rsid w:val="000031E1"/>
    <w:rsid w:val="0000363B"/>
    <w:rsid w:val="000039F4"/>
    <w:rsid w:val="00005568"/>
    <w:rsid w:val="0000565A"/>
    <w:rsid w:val="00006590"/>
    <w:rsid w:val="000066CC"/>
    <w:rsid w:val="000069A4"/>
    <w:rsid w:val="000069F9"/>
    <w:rsid w:val="0000727D"/>
    <w:rsid w:val="00007460"/>
    <w:rsid w:val="00010727"/>
    <w:rsid w:val="00010977"/>
    <w:rsid w:val="00011124"/>
    <w:rsid w:val="0001179F"/>
    <w:rsid w:val="000119FB"/>
    <w:rsid w:val="00011D58"/>
    <w:rsid w:val="00012863"/>
    <w:rsid w:val="000128D7"/>
    <w:rsid w:val="00012B38"/>
    <w:rsid w:val="00012C84"/>
    <w:rsid w:val="00012EAB"/>
    <w:rsid w:val="00013135"/>
    <w:rsid w:val="00014010"/>
    <w:rsid w:val="00014990"/>
    <w:rsid w:val="00016A22"/>
    <w:rsid w:val="00016E5E"/>
    <w:rsid w:val="00017610"/>
    <w:rsid w:val="0002011A"/>
    <w:rsid w:val="000205C6"/>
    <w:rsid w:val="00020C44"/>
    <w:rsid w:val="00021146"/>
    <w:rsid w:val="00021FB0"/>
    <w:rsid w:val="000221AA"/>
    <w:rsid w:val="0002234F"/>
    <w:rsid w:val="0002331F"/>
    <w:rsid w:val="0002373F"/>
    <w:rsid w:val="00023F26"/>
    <w:rsid w:val="000249C7"/>
    <w:rsid w:val="000249F8"/>
    <w:rsid w:val="000251E2"/>
    <w:rsid w:val="00025B3F"/>
    <w:rsid w:val="00026E82"/>
    <w:rsid w:val="00030676"/>
    <w:rsid w:val="00030714"/>
    <w:rsid w:val="00031F60"/>
    <w:rsid w:val="00032BB7"/>
    <w:rsid w:val="0003322C"/>
    <w:rsid w:val="00034110"/>
    <w:rsid w:val="00035AC1"/>
    <w:rsid w:val="000366E1"/>
    <w:rsid w:val="000368FC"/>
    <w:rsid w:val="00037353"/>
    <w:rsid w:val="000376EE"/>
    <w:rsid w:val="00041144"/>
    <w:rsid w:val="00041438"/>
    <w:rsid w:val="000421F8"/>
    <w:rsid w:val="00043262"/>
    <w:rsid w:val="0004432B"/>
    <w:rsid w:val="00044B86"/>
    <w:rsid w:val="00045528"/>
    <w:rsid w:val="00045BD7"/>
    <w:rsid w:val="00047FEF"/>
    <w:rsid w:val="00051113"/>
    <w:rsid w:val="00051D70"/>
    <w:rsid w:val="00051F84"/>
    <w:rsid w:val="00052063"/>
    <w:rsid w:val="00052407"/>
    <w:rsid w:val="000530B8"/>
    <w:rsid w:val="00055236"/>
    <w:rsid w:val="00055DDF"/>
    <w:rsid w:val="00057724"/>
    <w:rsid w:val="000600DC"/>
    <w:rsid w:val="000602E4"/>
    <w:rsid w:val="000609FA"/>
    <w:rsid w:val="00061767"/>
    <w:rsid w:val="00061C83"/>
    <w:rsid w:val="0006557C"/>
    <w:rsid w:val="0006624B"/>
    <w:rsid w:val="0006631A"/>
    <w:rsid w:val="00067442"/>
    <w:rsid w:val="00067E6B"/>
    <w:rsid w:val="00067F4E"/>
    <w:rsid w:val="000711F1"/>
    <w:rsid w:val="00071DD7"/>
    <w:rsid w:val="000725AC"/>
    <w:rsid w:val="00073DA8"/>
    <w:rsid w:val="000755E6"/>
    <w:rsid w:val="000764D3"/>
    <w:rsid w:val="000768A5"/>
    <w:rsid w:val="0007781D"/>
    <w:rsid w:val="00080061"/>
    <w:rsid w:val="00080A47"/>
    <w:rsid w:val="00080B04"/>
    <w:rsid w:val="00080E89"/>
    <w:rsid w:val="00082A8C"/>
    <w:rsid w:val="00082F77"/>
    <w:rsid w:val="0008362E"/>
    <w:rsid w:val="0008368D"/>
    <w:rsid w:val="00085725"/>
    <w:rsid w:val="00085998"/>
    <w:rsid w:val="00085C5A"/>
    <w:rsid w:val="000862FC"/>
    <w:rsid w:val="00087323"/>
    <w:rsid w:val="000879CA"/>
    <w:rsid w:val="000879ED"/>
    <w:rsid w:val="00090108"/>
    <w:rsid w:val="00091C5C"/>
    <w:rsid w:val="00092BB0"/>
    <w:rsid w:val="00093649"/>
    <w:rsid w:val="00094092"/>
    <w:rsid w:val="00096246"/>
    <w:rsid w:val="000970D5"/>
    <w:rsid w:val="000970EB"/>
    <w:rsid w:val="00097548"/>
    <w:rsid w:val="000979AA"/>
    <w:rsid w:val="000A0A6E"/>
    <w:rsid w:val="000A2349"/>
    <w:rsid w:val="000A2D47"/>
    <w:rsid w:val="000A3597"/>
    <w:rsid w:val="000A35FE"/>
    <w:rsid w:val="000A3E1C"/>
    <w:rsid w:val="000A4016"/>
    <w:rsid w:val="000A6C40"/>
    <w:rsid w:val="000A6E37"/>
    <w:rsid w:val="000A723F"/>
    <w:rsid w:val="000B1027"/>
    <w:rsid w:val="000B1030"/>
    <w:rsid w:val="000B10DA"/>
    <w:rsid w:val="000B134D"/>
    <w:rsid w:val="000B1F9C"/>
    <w:rsid w:val="000B2F30"/>
    <w:rsid w:val="000B3107"/>
    <w:rsid w:val="000B3C4C"/>
    <w:rsid w:val="000B6B3D"/>
    <w:rsid w:val="000B6F23"/>
    <w:rsid w:val="000B70D6"/>
    <w:rsid w:val="000B7EF8"/>
    <w:rsid w:val="000B7F7A"/>
    <w:rsid w:val="000C04A1"/>
    <w:rsid w:val="000C194F"/>
    <w:rsid w:val="000C1FE8"/>
    <w:rsid w:val="000C2222"/>
    <w:rsid w:val="000C2D7C"/>
    <w:rsid w:val="000C397A"/>
    <w:rsid w:val="000C58C9"/>
    <w:rsid w:val="000C740D"/>
    <w:rsid w:val="000D09ED"/>
    <w:rsid w:val="000D0A87"/>
    <w:rsid w:val="000D0FB1"/>
    <w:rsid w:val="000D11B8"/>
    <w:rsid w:val="000D1420"/>
    <w:rsid w:val="000D145B"/>
    <w:rsid w:val="000D1633"/>
    <w:rsid w:val="000D2259"/>
    <w:rsid w:val="000D3B12"/>
    <w:rsid w:val="000D6016"/>
    <w:rsid w:val="000D699E"/>
    <w:rsid w:val="000D6E53"/>
    <w:rsid w:val="000D7185"/>
    <w:rsid w:val="000E1CED"/>
    <w:rsid w:val="000E224B"/>
    <w:rsid w:val="000E24BD"/>
    <w:rsid w:val="000E29D1"/>
    <w:rsid w:val="000E37E6"/>
    <w:rsid w:val="000E6DE9"/>
    <w:rsid w:val="000E6F19"/>
    <w:rsid w:val="000F1B3B"/>
    <w:rsid w:val="000F1BB0"/>
    <w:rsid w:val="000F1E3F"/>
    <w:rsid w:val="000F26A3"/>
    <w:rsid w:val="000F2D63"/>
    <w:rsid w:val="000F2FCA"/>
    <w:rsid w:val="000F3DBC"/>
    <w:rsid w:val="000F48EC"/>
    <w:rsid w:val="000F5D8D"/>
    <w:rsid w:val="000F6426"/>
    <w:rsid w:val="000F76A5"/>
    <w:rsid w:val="000F76BC"/>
    <w:rsid w:val="00100225"/>
    <w:rsid w:val="00100C0C"/>
    <w:rsid w:val="00100F69"/>
    <w:rsid w:val="001017A9"/>
    <w:rsid w:val="00101DB3"/>
    <w:rsid w:val="00101F34"/>
    <w:rsid w:val="00102F75"/>
    <w:rsid w:val="001030E1"/>
    <w:rsid w:val="001033D5"/>
    <w:rsid w:val="001039F7"/>
    <w:rsid w:val="001048A4"/>
    <w:rsid w:val="00104FB2"/>
    <w:rsid w:val="00105409"/>
    <w:rsid w:val="001055FE"/>
    <w:rsid w:val="00107DBD"/>
    <w:rsid w:val="00112B2B"/>
    <w:rsid w:val="00113666"/>
    <w:rsid w:val="00115521"/>
    <w:rsid w:val="001159DC"/>
    <w:rsid w:val="00115F2A"/>
    <w:rsid w:val="001169FE"/>
    <w:rsid w:val="00116D19"/>
    <w:rsid w:val="00117513"/>
    <w:rsid w:val="00117BB2"/>
    <w:rsid w:val="0012061B"/>
    <w:rsid w:val="001209CD"/>
    <w:rsid w:val="00121379"/>
    <w:rsid w:val="00121E78"/>
    <w:rsid w:val="0012281E"/>
    <w:rsid w:val="001230AC"/>
    <w:rsid w:val="001234DC"/>
    <w:rsid w:val="00123F4B"/>
    <w:rsid w:val="00124604"/>
    <w:rsid w:val="001255F0"/>
    <w:rsid w:val="001265C0"/>
    <w:rsid w:val="00126800"/>
    <w:rsid w:val="00126F6E"/>
    <w:rsid w:val="001301B7"/>
    <w:rsid w:val="001337B7"/>
    <w:rsid w:val="00133921"/>
    <w:rsid w:val="0013398F"/>
    <w:rsid w:val="001344B3"/>
    <w:rsid w:val="00134A8C"/>
    <w:rsid w:val="001360B6"/>
    <w:rsid w:val="001362B8"/>
    <w:rsid w:val="001368BC"/>
    <w:rsid w:val="0013747E"/>
    <w:rsid w:val="00137897"/>
    <w:rsid w:val="001401C9"/>
    <w:rsid w:val="00140C93"/>
    <w:rsid w:val="00143536"/>
    <w:rsid w:val="00143B9F"/>
    <w:rsid w:val="00143C40"/>
    <w:rsid w:val="001448AD"/>
    <w:rsid w:val="00144AB3"/>
    <w:rsid w:val="00145B2F"/>
    <w:rsid w:val="001464B2"/>
    <w:rsid w:val="00146C4F"/>
    <w:rsid w:val="001473BE"/>
    <w:rsid w:val="00150440"/>
    <w:rsid w:val="00150EEF"/>
    <w:rsid w:val="00151D8E"/>
    <w:rsid w:val="0015264C"/>
    <w:rsid w:val="00152F83"/>
    <w:rsid w:val="00154213"/>
    <w:rsid w:val="001552D3"/>
    <w:rsid w:val="00155378"/>
    <w:rsid w:val="0015633C"/>
    <w:rsid w:val="001570BC"/>
    <w:rsid w:val="00157301"/>
    <w:rsid w:val="0015751B"/>
    <w:rsid w:val="0015775B"/>
    <w:rsid w:val="001579BF"/>
    <w:rsid w:val="00161AA0"/>
    <w:rsid w:val="00162B2F"/>
    <w:rsid w:val="00162FA9"/>
    <w:rsid w:val="00163BF0"/>
    <w:rsid w:val="00164959"/>
    <w:rsid w:val="00165475"/>
    <w:rsid w:val="00165AE5"/>
    <w:rsid w:val="001662BC"/>
    <w:rsid w:val="00167A75"/>
    <w:rsid w:val="0017072D"/>
    <w:rsid w:val="00170752"/>
    <w:rsid w:val="00170AAD"/>
    <w:rsid w:val="00170B60"/>
    <w:rsid w:val="001715E0"/>
    <w:rsid w:val="00171A2B"/>
    <w:rsid w:val="00173279"/>
    <w:rsid w:val="001743E0"/>
    <w:rsid w:val="00174622"/>
    <w:rsid w:val="00174D77"/>
    <w:rsid w:val="00175048"/>
    <w:rsid w:val="00175F9E"/>
    <w:rsid w:val="00176D8D"/>
    <w:rsid w:val="00176FB2"/>
    <w:rsid w:val="00177109"/>
    <w:rsid w:val="0017750C"/>
    <w:rsid w:val="001823EB"/>
    <w:rsid w:val="00182E30"/>
    <w:rsid w:val="00182E46"/>
    <w:rsid w:val="00184A64"/>
    <w:rsid w:val="00185BF7"/>
    <w:rsid w:val="00185E7D"/>
    <w:rsid w:val="0018716E"/>
    <w:rsid w:val="001873CB"/>
    <w:rsid w:val="00187A8A"/>
    <w:rsid w:val="001903E9"/>
    <w:rsid w:val="00191B56"/>
    <w:rsid w:val="00192ADD"/>
    <w:rsid w:val="00193945"/>
    <w:rsid w:val="001956FC"/>
    <w:rsid w:val="0019604D"/>
    <w:rsid w:val="00196FE1"/>
    <w:rsid w:val="0019718A"/>
    <w:rsid w:val="001A0024"/>
    <w:rsid w:val="001A08FE"/>
    <w:rsid w:val="001A0F65"/>
    <w:rsid w:val="001A10E1"/>
    <w:rsid w:val="001A1AE2"/>
    <w:rsid w:val="001A1C64"/>
    <w:rsid w:val="001A28E1"/>
    <w:rsid w:val="001A333E"/>
    <w:rsid w:val="001A3FEA"/>
    <w:rsid w:val="001A446F"/>
    <w:rsid w:val="001A5137"/>
    <w:rsid w:val="001A5561"/>
    <w:rsid w:val="001A7E7F"/>
    <w:rsid w:val="001B2788"/>
    <w:rsid w:val="001B2C37"/>
    <w:rsid w:val="001B2DD8"/>
    <w:rsid w:val="001B43B1"/>
    <w:rsid w:val="001B5E3B"/>
    <w:rsid w:val="001B6E00"/>
    <w:rsid w:val="001B7533"/>
    <w:rsid w:val="001B7E00"/>
    <w:rsid w:val="001C055D"/>
    <w:rsid w:val="001C0EF4"/>
    <w:rsid w:val="001C1ED2"/>
    <w:rsid w:val="001C53F2"/>
    <w:rsid w:val="001C59E4"/>
    <w:rsid w:val="001C5F66"/>
    <w:rsid w:val="001C6CA7"/>
    <w:rsid w:val="001D011E"/>
    <w:rsid w:val="001D0FBD"/>
    <w:rsid w:val="001D17D0"/>
    <w:rsid w:val="001D1A9B"/>
    <w:rsid w:val="001D1D43"/>
    <w:rsid w:val="001D773B"/>
    <w:rsid w:val="001E0ECF"/>
    <w:rsid w:val="001E27E5"/>
    <w:rsid w:val="001E293F"/>
    <w:rsid w:val="001E2CAF"/>
    <w:rsid w:val="001E2D45"/>
    <w:rsid w:val="001E3B0C"/>
    <w:rsid w:val="001E3BD4"/>
    <w:rsid w:val="001E42E7"/>
    <w:rsid w:val="001E4C62"/>
    <w:rsid w:val="001E4D37"/>
    <w:rsid w:val="001E5F72"/>
    <w:rsid w:val="001F050D"/>
    <w:rsid w:val="001F1400"/>
    <w:rsid w:val="001F2AA8"/>
    <w:rsid w:val="001F338C"/>
    <w:rsid w:val="001F39E3"/>
    <w:rsid w:val="001F3DA0"/>
    <w:rsid w:val="001F3EBA"/>
    <w:rsid w:val="001F5477"/>
    <w:rsid w:val="001F5F6E"/>
    <w:rsid w:val="001F6078"/>
    <w:rsid w:val="001F7251"/>
    <w:rsid w:val="00200B74"/>
    <w:rsid w:val="00204B18"/>
    <w:rsid w:val="00204F82"/>
    <w:rsid w:val="0020503C"/>
    <w:rsid w:val="00206E13"/>
    <w:rsid w:val="0020714F"/>
    <w:rsid w:val="0021081C"/>
    <w:rsid w:val="00210C07"/>
    <w:rsid w:val="002119CD"/>
    <w:rsid w:val="00211F62"/>
    <w:rsid w:val="00214104"/>
    <w:rsid w:val="00214C2A"/>
    <w:rsid w:val="002159C9"/>
    <w:rsid w:val="00217188"/>
    <w:rsid w:val="002177B3"/>
    <w:rsid w:val="00217889"/>
    <w:rsid w:val="00217FB0"/>
    <w:rsid w:val="00220399"/>
    <w:rsid w:val="002203C6"/>
    <w:rsid w:val="00220A8D"/>
    <w:rsid w:val="002218BC"/>
    <w:rsid w:val="00222BEA"/>
    <w:rsid w:val="002232D7"/>
    <w:rsid w:val="00223CA9"/>
    <w:rsid w:val="00223CCE"/>
    <w:rsid w:val="002242A0"/>
    <w:rsid w:val="0022493C"/>
    <w:rsid w:val="00225439"/>
    <w:rsid w:val="00225539"/>
    <w:rsid w:val="00225D88"/>
    <w:rsid w:val="00225F9B"/>
    <w:rsid w:val="002268BB"/>
    <w:rsid w:val="00227CED"/>
    <w:rsid w:val="002311FA"/>
    <w:rsid w:val="00232061"/>
    <w:rsid w:val="002329E6"/>
    <w:rsid w:val="0023322A"/>
    <w:rsid w:val="0023383F"/>
    <w:rsid w:val="00235945"/>
    <w:rsid w:val="00235CAB"/>
    <w:rsid w:val="0023608B"/>
    <w:rsid w:val="00236511"/>
    <w:rsid w:val="00236A80"/>
    <w:rsid w:val="00236BF0"/>
    <w:rsid w:val="00237348"/>
    <w:rsid w:val="002404B3"/>
    <w:rsid w:val="00240870"/>
    <w:rsid w:val="002425A7"/>
    <w:rsid w:val="00242D20"/>
    <w:rsid w:val="0024312B"/>
    <w:rsid w:val="00244981"/>
    <w:rsid w:val="002453CC"/>
    <w:rsid w:val="002456F8"/>
    <w:rsid w:val="002461F4"/>
    <w:rsid w:val="00246479"/>
    <w:rsid w:val="00246D99"/>
    <w:rsid w:val="00252B54"/>
    <w:rsid w:val="00253EB9"/>
    <w:rsid w:val="002555BE"/>
    <w:rsid w:val="00255679"/>
    <w:rsid w:val="00257B1C"/>
    <w:rsid w:val="0026023D"/>
    <w:rsid w:val="0026119B"/>
    <w:rsid w:val="002614EA"/>
    <w:rsid w:val="00261FD2"/>
    <w:rsid w:val="00262D8C"/>
    <w:rsid w:val="0026330F"/>
    <w:rsid w:val="00263603"/>
    <w:rsid w:val="002637F5"/>
    <w:rsid w:val="00263DDF"/>
    <w:rsid w:val="00264B63"/>
    <w:rsid w:val="002651E9"/>
    <w:rsid w:val="00265B0E"/>
    <w:rsid w:val="00266CA1"/>
    <w:rsid w:val="00266E7C"/>
    <w:rsid w:val="00266F84"/>
    <w:rsid w:val="00267232"/>
    <w:rsid w:val="0026790C"/>
    <w:rsid w:val="00270D64"/>
    <w:rsid w:val="0027197C"/>
    <w:rsid w:val="002751AC"/>
    <w:rsid w:val="002753C3"/>
    <w:rsid w:val="00275DC6"/>
    <w:rsid w:val="00277FF9"/>
    <w:rsid w:val="00282C30"/>
    <w:rsid w:val="00282D7E"/>
    <w:rsid w:val="002847D4"/>
    <w:rsid w:val="00284C20"/>
    <w:rsid w:val="002856FC"/>
    <w:rsid w:val="0028744F"/>
    <w:rsid w:val="0028793D"/>
    <w:rsid w:val="0029012F"/>
    <w:rsid w:val="00290445"/>
    <w:rsid w:val="00290E7B"/>
    <w:rsid w:val="00292044"/>
    <w:rsid w:val="002927FB"/>
    <w:rsid w:val="00292F3B"/>
    <w:rsid w:val="0029368A"/>
    <w:rsid w:val="00293811"/>
    <w:rsid w:val="002954AD"/>
    <w:rsid w:val="002957F7"/>
    <w:rsid w:val="00295F48"/>
    <w:rsid w:val="002A0A73"/>
    <w:rsid w:val="002A10D1"/>
    <w:rsid w:val="002A151A"/>
    <w:rsid w:val="002A1568"/>
    <w:rsid w:val="002A16D7"/>
    <w:rsid w:val="002A2687"/>
    <w:rsid w:val="002A3F2D"/>
    <w:rsid w:val="002A5467"/>
    <w:rsid w:val="002A5C23"/>
    <w:rsid w:val="002A6305"/>
    <w:rsid w:val="002A686F"/>
    <w:rsid w:val="002A7398"/>
    <w:rsid w:val="002A7631"/>
    <w:rsid w:val="002B1792"/>
    <w:rsid w:val="002B2A8E"/>
    <w:rsid w:val="002B3340"/>
    <w:rsid w:val="002B351A"/>
    <w:rsid w:val="002B3EC8"/>
    <w:rsid w:val="002B5772"/>
    <w:rsid w:val="002B6D1D"/>
    <w:rsid w:val="002B757F"/>
    <w:rsid w:val="002C0551"/>
    <w:rsid w:val="002C1E5F"/>
    <w:rsid w:val="002C2462"/>
    <w:rsid w:val="002C257D"/>
    <w:rsid w:val="002C2774"/>
    <w:rsid w:val="002C2AE7"/>
    <w:rsid w:val="002C3596"/>
    <w:rsid w:val="002C381D"/>
    <w:rsid w:val="002C3A74"/>
    <w:rsid w:val="002C59A4"/>
    <w:rsid w:val="002D07B5"/>
    <w:rsid w:val="002D132C"/>
    <w:rsid w:val="002D2607"/>
    <w:rsid w:val="002D2882"/>
    <w:rsid w:val="002D2F97"/>
    <w:rsid w:val="002D3281"/>
    <w:rsid w:val="002D6328"/>
    <w:rsid w:val="002D65AC"/>
    <w:rsid w:val="002D79A7"/>
    <w:rsid w:val="002E084B"/>
    <w:rsid w:val="002E0C93"/>
    <w:rsid w:val="002E1C11"/>
    <w:rsid w:val="002E3F68"/>
    <w:rsid w:val="002E40C8"/>
    <w:rsid w:val="002E4B71"/>
    <w:rsid w:val="002E5C16"/>
    <w:rsid w:val="002E70EB"/>
    <w:rsid w:val="002E73E7"/>
    <w:rsid w:val="002F0AA7"/>
    <w:rsid w:val="002F15C2"/>
    <w:rsid w:val="002F1B28"/>
    <w:rsid w:val="002F2583"/>
    <w:rsid w:val="002F279A"/>
    <w:rsid w:val="002F2C1A"/>
    <w:rsid w:val="002F3680"/>
    <w:rsid w:val="002F3842"/>
    <w:rsid w:val="002F4F5B"/>
    <w:rsid w:val="002F6727"/>
    <w:rsid w:val="002F68FE"/>
    <w:rsid w:val="002F788C"/>
    <w:rsid w:val="00300DF8"/>
    <w:rsid w:val="00301987"/>
    <w:rsid w:val="0030276D"/>
    <w:rsid w:val="00303156"/>
    <w:rsid w:val="00303744"/>
    <w:rsid w:val="00303AD4"/>
    <w:rsid w:val="00304CFD"/>
    <w:rsid w:val="00306A96"/>
    <w:rsid w:val="003107AB"/>
    <w:rsid w:val="0031127A"/>
    <w:rsid w:val="003114AD"/>
    <w:rsid w:val="00311A01"/>
    <w:rsid w:val="003154E8"/>
    <w:rsid w:val="00315C29"/>
    <w:rsid w:val="0031664C"/>
    <w:rsid w:val="003205F2"/>
    <w:rsid w:val="0032193E"/>
    <w:rsid w:val="00322A89"/>
    <w:rsid w:val="00322C83"/>
    <w:rsid w:val="00322EFF"/>
    <w:rsid w:val="00323FCA"/>
    <w:rsid w:val="00324997"/>
    <w:rsid w:val="003256B1"/>
    <w:rsid w:val="00325A35"/>
    <w:rsid w:val="0032687B"/>
    <w:rsid w:val="003271CF"/>
    <w:rsid w:val="00327A4E"/>
    <w:rsid w:val="003301C8"/>
    <w:rsid w:val="00330F09"/>
    <w:rsid w:val="00331545"/>
    <w:rsid w:val="00331735"/>
    <w:rsid w:val="00331C41"/>
    <w:rsid w:val="00332A6E"/>
    <w:rsid w:val="003330E6"/>
    <w:rsid w:val="0033333E"/>
    <w:rsid w:val="0033380F"/>
    <w:rsid w:val="00335EC9"/>
    <w:rsid w:val="003368C0"/>
    <w:rsid w:val="003370E5"/>
    <w:rsid w:val="00341947"/>
    <w:rsid w:val="00343011"/>
    <w:rsid w:val="00343439"/>
    <w:rsid w:val="00343B53"/>
    <w:rsid w:val="00343BB8"/>
    <w:rsid w:val="003442C3"/>
    <w:rsid w:val="003459E9"/>
    <w:rsid w:val="00345EF1"/>
    <w:rsid w:val="003461D4"/>
    <w:rsid w:val="00346BA7"/>
    <w:rsid w:val="00347E2B"/>
    <w:rsid w:val="00350CD0"/>
    <w:rsid w:val="00351522"/>
    <w:rsid w:val="00351FE4"/>
    <w:rsid w:val="003526A4"/>
    <w:rsid w:val="00353705"/>
    <w:rsid w:val="00354781"/>
    <w:rsid w:val="00354915"/>
    <w:rsid w:val="00354A00"/>
    <w:rsid w:val="00357080"/>
    <w:rsid w:val="00357168"/>
    <w:rsid w:val="00357850"/>
    <w:rsid w:val="00357B23"/>
    <w:rsid w:val="00360B31"/>
    <w:rsid w:val="00361248"/>
    <w:rsid w:val="00364E30"/>
    <w:rsid w:val="00365DA6"/>
    <w:rsid w:val="003664E8"/>
    <w:rsid w:val="00367501"/>
    <w:rsid w:val="003704DB"/>
    <w:rsid w:val="00372031"/>
    <w:rsid w:val="003738C2"/>
    <w:rsid w:val="003749C6"/>
    <w:rsid w:val="00374C9A"/>
    <w:rsid w:val="00374DF0"/>
    <w:rsid w:val="003753DE"/>
    <w:rsid w:val="00376A6B"/>
    <w:rsid w:val="00376AE6"/>
    <w:rsid w:val="00377413"/>
    <w:rsid w:val="0038146D"/>
    <w:rsid w:val="00383594"/>
    <w:rsid w:val="003839B0"/>
    <w:rsid w:val="003847B9"/>
    <w:rsid w:val="00384A13"/>
    <w:rsid w:val="00384F4D"/>
    <w:rsid w:val="00385E85"/>
    <w:rsid w:val="00386D9C"/>
    <w:rsid w:val="00386E63"/>
    <w:rsid w:val="0039004C"/>
    <w:rsid w:val="0039118D"/>
    <w:rsid w:val="0039156D"/>
    <w:rsid w:val="00391AC8"/>
    <w:rsid w:val="003928D6"/>
    <w:rsid w:val="00392F89"/>
    <w:rsid w:val="00392FB4"/>
    <w:rsid w:val="0039359D"/>
    <w:rsid w:val="00394DFF"/>
    <w:rsid w:val="00395A20"/>
    <w:rsid w:val="00395C05"/>
    <w:rsid w:val="00395C59"/>
    <w:rsid w:val="003A0250"/>
    <w:rsid w:val="003A04CD"/>
    <w:rsid w:val="003A105E"/>
    <w:rsid w:val="003A11AB"/>
    <w:rsid w:val="003A1341"/>
    <w:rsid w:val="003A1F14"/>
    <w:rsid w:val="003A2B6D"/>
    <w:rsid w:val="003A2E2D"/>
    <w:rsid w:val="003A2FA2"/>
    <w:rsid w:val="003A3974"/>
    <w:rsid w:val="003A4505"/>
    <w:rsid w:val="003A5838"/>
    <w:rsid w:val="003A7F55"/>
    <w:rsid w:val="003B0BC2"/>
    <w:rsid w:val="003B1B6B"/>
    <w:rsid w:val="003B2E71"/>
    <w:rsid w:val="003B3021"/>
    <w:rsid w:val="003B30C5"/>
    <w:rsid w:val="003B32D1"/>
    <w:rsid w:val="003B37BB"/>
    <w:rsid w:val="003B7A96"/>
    <w:rsid w:val="003C36AC"/>
    <w:rsid w:val="003C3869"/>
    <w:rsid w:val="003C72E6"/>
    <w:rsid w:val="003C7EF9"/>
    <w:rsid w:val="003D2B2A"/>
    <w:rsid w:val="003D312F"/>
    <w:rsid w:val="003D68A2"/>
    <w:rsid w:val="003D68D5"/>
    <w:rsid w:val="003D6E19"/>
    <w:rsid w:val="003D7050"/>
    <w:rsid w:val="003E0775"/>
    <w:rsid w:val="003E0E6E"/>
    <w:rsid w:val="003E14CF"/>
    <w:rsid w:val="003E2574"/>
    <w:rsid w:val="003E6322"/>
    <w:rsid w:val="003E6494"/>
    <w:rsid w:val="003E684C"/>
    <w:rsid w:val="003F0A40"/>
    <w:rsid w:val="003F102D"/>
    <w:rsid w:val="003F168A"/>
    <w:rsid w:val="003F16CC"/>
    <w:rsid w:val="003F257C"/>
    <w:rsid w:val="003F3CAB"/>
    <w:rsid w:val="003F4C96"/>
    <w:rsid w:val="003F5092"/>
    <w:rsid w:val="003F64CD"/>
    <w:rsid w:val="003F6A1C"/>
    <w:rsid w:val="004016DD"/>
    <w:rsid w:val="00401F0F"/>
    <w:rsid w:val="004021E1"/>
    <w:rsid w:val="004040AA"/>
    <w:rsid w:val="00404A22"/>
    <w:rsid w:val="00406967"/>
    <w:rsid w:val="00407D59"/>
    <w:rsid w:val="0041075C"/>
    <w:rsid w:val="00410FA3"/>
    <w:rsid w:val="00412C84"/>
    <w:rsid w:val="00414762"/>
    <w:rsid w:val="00414FD0"/>
    <w:rsid w:val="0041525E"/>
    <w:rsid w:val="00415392"/>
    <w:rsid w:val="00415939"/>
    <w:rsid w:val="00416A1C"/>
    <w:rsid w:val="0041751E"/>
    <w:rsid w:val="00420742"/>
    <w:rsid w:val="00420F05"/>
    <w:rsid w:val="00421005"/>
    <w:rsid w:val="00422BE6"/>
    <w:rsid w:val="00423876"/>
    <w:rsid w:val="00423E3D"/>
    <w:rsid w:val="00424AA5"/>
    <w:rsid w:val="00426BA9"/>
    <w:rsid w:val="00427409"/>
    <w:rsid w:val="00427C9F"/>
    <w:rsid w:val="00427D88"/>
    <w:rsid w:val="00427EB3"/>
    <w:rsid w:val="004307F2"/>
    <w:rsid w:val="00431372"/>
    <w:rsid w:val="00433564"/>
    <w:rsid w:val="00435B8B"/>
    <w:rsid w:val="004370D4"/>
    <w:rsid w:val="00437732"/>
    <w:rsid w:val="00437CA3"/>
    <w:rsid w:val="0044027B"/>
    <w:rsid w:val="004408F8"/>
    <w:rsid w:val="004436D8"/>
    <w:rsid w:val="00443A9A"/>
    <w:rsid w:val="00444E4E"/>
    <w:rsid w:val="00445595"/>
    <w:rsid w:val="0044648F"/>
    <w:rsid w:val="004468B4"/>
    <w:rsid w:val="00446D40"/>
    <w:rsid w:val="00446DA2"/>
    <w:rsid w:val="004471FF"/>
    <w:rsid w:val="0045130F"/>
    <w:rsid w:val="00451798"/>
    <w:rsid w:val="00451B9D"/>
    <w:rsid w:val="00453425"/>
    <w:rsid w:val="00454004"/>
    <w:rsid w:val="004555A2"/>
    <w:rsid w:val="00457020"/>
    <w:rsid w:val="00457843"/>
    <w:rsid w:val="00457C13"/>
    <w:rsid w:val="00460458"/>
    <w:rsid w:val="0046052C"/>
    <w:rsid w:val="00461A6E"/>
    <w:rsid w:val="00461AD0"/>
    <w:rsid w:val="00462002"/>
    <w:rsid w:val="0046212F"/>
    <w:rsid w:val="00462733"/>
    <w:rsid w:val="00463227"/>
    <w:rsid w:val="00463973"/>
    <w:rsid w:val="00465A75"/>
    <w:rsid w:val="00466674"/>
    <w:rsid w:val="00467568"/>
    <w:rsid w:val="0046782E"/>
    <w:rsid w:val="00470713"/>
    <w:rsid w:val="00470DDA"/>
    <w:rsid w:val="00471113"/>
    <w:rsid w:val="00471200"/>
    <w:rsid w:val="00471717"/>
    <w:rsid w:val="00471781"/>
    <w:rsid w:val="004724A7"/>
    <w:rsid w:val="00472C91"/>
    <w:rsid w:val="00472FF8"/>
    <w:rsid w:val="00473769"/>
    <w:rsid w:val="004743B8"/>
    <w:rsid w:val="0047493A"/>
    <w:rsid w:val="00475F03"/>
    <w:rsid w:val="004804B3"/>
    <w:rsid w:val="00481893"/>
    <w:rsid w:val="00481B4B"/>
    <w:rsid w:val="00481DB6"/>
    <w:rsid w:val="00481E06"/>
    <w:rsid w:val="004820E9"/>
    <w:rsid w:val="0048261C"/>
    <w:rsid w:val="0048294D"/>
    <w:rsid w:val="004829A2"/>
    <w:rsid w:val="00483119"/>
    <w:rsid w:val="004834FC"/>
    <w:rsid w:val="0048361F"/>
    <w:rsid w:val="00483E31"/>
    <w:rsid w:val="00484078"/>
    <w:rsid w:val="004845D0"/>
    <w:rsid w:val="004847C4"/>
    <w:rsid w:val="004852FF"/>
    <w:rsid w:val="00485EFD"/>
    <w:rsid w:val="00486296"/>
    <w:rsid w:val="004869E4"/>
    <w:rsid w:val="0049199C"/>
    <w:rsid w:val="004921C3"/>
    <w:rsid w:val="004923C9"/>
    <w:rsid w:val="0049290A"/>
    <w:rsid w:val="00492FDA"/>
    <w:rsid w:val="004937C6"/>
    <w:rsid w:val="00494DDB"/>
    <w:rsid w:val="00494E73"/>
    <w:rsid w:val="00495AA3"/>
    <w:rsid w:val="004A2830"/>
    <w:rsid w:val="004A2C98"/>
    <w:rsid w:val="004A33B3"/>
    <w:rsid w:val="004A3B19"/>
    <w:rsid w:val="004A4303"/>
    <w:rsid w:val="004A5BAA"/>
    <w:rsid w:val="004A61AC"/>
    <w:rsid w:val="004A626B"/>
    <w:rsid w:val="004A6EA7"/>
    <w:rsid w:val="004B063F"/>
    <w:rsid w:val="004B0BD3"/>
    <w:rsid w:val="004B22D8"/>
    <w:rsid w:val="004B2413"/>
    <w:rsid w:val="004B280A"/>
    <w:rsid w:val="004B2B3D"/>
    <w:rsid w:val="004B2D12"/>
    <w:rsid w:val="004B33B8"/>
    <w:rsid w:val="004B3B0D"/>
    <w:rsid w:val="004B40ED"/>
    <w:rsid w:val="004B44BD"/>
    <w:rsid w:val="004B4542"/>
    <w:rsid w:val="004B514C"/>
    <w:rsid w:val="004B5210"/>
    <w:rsid w:val="004B5641"/>
    <w:rsid w:val="004B6F62"/>
    <w:rsid w:val="004B7D57"/>
    <w:rsid w:val="004B7FC5"/>
    <w:rsid w:val="004C00D8"/>
    <w:rsid w:val="004C15BB"/>
    <w:rsid w:val="004C1CE9"/>
    <w:rsid w:val="004C3B00"/>
    <w:rsid w:val="004C3DAD"/>
    <w:rsid w:val="004C4D60"/>
    <w:rsid w:val="004C5923"/>
    <w:rsid w:val="004C6116"/>
    <w:rsid w:val="004C7C61"/>
    <w:rsid w:val="004C7E78"/>
    <w:rsid w:val="004D0DFD"/>
    <w:rsid w:val="004D1FBE"/>
    <w:rsid w:val="004D22A5"/>
    <w:rsid w:val="004D2579"/>
    <w:rsid w:val="004D34A2"/>
    <w:rsid w:val="004D45BE"/>
    <w:rsid w:val="004D46BA"/>
    <w:rsid w:val="004D4A86"/>
    <w:rsid w:val="004D5680"/>
    <w:rsid w:val="004D5CDE"/>
    <w:rsid w:val="004D7664"/>
    <w:rsid w:val="004E074F"/>
    <w:rsid w:val="004E170B"/>
    <w:rsid w:val="004E43DA"/>
    <w:rsid w:val="004E5121"/>
    <w:rsid w:val="004E54D9"/>
    <w:rsid w:val="004E58A9"/>
    <w:rsid w:val="004E5C26"/>
    <w:rsid w:val="004E6427"/>
    <w:rsid w:val="004E7625"/>
    <w:rsid w:val="004E7E43"/>
    <w:rsid w:val="004F02F9"/>
    <w:rsid w:val="004F1956"/>
    <w:rsid w:val="004F2FC0"/>
    <w:rsid w:val="004F3274"/>
    <w:rsid w:val="004F3B79"/>
    <w:rsid w:val="004F42BD"/>
    <w:rsid w:val="004F594F"/>
    <w:rsid w:val="004F5FC6"/>
    <w:rsid w:val="004F609E"/>
    <w:rsid w:val="004F69FA"/>
    <w:rsid w:val="005003FC"/>
    <w:rsid w:val="00500D1D"/>
    <w:rsid w:val="00502475"/>
    <w:rsid w:val="00502C0E"/>
    <w:rsid w:val="00502CB3"/>
    <w:rsid w:val="005037B2"/>
    <w:rsid w:val="0050455E"/>
    <w:rsid w:val="005047AD"/>
    <w:rsid w:val="00504C94"/>
    <w:rsid w:val="00506605"/>
    <w:rsid w:val="0050683B"/>
    <w:rsid w:val="005069E3"/>
    <w:rsid w:val="00507A06"/>
    <w:rsid w:val="005101FC"/>
    <w:rsid w:val="0051044F"/>
    <w:rsid w:val="00510B1D"/>
    <w:rsid w:val="0051107D"/>
    <w:rsid w:val="00511167"/>
    <w:rsid w:val="00514C94"/>
    <w:rsid w:val="00515BBB"/>
    <w:rsid w:val="00517253"/>
    <w:rsid w:val="00521A52"/>
    <w:rsid w:val="00521C3C"/>
    <w:rsid w:val="00521E22"/>
    <w:rsid w:val="00522B3D"/>
    <w:rsid w:val="0052309F"/>
    <w:rsid w:val="00524BFF"/>
    <w:rsid w:val="00526C07"/>
    <w:rsid w:val="0052733F"/>
    <w:rsid w:val="005273A6"/>
    <w:rsid w:val="00527533"/>
    <w:rsid w:val="00527E88"/>
    <w:rsid w:val="00532FBE"/>
    <w:rsid w:val="0053387C"/>
    <w:rsid w:val="005343A3"/>
    <w:rsid w:val="00534F74"/>
    <w:rsid w:val="00535042"/>
    <w:rsid w:val="00535693"/>
    <w:rsid w:val="005356AE"/>
    <w:rsid w:val="00536789"/>
    <w:rsid w:val="00536D2F"/>
    <w:rsid w:val="005373DD"/>
    <w:rsid w:val="00540052"/>
    <w:rsid w:val="005400D2"/>
    <w:rsid w:val="0054146B"/>
    <w:rsid w:val="00541812"/>
    <w:rsid w:val="00543DB4"/>
    <w:rsid w:val="00543E08"/>
    <w:rsid w:val="00543EF6"/>
    <w:rsid w:val="005449AD"/>
    <w:rsid w:val="00544C85"/>
    <w:rsid w:val="00545222"/>
    <w:rsid w:val="00545DE6"/>
    <w:rsid w:val="00546E94"/>
    <w:rsid w:val="00547672"/>
    <w:rsid w:val="005505ED"/>
    <w:rsid w:val="00553663"/>
    <w:rsid w:val="00554194"/>
    <w:rsid w:val="005544B2"/>
    <w:rsid w:val="00554540"/>
    <w:rsid w:val="005545B1"/>
    <w:rsid w:val="0055475F"/>
    <w:rsid w:val="00554786"/>
    <w:rsid w:val="00555443"/>
    <w:rsid w:val="00556A1E"/>
    <w:rsid w:val="00556BF7"/>
    <w:rsid w:val="005575E3"/>
    <w:rsid w:val="00557EF0"/>
    <w:rsid w:val="00560618"/>
    <w:rsid w:val="00562231"/>
    <w:rsid w:val="00562C27"/>
    <w:rsid w:val="00562F9D"/>
    <w:rsid w:val="00564B04"/>
    <w:rsid w:val="00564E8B"/>
    <w:rsid w:val="00565C70"/>
    <w:rsid w:val="00570524"/>
    <w:rsid w:val="00571472"/>
    <w:rsid w:val="005714EA"/>
    <w:rsid w:val="0057190A"/>
    <w:rsid w:val="00571B89"/>
    <w:rsid w:val="005726E2"/>
    <w:rsid w:val="00573059"/>
    <w:rsid w:val="00573866"/>
    <w:rsid w:val="0057621E"/>
    <w:rsid w:val="00576EB4"/>
    <w:rsid w:val="00577B05"/>
    <w:rsid w:val="00580637"/>
    <w:rsid w:val="00580D6F"/>
    <w:rsid w:val="005812C6"/>
    <w:rsid w:val="0058382A"/>
    <w:rsid w:val="00584BE2"/>
    <w:rsid w:val="00586377"/>
    <w:rsid w:val="00586597"/>
    <w:rsid w:val="00586C47"/>
    <w:rsid w:val="0059024D"/>
    <w:rsid w:val="005948FA"/>
    <w:rsid w:val="005959BE"/>
    <w:rsid w:val="0059612F"/>
    <w:rsid w:val="00596210"/>
    <w:rsid w:val="00596286"/>
    <w:rsid w:val="00596999"/>
    <w:rsid w:val="00597F5E"/>
    <w:rsid w:val="005A0F31"/>
    <w:rsid w:val="005A1168"/>
    <w:rsid w:val="005A25B6"/>
    <w:rsid w:val="005A28A1"/>
    <w:rsid w:val="005A2F38"/>
    <w:rsid w:val="005A46D0"/>
    <w:rsid w:val="005A5136"/>
    <w:rsid w:val="005A69FA"/>
    <w:rsid w:val="005A6FB5"/>
    <w:rsid w:val="005B25E4"/>
    <w:rsid w:val="005B30C8"/>
    <w:rsid w:val="005B590D"/>
    <w:rsid w:val="005B6C09"/>
    <w:rsid w:val="005B7414"/>
    <w:rsid w:val="005B7778"/>
    <w:rsid w:val="005C051F"/>
    <w:rsid w:val="005C13D9"/>
    <w:rsid w:val="005C1952"/>
    <w:rsid w:val="005C1F75"/>
    <w:rsid w:val="005C4976"/>
    <w:rsid w:val="005C591A"/>
    <w:rsid w:val="005C5B8B"/>
    <w:rsid w:val="005C6D21"/>
    <w:rsid w:val="005C6E7B"/>
    <w:rsid w:val="005C762E"/>
    <w:rsid w:val="005D027B"/>
    <w:rsid w:val="005D098C"/>
    <w:rsid w:val="005D09FA"/>
    <w:rsid w:val="005D311B"/>
    <w:rsid w:val="005D376D"/>
    <w:rsid w:val="005D3FD9"/>
    <w:rsid w:val="005D641F"/>
    <w:rsid w:val="005D772B"/>
    <w:rsid w:val="005E1175"/>
    <w:rsid w:val="005E1AEA"/>
    <w:rsid w:val="005E2139"/>
    <w:rsid w:val="005E25A4"/>
    <w:rsid w:val="005E36D6"/>
    <w:rsid w:val="005E37B5"/>
    <w:rsid w:val="005E46BB"/>
    <w:rsid w:val="005E669B"/>
    <w:rsid w:val="005E6EA0"/>
    <w:rsid w:val="005E7010"/>
    <w:rsid w:val="005E7545"/>
    <w:rsid w:val="005E7605"/>
    <w:rsid w:val="005F1149"/>
    <w:rsid w:val="005F31F9"/>
    <w:rsid w:val="005F34EF"/>
    <w:rsid w:val="005F3ABF"/>
    <w:rsid w:val="005F65C6"/>
    <w:rsid w:val="006001CC"/>
    <w:rsid w:val="00601959"/>
    <w:rsid w:val="006022D0"/>
    <w:rsid w:val="00602B4D"/>
    <w:rsid w:val="00603C94"/>
    <w:rsid w:val="006048E0"/>
    <w:rsid w:val="00604FAD"/>
    <w:rsid w:val="006053A6"/>
    <w:rsid w:val="0060662A"/>
    <w:rsid w:val="0060741A"/>
    <w:rsid w:val="006108C9"/>
    <w:rsid w:val="00612587"/>
    <w:rsid w:val="00612789"/>
    <w:rsid w:val="00612CC3"/>
    <w:rsid w:val="0061340D"/>
    <w:rsid w:val="00613D24"/>
    <w:rsid w:val="00614BDA"/>
    <w:rsid w:val="00614FD8"/>
    <w:rsid w:val="00616503"/>
    <w:rsid w:val="00616691"/>
    <w:rsid w:val="0061729C"/>
    <w:rsid w:val="00620901"/>
    <w:rsid w:val="00621AFB"/>
    <w:rsid w:val="00622EAE"/>
    <w:rsid w:val="0062589A"/>
    <w:rsid w:val="006307C7"/>
    <w:rsid w:val="006309DE"/>
    <w:rsid w:val="00632B82"/>
    <w:rsid w:val="006331B4"/>
    <w:rsid w:val="006343F3"/>
    <w:rsid w:val="006365C1"/>
    <w:rsid w:val="00640CF2"/>
    <w:rsid w:val="006417D6"/>
    <w:rsid w:val="00642906"/>
    <w:rsid w:val="00642DDA"/>
    <w:rsid w:val="00643582"/>
    <w:rsid w:val="00643B75"/>
    <w:rsid w:val="00644B19"/>
    <w:rsid w:val="00644CEB"/>
    <w:rsid w:val="006457EF"/>
    <w:rsid w:val="00645B55"/>
    <w:rsid w:val="006469AD"/>
    <w:rsid w:val="00646E22"/>
    <w:rsid w:val="00650EEC"/>
    <w:rsid w:val="00650F96"/>
    <w:rsid w:val="00650FF9"/>
    <w:rsid w:val="006512B7"/>
    <w:rsid w:val="00651C22"/>
    <w:rsid w:val="0065404F"/>
    <w:rsid w:val="0065562D"/>
    <w:rsid w:val="00655679"/>
    <w:rsid w:val="00655B4D"/>
    <w:rsid w:val="00655ED5"/>
    <w:rsid w:val="00660852"/>
    <w:rsid w:val="0066131A"/>
    <w:rsid w:val="00661DFD"/>
    <w:rsid w:val="0066319A"/>
    <w:rsid w:val="006633D6"/>
    <w:rsid w:val="00664D18"/>
    <w:rsid w:val="00664F7A"/>
    <w:rsid w:val="00665734"/>
    <w:rsid w:val="00671977"/>
    <w:rsid w:val="00671D80"/>
    <w:rsid w:val="00672EFB"/>
    <w:rsid w:val="00673839"/>
    <w:rsid w:val="006739CF"/>
    <w:rsid w:val="00676A75"/>
    <w:rsid w:val="0067752C"/>
    <w:rsid w:val="006776A2"/>
    <w:rsid w:val="006801A6"/>
    <w:rsid w:val="00680707"/>
    <w:rsid w:val="00680F4A"/>
    <w:rsid w:val="0068124B"/>
    <w:rsid w:val="00681610"/>
    <w:rsid w:val="00681E1A"/>
    <w:rsid w:val="00682129"/>
    <w:rsid w:val="00684AD6"/>
    <w:rsid w:val="00685A16"/>
    <w:rsid w:val="00685D36"/>
    <w:rsid w:val="006860C7"/>
    <w:rsid w:val="00687304"/>
    <w:rsid w:val="00687910"/>
    <w:rsid w:val="00687B8F"/>
    <w:rsid w:val="00687EDD"/>
    <w:rsid w:val="00691638"/>
    <w:rsid w:val="0069175D"/>
    <w:rsid w:val="0069269C"/>
    <w:rsid w:val="00692C71"/>
    <w:rsid w:val="00692F2C"/>
    <w:rsid w:val="00692F85"/>
    <w:rsid w:val="006931A0"/>
    <w:rsid w:val="006935BC"/>
    <w:rsid w:val="00693D99"/>
    <w:rsid w:val="00693E09"/>
    <w:rsid w:val="00694159"/>
    <w:rsid w:val="006947F0"/>
    <w:rsid w:val="00695E72"/>
    <w:rsid w:val="00696DD2"/>
    <w:rsid w:val="00696E55"/>
    <w:rsid w:val="006A0631"/>
    <w:rsid w:val="006A0B0E"/>
    <w:rsid w:val="006A0F24"/>
    <w:rsid w:val="006A0F96"/>
    <w:rsid w:val="006A15AF"/>
    <w:rsid w:val="006A15E2"/>
    <w:rsid w:val="006A1745"/>
    <w:rsid w:val="006A3A9C"/>
    <w:rsid w:val="006A3CC5"/>
    <w:rsid w:val="006A721F"/>
    <w:rsid w:val="006A7CCF"/>
    <w:rsid w:val="006B0581"/>
    <w:rsid w:val="006B0F36"/>
    <w:rsid w:val="006B1ACD"/>
    <w:rsid w:val="006B24C3"/>
    <w:rsid w:val="006B30FD"/>
    <w:rsid w:val="006B4254"/>
    <w:rsid w:val="006B4CA7"/>
    <w:rsid w:val="006B5CB4"/>
    <w:rsid w:val="006B64DD"/>
    <w:rsid w:val="006B6702"/>
    <w:rsid w:val="006B673F"/>
    <w:rsid w:val="006B6DCF"/>
    <w:rsid w:val="006B791B"/>
    <w:rsid w:val="006B7D49"/>
    <w:rsid w:val="006B7EAB"/>
    <w:rsid w:val="006C197A"/>
    <w:rsid w:val="006C19F6"/>
    <w:rsid w:val="006C2679"/>
    <w:rsid w:val="006C3656"/>
    <w:rsid w:val="006C457E"/>
    <w:rsid w:val="006C4793"/>
    <w:rsid w:val="006C499F"/>
    <w:rsid w:val="006C4DD1"/>
    <w:rsid w:val="006C63EF"/>
    <w:rsid w:val="006C6C78"/>
    <w:rsid w:val="006D0EDD"/>
    <w:rsid w:val="006D15F0"/>
    <w:rsid w:val="006D19DB"/>
    <w:rsid w:val="006D1BA7"/>
    <w:rsid w:val="006D20C8"/>
    <w:rsid w:val="006D2A3E"/>
    <w:rsid w:val="006D3213"/>
    <w:rsid w:val="006D3366"/>
    <w:rsid w:val="006D36FB"/>
    <w:rsid w:val="006D42ED"/>
    <w:rsid w:val="006D4512"/>
    <w:rsid w:val="006D4A49"/>
    <w:rsid w:val="006D4A83"/>
    <w:rsid w:val="006D4D1A"/>
    <w:rsid w:val="006D5982"/>
    <w:rsid w:val="006D5B43"/>
    <w:rsid w:val="006D5E0E"/>
    <w:rsid w:val="006D73F1"/>
    <w:rsid w:val="006E0CC1"/>
    <w:rsid w:val="006E287A"/>
    <w:rsid w:val="006E2A29"/>
    <w:rsid w:val="006E2C3C"/>
    <w:rsid w:val="006E3514"/>
    <w:rsid w:val="006E718D"/>
    <w:rsid w:val="006E7421"/>
    <w:rsid w:val="006E7647"/>
    <w:rsid w:val="006E77BA"/>
    <w:rsid w:val="006F0DDA"/>
    <w:rsid w:val="006F162C"/>
    <w:rsid w:val="006F1DA8"/>
    <w:rsid w:val="006F22E9"/>
    <w:rsid w:val="006F2410"/>
    <w:rsid w:val="006F28E1"/>
    <w:rsid w:val="006F2E48"/>
    <w:rsid w:val="006F32F1"/>
    <w:rsid w:val="006F4778"/>
    <w:rsid w:val="006F4AA5"/>
    <w:rsid w:val="006F4CFA"/>
    <w:rsid w:val="006F5181"/>
    <w:rsid w:val="006F5310"/>
    <w:rsid w:val="006F64B8"/>
    <w:rsid w:val="006F696E"/>
    <w:rsid w:val="006F6B91"/>
    <w:rsid w:val="007001BB"/>
    <w:rsid w:val="00700889"/>
    <w:rsid w:val="00700F30"/>
    <w:rsid w:val="0070207A"/>
    <w:rsid w:val="007035F0"/>
    <w:rsid w:val="007037AF"/>
    <w:rsid w:val="007040CB"/>
    <w:rsid w:val="00704E47"/>
    <w:rsid w:val="0070523B"/>
    <w:rsid w:val="00707190"/>
    <w:rsid w:val="00707D16"/>
    <w:rsid w:val="007126D5"/>
    <w:rsid w:val="007134E7"/>
    <w:rsid w:val="00715E8A"/>
    <w:rsid w:val="00717226"/>
    <w:rsid w:val="0071722F"/>
    <w:rsid w:val="00720DCB"/>
    <w:rsid w:val="00720FDD"/>
    <w:rsid w:val="007213F6"/>
    <w:rsid w:val="00721A2A"/>
    <w:rsid w:val="0072202F"/>
    <w:rsid w:val="00722883"/>
    <w:rsid w:val="0072349C"/>
    <w:rsid w:val="00723AF0"/>
    <w:rsid w:val="007249A2"/>
    <w:rsid w:val="00725F6D"/>
    <w:rsid w:val="00725F89"/>
    <w:rsid w:val="00727911"/>
    <w:rsid w:val="00727BCB"/>
    <w:rsid w:val="00727FA3"/>
    <w:rsid w:val="0073007E"/>
    <w:rsid w:val="007311E2"/>
    <w:rsid w:val="00732519"/>
    <w:rsid w:val="0073365B"/>
    <w:rsid w:val="00733817"/>
    <w:rsid w:val="00734F5A"/>
    <w:rsid w:val="0073525C"/>
    <w:rsid w:val="0073579D"/>
    <w:rsid w:val="00736B85"/>
    <w:rsid w:val="00736D97"/>
    <w:rsid w:val="00736DB5"/>
    <w:rsid w:val="007375D4"/>
    <w:rsid w:val="00737B8E"/>
    <w:rsid w:val="00737CEF"/>
    <w:rsid w:val="00737DDA"/>
    <w:rsid w:val="007410A6"/>
    <w:rsid w:val="00741375"/>
    <w:rsid w:val="00742E7E"/>
    <w:rsid w:val="00743B60"/>
    <w:rsid w:val="007461F3"/>
    <w:rsid w:val="007469F3"/>
    <w:rsid w:val="00746B57"/>
    <w:rsid w:val="00747D90"/>
    <w:rsid w:val="007501B9"/>
    <w:rsid w:val="00750623"/>
    <w:rsid w:val="00750F9B"/>
    <w:rsid w:val="00751CB9"/>
    <w:rsid w:val="00753CEF"/>
    <w:rsid w:val="00755091"/>
    <w:rsid w:val="0075624F"/>
    <w:rsid w:val="00756580"/>
    <w:rsid w:val="00756D96"/>
    <w:rsid w:val="007603EC"/>
    <w:rsid w:val="007611F2"/>
    <w:rsid w:val="007620C2"/>
    <w:rsid w:val="00763641"/>
    <w:rsid w:val="0076468F"/>
    <w:rsid w:val="00764B8E"/>
    <w:rsid w:val="00765199"/>
    <w:rsid w:val="007652DE"/>
    <w:rsid w:val="007668BA"/>
    <w:rsid w:val="00766EA2"/>
    <w:rsid w:val="00770596"/>
    <w:rsid w:val="007725A3"/>
    <w:rsid w:val="00772656"/>
    <w:rsid w:val="0077277D"/>
    <w:rsid w:val="00773300"/>
    <w:rsid w:val="00773643"/>
    <w:rsid w:val="00773A59"/>
    <w:rsid w:val="007747D4"/>
    <w:rsid w:val="00774963"/>
    <w:rsid w:val="00775443"/>
    <w:rsid w:val="00775771"/>
    <w:rsid w:val="007769F8"/>
    <w:rsid w:val="007775B5"/>
    <w:rsid w:val="00777BC3"/>
    <w:rsid w:val="007803E5"/>
    <w:rsid w:val="00781A85"/>
    <w:rsid w:val="00781B7F"/>
    <w:rsid w:val="00782DCB"/>
    <w:rsid w:val="00783906"/>
    <w:rsid w:val="00784156"/>
    <w:rsid w:val="00785E18"/>
    <w:rsid w:val="007874DE"/>
    <w:rsid w:val="0078769E"/>
    <w:rsid w:val="00790AD8"/>
    <w:rsid w:val="00791280"/>
    <w:rsid w:val="007933B3"/>
    <w:rsid w:val="00794D72"/>
    <w:rsid w:val="00797717"/>
    <w:rsid w:val="007A008E"/>
    <w:rsid w:val="007A048E"/>
    <w:rsid w:val="007A1741"/>
    <w:rsid w:val="007A19AF"/>
    <w:rsid w:val="007A1E9D"/>
    <w:rsid w:val="007A2801"/>
    <w:rsid w:val="007A47B0"/>
    <w:rsid w:val="007A4EEE"/>
    <w:rsid w:val="007A6B6B"/>
    <w:rsid w:val="007A6DAA"/>
    <w:rsid w:val="007A7EC8"/>
    <w:rsid w:val="007B032C"/>
    <w:rsid w:val="007B0607"/>
    <w:rsid w:val="007B1AF8"/>
    <w:rsid w:val="007B200D"/>
    <w:rsid w:val="007B235B"/>
    <w:rsid w:val="007B2A16"/>
    <w:rsid w:val="007B4B3F"/>
    <w:rsid w:val="007B64DA"/>
    <w:rsid w:val="007B787D"/>
    <w:rsid w:val="007B7B7B"/>
    <w:rsid w:val="007C006E"/>
    <w:rsid w:val="007C091F"/>
    <w:rsid w:val="007C164F"/>
    <w:rsid w:val="007C1E30"/>
    <w:rsid w:val="007C3165"/>
    <w:rsid w:val="007C37D3"/>
    <w:rsid w:val="007C3B5E"/>
    <w:rsid w:val="007C3E4D"/>
    <w:rsid w:val="007C58D6"/>
    <w:rsid w:val="007C5CC2"/>
    <w:rsid w:val="007C689E"/>
    <w:rsid w:val="007C69BE"/>
    <w:rsid w:val="007C732D"/>
    <w:rsid w:val="007D084C"/>
    <w:rsid w:val="007D1008"/>
    <w:rsid w:val="007D1B2A"/>
    <w:rsid w:val="007D1E3E"/>
    <w:rsid w:val="007D33AD"/>
    <w:rsid w:val="007D3B99"/>
    <w:rsid w:val="007D3C7B"/>
    <w:rsid w:val="007D485F"/>
    <w:rsid w:val="007D5B27"/>
    <w:rsid w:val="007D5C80"/>
    <w:rsid w:val="007D5CB1"/>
    <w:rsid w:val="007D62AE"/>
    <w:rsid w:val="007D6A13"/>
    <w:rsid w:val="007D70AC"/>
    <w:rsid w:val="007E013D"/>
    <w:rsid w:val="007E140D"/>
    <w:rsid w:val="007E2754"/>
    <w:rsid w:val="007E2E54"/>
    <w:rsid w:val="007E423C"/>
    <w:rsid w:val="007E4C48"/>
    <w:rsid w:val="007E5818"/>
    <w:rsid w:val="007E61A7"/>
    <w:rsid w:val="007E65D7"/>
    <w:rsid w:val="007E67FC"/>
    <w:rsid w:val="007E7DC0"/>
    <w:rsid w:val="007F1B91"/>
    <w:rsid w:val="007F227E"/>
    <w:rsid w:val="007F6249"/>
    <w:rsid w:val="007F66C3"/>
    <w:rsid w:val="007F6F1B"/>
    <w:rsid w:val="0080089C"/>
    <w:rsid w:val="00801899"/>
    <w:rsid w:val="00803318"/>
    <w:rsid w:val="00803456"/>
    <w:rsid w:val="008038CA"/>
    <w:rsid w:val="0080390A"/>
    <w:rsid w:val="0080396C"/>
    <w:rsid w:val="00804F95"/>
    <w:rsid w:val="00805D69"/>
    <w:rsid w:val="00811BBD"/>
    <w:rsid w:val="00812976"/>
    <w:rsid w:val="00812EB1"/>
    <w:rsid w:val="0081351E"/>
    <w:rsid w:val="00814DEF"/>
    <w:rsid w:val="00816FB6"/>
    <w:rsid w:val="0082001C"/>
    <w:rsid w:val="00820079"/>
    <w:rsid w:val="00821398"/>
    <w:rsid w:val="008215F5"/>
    <w:rsid w:val="008219BB"/>
    <w:rsid w:val="0082239E"/>
    <w:rsid w:val="00823B80"/>
    <w:rsid w:val="00824232"/>
    <w:rsid w:val="00824524"/>
    <w:rsid w:val="00825A87"/>
    <w:rsid w:val="00827D4F"/>
    <w:rsid w:val="00831B9B"/>
    <w:rsid w:val="00832381"/>
    <w:rsid w:val="0083285D"/>
    <w:rsid w:val="00835008"/>
    <w:rsid w:val="00835020"/>
    <w:rsid w:val="00840B41"/>
    <w:rsid w:val="00840DF6"/>
    <w:rsid w:val="00842A7E"/>
    <w:rsid w:val="008434EB"/>
    <w:rsid w:val="00844D3D"/>
    <w:rsid w:val="00845296"/>
    <w:rsid w:val="0084532E"/>
    <w:rsid w:val="00845810"/>
    <w:rsid w:val="00845F3C"/>
    <w:rsid w:val="00846025"/>
    <w:rsid w:val="00846159"/>
    <w:rsid w:val="00846CC0"/>
    <w:rsid w:val="008505C3"/>
    <w:rsid w:val="00851275"/>
    <w:rsid w:val="00851677"/>
    <w:rsid w:val="008520CE"/>
    <w:rsid w:val="008522C6"/>
    <w:rsid w:val="00852E40"/>
    <w:rsid w:val="00855292"/>
    <w:rsid w:val="00856475"/>
    <w:rsid w:val="00857A90"/>
    <w:rsid w:val="00857CDD"/>
    <w:rsid w:val="0086046F"/>
    <w:rsid w:val="00860EA8"/>
    <w:rsid w:val="0086472B"/>
    <w:rsid w:val="00865B83"/>
    <w:rsid w:val="008663DF"/>
    <w:rsid w:val="00866494"/>
    <w:rsid w:val="00866CC6"/>
    <w:rsid w:val="00867C04"/>
    <w:rsid w:val="008709D4"/>
    <w:rsid w:val="008729D9"/>
    <w:rsid w:val="00872A77"/>
    <w:rsid w:val="0087368E"/>
    <w:rsid w:val="0087529B"/>
    <w:rsid w:val="00875FFE"/>
    <w:rsid w:val="00876735"/>
    <w:rsid w:val="008777A2"/>
    <w:rsid w:val="008802D9"/>
    <w:rsid w:val="00880B98"/>
    <w:rsid w:val="00881E0B"/>
    <w:rsid w:val="00881F26"/>
    <w:rsid w:val="00882330"/>
    <w:rsid w:val="008838A1"/>
    <w:rsid w:val="0088488F"/>
    <w:rsid w:val="0088516E"/>
    <w:rsid w:val="008864CF"/>
    <w:rsid w:val="0088685E"/>
    <w:rsid w:val="0088689E"/>
    <w:rsid w:val="0088697A"/>
    <w:rsid w:val="00886AE3"/>
    <w:rsid w:val="00887960"/>
    <w:rsid w:val="0089003E"/>
    <w:rsid w:val="008904FE"/>
    <w:rsid w:val="0089103C"/>
    <w:rsid w:val="00891794"/>
    <w:rsid w:val="00891929"/>
    <w:rsid w:val="00892870"/>
    <w:rsid w:val="00893176"/>
    <w:rsid w:val="00893A50"/>
    <w:rsid w:val="008948E8"/>
    <w:rsid w:val="00894918"/>
    <w:rsid w:val="00894F0B"/>
    <w:rsid w:val="00895446"/>
    <w:rsid w:val="00895451"/>
    <w:rsid w:val="00896117"/>
    <w:rsid w:val="00896D5C"/>
    <w:rsid w:val="00897588"/>
    <w:rsid w:val="00897C8F"/>
    <w:rsid w:val="008A05E4"/>
    <w:rsid w:val="008A06E6"/>
    <w:rsid w:val="008A2098"/>
    <w:rsid w:val="008A26FF"/>
    <w:rsid w:val="008A32D1"/>
    <w:rsid w:val="008A4A97"/>
    <w:rsid w:val="008A6883"/>
    <w:rsid w:val="008A7B50"/>
    <w:rsid w:val="008B03D8"/>
    <w:rsid w:val="008B0803"/>
    <w:rsid w:val="008B0AC3"/>
    <w:rsid w:val="008B2E96"/>
    <w:rsid w:val="008B4290"/>
    <w:rsid w:val="008B49D8"/>
    <w:rsid w:val="008B61CD"/>
    <w:rsid w:val="008B7D53"/>
    <w:rsid w:val="008C314C"/>
    <w:rsid w:val="008C4A61"/>
    <w:rsid w:val="008C4CB3"/>
    <w:rsid w:val="008C4F0F"/>
    <w:rsid w:val="008C4FC4"/>
    <w:rsid w:val="008C65CF"/>
    <w:rsid w:val="008C6992"/>
    <w:rsid w:val="008C6AA3"/>
    <w:rsid w:val="008C6CFD"/>
    <w:rsid w:val="008C7D07"/>
    <w:rsid w:val="008C7F38"/>
    <w:rsid w:val="008D13A4"/>
    <w:rsid w:val="008D1656"/>
    <w:rsid w:val="008D1FEE"/>
    <w:rsid w:val="008D2CAF"/>
    <w:rsid w:val="008D32C3"/>
    <w:rsid w:val="008D3B9E"/>
    <w:rsid w:val="008D42AB"/>
    <w:rsid w:val="008D55C9"/>
    <w:rsid w:val="008D5670"/>
    <w:rsid w:val="008D62A3"/>
    <w:rsid w:val="008E21BE"/>
    <w:rsid w:val="008E5493"/>
    <w:rsid w:val="008E62E8"/>
    <w:rsid w:val="008E7460"/>
    <w:rsid w:val="008E7585"/>
    <w:rsid w:val="008F0512"/>
    <w:rsid w:val="008F0881"/>
    <w:rsid w:val="008F1E33"/>
    <w:rsid w:val="008F2E5C"/>
    <w:rsid w:val="008F3D68"/>
    <w:rsid w:val="008F4B3B"/>
    <w:rsid w:val="008F61DE"/>
    <w:rsid w:val="008F646F"/>
    <w:rsid w:val="00901052"/>
    <w:rsid w:val="0090123E"/>
    <w:rsid w:val="00902208"/>
    <w:rsid w:val="00906205"/>
    <w:rsid w:val="00906982"/>
    <w:rsid w:val="00906CEC"/>
    <w:rsid w:val="009076D0"/>
    <w:rsid w:val="00910271"/>
    <w:rsid w:val="00910685"/>
    <w:rsid w:val="00910700"/>
    <w:rsid w:val="00914F38"/>
    <w:rsid w:val="00915026"/>
    <w:rsid w:val="0091678D"/>
    <w:rsid w:val="00917111"/>
    <w:rsid w:val="0091776B"/>
    <w:rsid w:val="00920396"/>
    <w:rsid w:val="00920878"/>
    <w:rsid w:val="00920F4F"/>
    <w:rsid w:val="009218C0"/>
    <w:rsid w:val="00921C21"/>
    <w:rsid w:val="00922518"/>
    <w:rsid w:val="0092406A"/>
    <w:rsid w:val="00924D32"/>
    <w:rsid w:val="00925D9F"/>
    <w:rsid w:val="00925E5E"/>
    <w:rsid w:val="0092657D"/>
    <w:rsid w:val="00927B7F"/>
    <w:rsid w:val="00927CD1"/>
    <w:rsid w:val="0093072A"/>
    <w:rsid w:val="009314EF"/>
    <w:rsid w:val="00931DF5"/>
    <w:rsid w:val="00931E1D"/>
    <w:rsid w:val="00932B67"/>
    <w:rsid w:val="0093371A"/>
    <w:rsid w:val="0093371E"/>
    <w:rsid w:val="00933C1F"/>
    <w:rsid w:val="00935018"/>
    <w:rsid w:val="00935219"/>
    <w:rsid w:val="0093671F"/>
    <w:rsid w:val="0093688C"/>
    <w:rsid w:val="00936984"/>
    <w:rsid w:val="00936A2F"/>
    <w:rsid w:val="00937D0C"/>
    <w:rsid w:val="00937F0D"/>
    <w:rsid w:val="009416B9"/>
    <w:rsid w:val="00941D1F"/>
    <w:rsid w:val="00942CEF"/>
    <w:rsid w:val="0094366C"/>
    <w:rsid w:val="00944B4A"/>
    <w:rsid w:val="00944BB6"/>
    <w:rsid w:val="00945554"/>
    <w:rsid w:val="00945D33"/>
    <w:rsid w:val="0094660B"/>
    <w:rsid w:val="0094666B"/>
    <w:rsid w:val="00946DA4"/>
    <w:rsid w:val="009474AE"/>
    <w:rsid w:val="009479C0"/>
    <w:rsid w:val="009500D7"/>
    <w:rsid w:val="00950914"/>
    <w:rsid w:val="00950C51"/>
    <w:rsid w:val="00951973"/>
    <w:rsid w:val="0095252E"/>
    <w:rsid w:val="00952591"/>
    <w:rsid w:val="00952C90"/>
    <w:rsid w:val="00953ADF"/>
    <w:rsid w:val="00953B55"/>
    <w:rsid w:val="009541D7"/>
    <w:rsid w:val="0095579B"/>
    <w:rsid w:val="009560A7"/>
    <w:rsid w:val="0095717E"/>
    <w:rsid w:val="00957E73"/>
    <w:rsid w:val="00960489"/>
    <w:rsid w:val="0096135C"/>
    <w:rsid w:val="00962544"/>
    <w:rsid w:val="00963155"/>
    <w:rsid w:val="00963183"/>
    <w:rsid w:val="00963538"/>
    <w:rsid w:val="00966AC0"/>
    <w:rsid w:val="00970C0D"/>
    <w:rsid w:val="00970DEC"/>
    <w:rsid w:val="00971145"/>
    <w:rsid w:val="00971539"/>
    <w:rsid w:val="00971A75"/>
    <w:rsid w:val="00972940"/>
    <w:rsid w:val="00972B7E"/>
    <w:rsid w:val="009746D7"/>
    <w:rsid w:val="00974745"/>
    <w:rsid w:val="00976F02"/>
    <w:rsid w:val="009777FE"/>
    <w:rsid w:val="00977B7C"/>
    <w:rsid w:val="009808B4"/>
    <w:rsid w:val="00983391"/>
    <w:rsid w:val="00984821"/>
    <w:rsid w:val="009877EC"/>
    <w:rsid w:val="00987A53"/>
    <w:rsid w:val="0099047E"/>
    <w:rsid w:val="00992EC8"/>
    <w:rsid w:val="0099325E"/>
    <w:rsid w:val="0099353F"/>
    <w:rsid w:val="00995229"/>
    <w:rsid w:val="00995CC1"/>
    <w:rsid w:val="00995E78"/>
    <w:rsid w:val="009961A7"/>
    <w:rsid w:val="00996AFD"/>
    <w:rsid w:val="0099716A"/>
    <w:rsid w:val="009971E2"/>
    <w:rsid w:val="009A0339"/>
    <w:rsid w:val="009A0593"/>
    <w:rsid w:val="009A2475"/>
    <w:rsid w:val="009A2797"/>
    <w:rsid w:val="009A2927"/>
    <w:rsid w:val="009A2C14"/>
    <w:rsid w:val="009A3701"/>
    <w:rsid w:val="009A3D97"/>
    <w:rsid w:val="009A3ED6"/>
    <w:rsid w:val="009A598B"/>
    <w:rsid w:val="009A5FC5"/>
    <w:rsid w:val="009A698B"/>
    <w:rsid w:val="009A6D16"/>
    <w:rsid w:val="009A769B"/>
    <w:rsid w:val="009A7A2F"/>
    <w:rsid w:val="009B2235"/>
    <w:rsid w:val="009B2D86"/>
    <w:rsid w:val="009B3F94"/>
    <w:rsid w:val="009B5938"/>
    <w:rsid w:val="009B5DCA"/>
    <w:rsid w:val="009B5E70"/>
    <w:rsid w:val="009B60C1"/>
    <w:rsid w:val="009B621A"/>
    <w:rsid w:val="009B672F"/>
    <w:rsid w:val="009B6EAB"/>
    <w:rsid w:val="009B718D"/>
    <w:rsid w:val="009B7CCE"/>
    <w:rsid w:val="009C08E3"/>
    <w:rsid w:val="009C0BCC"/>
    <w:rsid w:val="009C396B"/>
    <w:rsid w:val="009C3C03"/>
    <w:rsid w:val="009C3FA3"/>
    <w:rsid w:val="009C45D9"/>
    <w:rsid w:val="009C4EF3"/>
    <w:rsid w:val="009C5DBA"/>
    <w:rsid w:val="009C5E84"/>
    <w:rsid w:val="009C6530"/>
    <w:rsid w:val="009C6714"/>
    <w:rsid w:val="009C6F32"/>
    <w:rsid w:val="009C7D79"/>
    <w:rsid w:val="009D01AA"/>
    <w:rsid w:val="009D2707"/>
    <w:rsid w:val="009D2BEF"/>
    <w:rsid w:val="009D2EA5"/>
    <w:rsid w:val="009D358E"/>
    <w:rsid w:val="009D540B"/>
    <w:rsid w:val="009D5AA8"/>
    <w:rsid w:val="009D5CDB"/>
    <w:rsid w:val="009D7187"/>
    <w:rsid w:val="009D783B"/>
    <w:rsid w:val="009E01DD"/>
    <w:rsid w:val="009E0FAA"/>
    <w:rsid w:val="009E17A5"/>
    <w:rsid w:val="009E287B"/>
    <w:rsid w:val="009E2F8A"/>
    <w:rsid w:val="009E4238"/>
    <w:rsid w:val="009E47BD"/>
    <w:rsid w:val="009E547A"/>
    <w:rsid w:val="009E5EB3"/>
    <w:rsid w:val="009E6561"/>
    <w:rsid w:val="009E75BA"/>
    <w:rsid w:val="009E7D07"/>
    <w:rsid w:val="009F03AE"/>
    <w:rsid w:val="009F1074"/>
    <w:rsid w:val="009F30C8"/>
    <w:rsid w:val="009F3D93"/>
    <w:rsid w:val="009F4054"/>
    <w:rsid w:val="009F4BF1"/>
    <w:rsid w:val="009F4E51"/>
    <w:rsid w:val="009F553D"/>
    <w:rsid w:val="009F58D8"/>
    <w:rsid w:val="00A022D1"/>
    <w:rsid w:val="00A02F7D"/>
    <w:rsid w:val="00A03791"/>
    <w:rsid w:val="00A0469D"/>
    <w:rsid w:val="00A04822"/>
    <w:rsid w:val="00A0546D"/>
    <w:rsid w:val="00A06657"/>
    <w:rsid w:val="00A1085D"/>
    <w:rsid w:val="00A108FC"/>
    <w:rsid w:val="00A127A7"/>
    <w:rsid w:val="00A12DA0"/>
    <w:rsid w:val="00A14524"/>
    <w:rsid w:val="00A145EA"/>
    <w:rsid w:val="00A14E54"/>
    <w:rsid w:val="00A156D2"/>
    <w:rsid w:val="00A16DFA"/>
    <w:rsid w:val="00A17C0A"/>
    <w:rsid w:val="00A20CA8"/>
    <w:rsid w:val="00A214BE"/>
    <w:rsid w:val="00A215BF"/>
    <w:rsid w:val="00A22FA7"/>
    <w:rsid w:val="00A238D0"/>
    <w:rsid w:val="00A250A3"/>
    <w:rsid w:val="00A31F05"/>
    <w:rsid w:val="00A33919"/>
    <w:rsid w:val="00A33B10"/>
    <w:rsid w:val="00A34514"/>
    <w:rsid w:val="00A346B2"/>
    <w:rsid w:val="00A3573C"/>
    <w:rsid w:val="00A3601F"/>
    <w:rsid w:val="00A36505"/>
    <w:rsid w:val="00A36968"/>
    <w:rsid w:val="00A36EC5"/>
    <w:rsid w:val="00A36F0C"/>
    <w:rsid w:val="00A37593"/>
    <w:rsid w:val="00A4033C"/>
    <w:rsid w:val="00A41149"/>
    <w:rsid w:val="00A41F11"/>
    <w:rsid w:val="00A4240F"/>
    <w:rsid w:val="00A4449E"/>
    <w:rsid w:val="00A44745"/>
    <w:rsid w:val="00A44F15"/>
    <w:rsid w:val="00A468D5"/>
    <w:rsid w:val="00A46C80"/>
    <w:rsid w:val="00A47B7B"/>
    <w:rsid w:val="00A50621"/>
    <w:rsid w:val="00A54175"/>
    <w:rsid w:val="00A56809"/>
    <w:rsid w:val="00A57F22"/>
    <w:rsid w:val="00A600FC"/>
    <w:rsid w:val="00A60ACA"/>
    <w:rsid w:val="00A60D9A"/>
    <w:rsid w:val="00A61338"/>
    <w:rsid w:val="00A61569"/>
    <w:rsid w:val="00A62BC2"/>
    <w:rsid w:val="00A634F0"/>
    <w:rsid w:val="00A63A07"/>
    <w:rsid w:val="00A6421E"/>
    <w:rsid w:val="00A654A2"/>
    <w:rsid w:val="00A65651"/>
    <w:rsid w:val="00A67183"/>
    <w:rsid w:val="00A6731F"/>
    <w:rsid w:val="00A70079"/>
    <w:rsid w:val="00A73902"/>
    <w:rsid w:val="00A73C66"/>
    <w:rsid w:val="00A741D5"/>
    <w:rsid w:val="00A76391"/>
    <w:rsid w:val="00A76452"/>
    <w:rsid w:val="00A8194A"/>
    <w:rsid w:val="00A82FA2"/>
    <w:rsid w:val="00A834DE"/>
    <w:rsid w:val="00A83A95"/>
    <w:rsid w:val="00A83F5F"/>
    <w:rsid w:val="00A84DF8"/>
    <w:rsid w:val="00A86245"/>
    <w:rsid w:val="00A86D3D"/>
    <w:rsid w:val="00A9013E"/>
    <w:rsid w:val="00A906CE"/>
    <w:rsid w:val="00A90C92"/>
    <w:rsid w:val="00A915E6"/>
    <w:rsid w:val="00A915F3"/>
    <w:rsid w:val="00A94B17"/>
    <w:rsid w:val="00A94F1F"/>
    <w:rsid w:val="00A95347"/>
    <w:rsid w:val="00A955D8"/>
    <w:rsid w:val="00A95F00"/>
    <w:rsid w:val="00A96206"/>
    <w:rsid w:val="00A97985"/>
    <w:rsid w:val="00AA05BE"/>
    <w:rsid w:val="00AA0B19"/>
    <w:rsid w:val="00AA0DEF"/>
    <w:rsid w:val="00AA268B"/>
    <w:rsid w:val="00AA349C"/>
    <w:rsid w:val="00AA471D"/>
    <w:rsid w:val="00AA4B1C"/>
    <w:rsid w:val="00AA4E5B"/>
    <w:rsid w:val="00AA6188"/>
    <w:rsid w:val="00AA727F"/>
    <w:rsid w:val="00AA7E33"/>
    <w:rsid w:val="00AB265E"/>
    <w:rsid w:val="00AB2896"/>
    <w:rsid w:val="00AB2948"/>
    <w:rsid w:val="00AB39FA"/>
    <w:rsid w:val="00AB3B30"/>
    <w:rsid w:val="00AB426C"/>
    <w:rsid w:val="00AB451C"/>
    <w:rsid w:val="00AB59F2"/>
    <w:rsid w:val="00AB6C22"/>
    <w:rsid w:val="00AB6C7A"/>
    <w:rsid w:val="00AB6E1C"/>
    <w:rsid w:val="00AB7E9C"/>
    <w:rsid w:val="00AC0068"/>
    <w:rsid w:val="00AC0D03"/>
    <w:rsid w:val="00AC18F0"/>
    <w:rsid w:val="00AC2BFA"/>
    <w:rsid w:val="00AC3907"/>
    <w:rsid w:val="00AC3B43"/>
    <w:rsid w:val="00AC3E62"/>
    <w:rsid w:val="00AC5620"/>
    <w:rsid w:val="00AC5AF9"/>
    <w:rsid w:val="00AC5C31"/>
    <w:rsid w:val="00AC5DF6"/>
    <w:rsid w:val="00AC5EEE"/>
    <w:rsid w:val="00AC6192"/>
    <w:rsid w:val="00AC6405"/>
    <w:rsid w:val="00AC6DE6"/>
    <w:rsid w:val="00AC74FD"/>
    <w:rsid w:val="00AC7C56"/>
    <w:rsid w:val="00AC7EAF"/>
    <w:rsid w:val="00AD19D8"/>
    <w:rsid w:val="00AD1A21"/>
    <w:rsid w:val="00AD1DC6"/>
    <w:rsid w:val="00AD209D"/>
    <w:rsid w:val="00AD2153"/>
    <w:rsid w:val="00AD2F03"/>
    <w:rsid w:val="00AD3220"/>
    <w:rsid w:val="00AD5511"/>
    <w:rsid w:val="00AD57FE"/>
    <w:rsid w:val="00AD6933"/>
    <w:rsid w:val="00AD6A6F"/>
    <w:rsid w:val="00AD6B7B"/>
    <w:rsid w:val="00AD7CAB"/>
    <w:rsid w:val="00AD7E99"/>
    <w:rsid w:val="00AE04A6"/>
    <w:rsid w:val="00AE0D6A"/>
    <w:rsid w:val="00AE10BE"/>
    <w:rsid w:val="00AE16C9"/>
    <w:rsid w:val="00AE207B"/>
    <w:rsid w:val="00AE2AA9"/>
    <w:rsid w:val="00AE3050"/>
    <w:rsid w:val="00AE30EB"/>
    <w:rsid w:val="00AE341C"/>
    <w:rsid w:val="00AE3EF5"/>
    <w:rsid w:val="00AE400F"/>
    <w:rsid w:val="00AE423A"/>
    <w:rsid w:val="00AE471D"/>
    <w:rsid w:val="00AE4BD4"/>
    <w:rsid w:val="00AE4F2A"/>
    <w:rsid w:val="00AE553A"/>
    <w:rsid w:val="00AE5F33"/>
    <w:rsid w:val="00AE69E1"/>
    <w:rsid w:val="00AF0AD5"/>
    <w:rsid w:val="00AF0F4A"/>
    <w:rsid w:val="00AF1301"/>
    <w:rsid w:val="00AF15E6"/>
    <w:rsid w:val="00AF202F"/>
    <w:rsid w:val="00AF3335"/>
    <w:rsid w:val="00AF3DBC"/>
    <w:rsid w:val="00AF3F9B"/>
    <w:rsid w:val="00AF408A"/>
    <w:rsid w:val="00AF51E7"/>
    <w:rsid w:val="00AF6744"/>
    <w:rsid w:val="00AF7264"/>
    <w:rsid w:val="00B00097"/>
    <w:rsid w:val="00B0191A"/>
    <w:rsid w:val="00B03573"/>
    <w:rsid w:val="00B038B7"/>
    <w:rsid w:val="00B03A2C"/>
    <w:rsid w:val="00B05620"/>
    <w:rsid w:val="00B06EDF"/>
    <w:rsid w:val="00B10610"/>
    <w:rsid w:val="00B11493"/>
    <w:rsid w:val="00B115B0"/>
    <w:rsid w:val="00B12E05"/>
    <w:rsid w:val="00B12EBE"/>
    <w:rsid w:val="00B1421B"/>
    <w:rsid w:val="00B14717"/>
    <w:rsid w:val="00B1537E"/>
    <w:rsid w:val="00B1549E"/>
    <w:rsid w:val="00B16431"/>
    <w:rsid w:val="00B16592"/>
    <w:rsid w:val="00B166A4"/>
    <w:rsid w:val="00B16921"/>
    <w:rsid w:val="00B1728C"/>
    <w:rsid w:val="00B177D7"/>
    <w:rsid w:val="00B219B7"/>
    <w:rsid w:val="00B23AB0"/>
    <w:rsid w:val="00B249E9"/>
    <w:rsid w:val="00B24DE9"/>
    <w:rsid w:val="00B24F37"/>
    <w:rsid w:val="00B25038"/>
    <w:rsid w:val="00B2647A"/>
    <w:rsid w:val="00B264D1"/>
    <w:rsid w:val="00B267AF"/>
    <w:rsid w:val="00B26886"/>
    <w:rsid w:val="00B26AA2"/>
    <w:rsid w:val="00B26CAE"/>
    <w:rsid w:val="00B27FF1"/>
    <w:rsid w:val="00B30F61"/>
    <w:rsid w:val="00B3159A"/>
    <w:rsid w:val="00B321CF"/>
    <w:rsid w:val="00B33465"/>
    <w:rsid w:val="00B35C09"/>
    <w:rsid w:val="00B3625A"/>
    <w:rsid w:val="00B36AE7"/>
    <w:rsid w:val="00B37213"/>
    <w:rsid w:val="00B372FC"/>
    <w:rsid w:val="00B379C5"/>
    <w:rsid w:val="00B37AE5"/>
    <w:rsid w:val="00B4183F"/>
    <w:rsid w:val="00B42198"/>
    <w:rsid w:val="00B42D53"/>
    <w:rsid w:val="00B43ADD"/>
    <w:rsid w:val="00B45D34"/>
    <w:rsid w:val="00B46561"/>
    <w:rsid w:val="00B46AD2"/>
    <w:rsid w:val="00B4772E"/>
    <w:rsid w:val="00B500EC"/>
    <w:rsid w:val="00B52AD4"/>
    <w:rsid w:val="00B538F2"/>
    <w:rsid w:val="00B546D0"/>
    <w:rsid w:val="00B559E2"/>
    <w:rsid w:val="00B562B3"/>
    <w:rsid w:val="00B57268"/>
    <w:rsid w:val="00B57C8A"/>
    <w:rsid w:val="00B614D0"/>
    <w:rsid w:val="00B62ED5"/>
    <w:rsid w:val="00B633DC"/>
    <w:rsid w:val="00B63EDA"/>
    <w:rsid w:val="00B64BBE"/>
    <w:rsid w:val="00B65BB9"/>
    <w:rsid w:val="00B65D17"/>
    <w:rsid w:val="00B6627D"/>
    <w:rsid w:val="00B66E73"/>
    <w:rsid w:val="00B67DE1"/>
    <w:rsid w:val="00B67F04"/>
    <w:rsid w:val="00B702D9"/>
    <w:rsid w:val="00B706D4"/>
    <w:rsid w:val="00B70CC6"/>
    <w:rsid w:val="00B70D80"/>
    <w:rsid w:val="00B71637"/>
    <w:rsid w:val="00B723A8"/>
    <w:rsid w:val="00B72BFA"/>
    <w:rsid w:val="00B73894"/>
    <w:rsid w:val="00B7465B"/>
    <w:rsid w:val="00B75281"/>
    <w:rsid w:val="00B75F61"/>
    <w:rsid w:val="00B766DD"/>
    <w:rsid w:val="00B770D5"/>
    <w:rsid w:val="00B776B5"/>
    <w:rsid w:val="00B77D98"/>
    <w:rsid w:val="00B80E16"/>
    <w:rsid w:val="00B8193F"/>
    <w:rsid w:val="00B81E96"/>
    <w:rsid w:val="00B81FF0"/>
    <w:rsid w:val="00B82A82"/>
    <w:rsid w:val="00B82C11"/>
    <w:rsid w:val="00B83D9E"/>
    <w:rsid w:val="00B83EC3"/>
    <w:rsid w:val="00B8464A"/>
    <w:rsid w:val="00B8473D"/>
    <w:rsid w:val="00B8683D"/>
    <w:rsid w:val="00B86EE3"/>
    <w:rsid w:val="00B86F55"/>
    <w:rsid w:val="00B90410"/>
    <w:rsid w:val="00B90E10"/>
    <w:rsid w:val="00B91416"/>
    <w:rsid w:val="00B9234B"/>
    <w:rsid w:val="00B93627"/>
    <w:rsid w:val="00B93717"/>
    <w:rsid w:val="00B9608D"/>
    <w:rsid w:val="00B964CA"/>
    <w:rsid w:val="00B969D7"/>
    <w:rsid w:val="00B97000"/>
    <w:rsid w:val="00B97154"/>
    <w:rsid w:val="00B97BC7"/>
    <w:rsid w:val="00BA31C4"/>
    <w:rsid w:val="00BA424A"/>
    <w:rsid w:val="00BA455F"/>
    <w:rsid w:val="00BA4655"/>
    <w:rsid w:val="00BA78B6"/>
    <w:rsid w:val="00BA7935"/>
    <w:rsid w:val="00BB047B"/>
    <w:rsid w:val="00BB1927"/>
    <w:rsid w:val="00BB2561"/>
    <w:rsid w:val="00BB25CA"/>
    <w:rsid w:val="00BB31E0"/>
    <w:rsid w:val="00BB4818"/>
    <w:rsid w:val="00BB4AF3"/>
    <w:rsid w:val="00BB5FC5"/>
    <w:rsid w:val="00BB6398"/>
    <w:rsid w:val="00BB65A4"/>
    <w:rsid w:val="00BB67B4"/>
    <w:rsid w:val="00BC0325"/>
    <w:rsid w:val="00BC0511"/>
    <w:rsid w:val="00BC1011"/>
    <w:rsid w:val="00BC25EF"/>
    <w:rsid w:val="00BC2DAF"/>
    <w:rsid w:val="00BC497F"/>
    <w:rsid w:val="00BC4FD3"/>
    <w:rsid w:val="00BC545B"/>
    <w:rsid w:val="00BC6151"/>
    <w:rsid w:val="00BC61BC"/>
    <w:rsid w:val="00BC6827"/>
    <w:rsid w:val="00BC6854"/>
    <w:rsid w:val="00BC6C7A"/>
    <w:rsid w:val="00BC7D9E"/>
    <w:rsid w:val="00BC7EC7"/>
    <w:rsid w:val="00BD0094"/>
    <w:rsid w:val="00BD0372"/>
    <w:rsid w:val="00BD05D6"/>
    <w:rsid w:val="00BD3512"/>
    <w:rsid w:val="00BD44F5"/>
    <w:rsid w:val="00BD483D"/>
    <w:rsid w:val="00BD5509"/>
    <w:rsid w:val="00BD5BB3"/>
    <w:rsid w:val="00BD647F"/>
    <w:rsid w:val="00BE139D"/>
    <w:rsid w:val="00BE29D1"/>
    <w:rsid w:val="00BE3F33"/>
    <w:rsid w:val="00BE4340"/>
    <w:rsid w:val="00BE4824"/>
    <w:rsid w:val="00BE4FBE"/>
    <w:rsid w:val="00BE5C41"/>
    <w:rsid w:val="00BF0646"/>
    <w:rsid w:val="00BF0D48"/>
    <w:rsid w:val="00BF15A0"/>
    <w:rsid w:val="00BF188E"/>
    <w:rsid w:val="00BF1C32"/>
    <w:rsid w:val="00BF2BA5"/>
    <w:rsid w:val="00BF686B"/>
    <w:rsid w:val="00BF76A6"/>
    <w:rsid w:val="00BF77A7"/>
    <w:rsid w:val="00C002C6"/>
    <w:rsid w:val="00C0068D"/>
    <w:rsid w:val="00C00E23"/>
    <w:rsid w:val="00C0196C"/>
    <w:rsid w:val="00C01F23"/>
    <w:rsid w:val="00C023BF"/>
    <w:rsid w:val="00C0384E"/>
    <w:rsid w:val="00C044BE"/>
    <w:rsid w:val="00C049A7"/>
    <w:rsid w:val="00C04BAB"/>
    <w:rsid w:val="00C0607B"/>
    <w:rsid w:val="00C062E5"/>
    <w:rsid w:val="00C06836"/>
    <w:rsid w:val="00C06DEF"/>
    <w:rsid w:val="00C075A2"/>
    <w:rsid w:val="00C07D36"/>
    <w:rsid w:val="00C07D92"/>
    <w:rsid w:val="00C107CB"/>
    <w:rsid w:val="00C1099B"/>
    <w:rsid w:val="00C10DF8"/>
    <w:rsid w:val="00C11197"/>
    <w:rsid w:val="00C118C4"/>
    <w:rsid w:val="00C11F58"/>
    <w:rsid w:val="00C120D7"/>
    <w:rsid w:val="00C132D1"/>
    <w:rsid w:val="00C139CA"/>
    <w:rsid w:val="00C13A7D"/>
    <w:rsid w:val="00C141A3"/>
    <w:rsid w:val="00C1551F"/>
    <w:rsid w:val="00C1572A"/>
    <w:rsid w:val="00C160E1"/>
    <w:rsid w:val="00C17033"/>
    <w:rsid w:val="00C20B1A"/>
    <w:rsid w:val="00C219F1"/>
    <w:rsid w:val="00C21ED1"/>
    <w:rsid w:val="00C224A6"/>
    <w:rsid w:val="00C23364"/>
    <w:rsid w:val="00C241A8"/>
    <w:rsid w:val="00C24ABA"/>
    <w:rsid w:val="00C251F9"/>
    <w:rsid w:val="00C25475"/>
    <w:rsid w:val="00C2641C"/>
    <w:rsid w:val="00C264CB"/>
    <w:rsid w:val="00C27639"/>
    <w:rsid w:val="00C27BFA"/>
    <w:rsid w:val="00C30980"/>
    <w:rsid w:val="00C31253"/>
    <w:rsid w:val="00C31BF2"/>
    <w:rsid w:val="00C32390"/>
    <w:rsid w:val="00C323F1"/>
    <w:rsid w:val="00C32B7A"/>
    <w:rsid w:val="00C34E6A"/>
    <w:rsid w:val="00C35129"/>
    <w:rsid w:val="00C40592"/>
    <w:rsid w:val="00C40813"/>
    <w:rsid w:val="00C41197"/>
    <w:rsid w:val="00C413D6"/>
    <w:rsid w:val="00C419DB"/>
    <w:rsid w:val="00C43016"/>
    <w:rsid w:val="00C445B1"/>
    <w:rsid w:val="00C44FA6"/>
    <w:rsid w:val="00C45252"/>
    <w:rsid w:val="00C457D8"/>
    <w:rsid w:val="00C46011"/>
    <w:rsid w:val="00C46168"/>
    <w:rsid w:val="00C461AE"/>
    <w:rsid w:val="00C476F1"/>
    <w:rsid w:val="00C507D2"/>
    <w:rsid w:val="00C51429"/>
    <w:rsid w:val="00C51E8F"/>
    <w:rsid w:val="00C521A1"/>
    <w:rsid w:val="00C52CE9"/>
    <w:rsid w:val="00C52FC0"/>
    <w:rsid w:val="00C53F9E"/>
    <w:rsid w:val="00C55873"/>
    <w:rsid w:val="00C559E9"/>
    <w:rsid w:val="00C608C1"/>
    <w:rsid w:val="00C60B71"/>
    <w:rsid w:val="00C61360"/>
    <w:rsid w:val="00C6198B"/>
    <w:rsid w:val="00C62163"/>
    <w:rsid w:val="00C62441"/>
    <w:rsid w:val="00C6264A"/>
    <w:rsid w:val="00C63885"/>
    <w:rsid w:val="00C63ACB"/>
    <w:rsid w:val="00C63B49"/>
    <w:rsid w:val="00C63D4E"/>
    <w:rsid w:val="00C63EA9"/>
    <w:rsid w:val="00C640AD"/>
    <w:rsid w:val="00C64A47"/>
    <w:rsid w:val="00C661EF"/>
    <w:rsid w:val="00C665A0"/>
    <w:rsid w:val="00C66705"/>
    <w:rsid w:val="00C6681A"/>
    <w:rsid w:val="00C67725"/>
    <w:rsid w:val="00C679AD"/>
    <w:rsid w:val="00C700F3"/>
    <w:rsid w:val="00C7092F"/>
    <w:rsid w:val="00C70CF1"/>
    <w:rsid w:val="00C70D45"/>
    <w:rsid w:val="00C711BD"/>
    <w:rsid w:val="00C71ABB"/>
    <w:rsid w:val="00C73A9F"/>
    <w:rsid w:val="00C74156"/>
    <w:rsid w:val="00C7539F"/>
    <w:rsid w:val="00C754E8"/>
    <w:rsid w:val="00C76DDA"/>
    <w:rsid w:val="00C807B3"/>
    <w:rsid w:val="00C8143D"/>
    <w:rsid w:val="00C81D4C"/>
    <w:rsid w:val="00C82331"/>
    <w:rsid w:val="00C825C9"/>
    <w:rsid w:val="00C8440B"/>
    <w:rsid w:val="00C85ECC"/>
    <w:rsid w:val="00C86548"/>
    <w:rsid w:val="00C86CC3"/>
    <w:rsid w:val="00C86E37"/>
    <w:rsid w:val="00C8773F"/>
    <w:rsid w:val="00C901B1"/>
    <w:rsid w:val="00C90EBC"/>
    <w:rsid w:val="00C91B69"/>
    <w:rsid w:val="00C944BC"/>
    <w:rsid w:val="00CA09B7"/>
    <w:rsid w:val="00CA0F19"/>
    <w:rsid w:val="00CA160D"/>
    <w:rsid w:val="00CA3856"/>
    <w:rsid w:val="00CA4B16"/>
    <w:rsid w:val="00CA5A3F"/>
    <w:rsid w:val="00CA5DD3"/>
    <w:rsid w:val="00CA67E0"/>
    <w:rsid w:val="00CA6BBA"/>
    <w:rsid w:val="00CA6FA6"/>
    <w:rsid w:val="00CA7B4A"/>
    <w:rsid w:val="00CB0122"/>
    <w:rsid w:val="00CB0269"/>
    <w:rsid w:val="00CB0833"/>
    <w:rsid w:val="00CB18F5"/>
    <w:rsid w:val="00CB2AB9"/>
    <w:rsid w:val="00CB4ECD"/>
    <w:rsid w:val="00CC008E"/>
    <w:rsid w:val="00CC02ED"/>
    <w:rsid w:val="00CC469D"/>
    <w:rsid w:val="00CC4E04"/>
    <w:rsid w:val="00CC5531"/>
    <w:rsid w:val="00CC58BA"/>
    <w:rsid w:val="00CC5F2A"/>
    <w:rsid w:val="00CC63EB"/>
    <w:rsid w:val="00CC6A85"/>
    <w:rsid w:val="00CC77ED"/>
    <w:rsid w:val="00CD022A"/>
    <w:rsid w:val="00CD03BE"/>
    <w:rsid w:val="00CD0707"/>
    <w:rsid w:val="00CD0DCD"/>
    <w:rsid w:val="00CD14AD"/>
    <w:rsid w:val="00CD1949"/>
    <w:rsid w:val="00CD1A25"/>
    <w:rsid w:val="00CD2418"/>
    <w:rsid w:val="00CD2E16"/>
    <w:rsid w:val="00CD4AB3"/>
    <w:rsid w:val="00CD4D14"/>
    <w:rsid w:val="00CD65E7"/>
    <w:rsid w:val="00CD70E8"/>
    <w:rsid w:val="00CD773B"/>
    <w:rsid w:val="00CD7BFC"/>
    <w:rsid w:val="00CE0041"/>
    <w:rsid w:val="00CE18A5"/>
    <w:rsid w:val="00CE2168"/>
    <w:rsid w:val="00CE2B95"/>
    <w:rsid w:val="00CE2F1A"/>
    <w:rsid w:val="00CE2F20"/>
    <w:rsid w:val="00CE3DF2"/>
    <w:rsid w:val="00CE4065"/>
    <w:rsid w:val="00CE5364"/>
    <w:rsid w:val="00CF069B"/>
    <w:rsid w:val="00CF0A5C"/>
    <w:rsid w:val="00CF0AE9"/>
    <w:rsid w:val="00CF0D82"/>
    <w:rsid w:val="00CF12EA"/>
    <w:rsid w:val="00CF1A11"/>
    <w:rsid w:val="00CF2A79"/>
    <w:rsid w:val="00CF2C13"/>
    <w:rsid w:val="00CF30FC"/>
    <w:rsid w:val="00CF35E7"/>
    <w:rsid w:val="00CF3D9B"/>
    <w:rsid w:val="00CF4286"/>
    <w:rsid w:val="00CF4807"/>
    <w:rsid w:val="00CF59FB"/>
    <w:rsid w:val="00CF5CB2"/>
    <w:rsid w:val="00D019BA"/>
    <w:rsid w:val="00D01B9F"/>
    <w:rsid w:val="00D030AD"/>
    <w:rsid w:val="00D03B38"/>
    <w:rsid w:val="00D03F87"/>
    <w:rsid w:val="00D0486C"/>
    <w:rsid w:val="00D048B1"/>
    <w:rsid w:val="00D04CD4"/>
    <w:rsid w:val="00D054FE"/>
    <w:rsid w:val="00D05ED1"/>
    <w:rsid w:val="00D061EC"/>
    <w:rsid w:val="00D06641"/>
    <w:rsid w:val="00D06828"/>
    <w:rsid w:val="00D06EB1"/>
    <w:rsid w:val="00D07174"/>
    <w:rsid w:val="00D07B8C"/>
    <w:rsid w:val="00D07DB1"/>
    <w:rsid w:val="00D12095"/>
    <w:rsid w:val="00D12C53"/>
    <w:rsid w:val="00D12F76"/>
    <w:rsid w:val="00D15C60"/>
    <w:rsid w:val="00D17381"/>
    <w:rsid w:val="00D17699"/>
    <w:rsid w:val="00D20948"/>
    <w:rsid w:val="00D21AEC"/>
    <w:rsid w:val="00D22171"/>
    <w:rsid w:val="00D22D06"/>
    <w:rsid w:val="00D23DA6"/>
    <w:rsid w:val="00D24772"/>
    <w:rsid w:val="00D25169"/>
    <w:rsid w:val="00D25EF8"/>
    <w:rsid w:val="00D26008"/>
    <w:rsid w:val="00D262F5"/>
    <w:rsid w:val="00D26E91"/>
    <w:rsid w:val="00D272A6"/>
    <w:rsid w:val="00D33BC0"/>
    <w:rsid w:val="00D3441D"/>
    <w:rsid w:val="00D350E3"/>
    <w:rsid w:val="00D355C4"/>
    <w:rsid w:val="00D355E8"/>
    <w:rsid w:val="00D3612A"/>
    <w:rsid w:val="00D3658E"/>
    <w:rsid w:val="00D37703"/>
    <w:rsid w:val="00D37DBF"/>
    <w:rsid w:val="00D37F25"/>
    <w:rsid w:val="00D42F4F"/>
    <w:rsid w:val="00D44141"/>
    <w:rsid w:val="00D44403"/>
    <w:rsid w:val="00D4585B"/>
    <w:rsid w:val="00D46690"/>
    <w:rsid w:val="00D470CB"/>
    <w:rsid w:val="00D50863"/>
    <w:rsid w:val="00D5086C"/>
    <w:rsid w:val="00D51898"/>
    <w:rsid w:val="00D5220B"/>
    <w:rsid w:val="00D5453B"/>
    <w:rsid w:val="00D55A27"/>
    <w:rsid w:val="00D5639D"/>
    <w:rsid w:val="00D56A53"/>
    <w:rsid w:val="00D5796F"/>
    <w:rsid w:val="00D60E3B"/>
    <w:rsid w:val="00D63039"/>
    <w:rsid w:val="00D6324F"/>
    <w:rsid w:val="00D63458"/>
    <w:rsid w:val="00D63620"/>
    <w:rsid w:val="00D652CE"/>
    <w:rsid w:val="00D65FFB"/>
    <w:rsid w:val="00D66BD9"/>
    <w:rsid w:val="00D66D37"/>
    <w:rsid w:val="00D70D78"/>
    <w:rsid w:val="00D7412C"/>
    <w:rsid w:val="00D750CC"/>
    <w:rsid w:val="00D758DC"/>
    <w:rsid w:val="00D764EE"/>
    <w:rsid w:val="00D833CC"/>
    <w:rsid w:val="00D833F9"/>
    <w:rsid w:val="00D83B77"/>
    <w:rsid w:val="00D84299"/>
    <w:rsid w:val="00D84369"/>
    <w:rsid w:val="00D84C0A"/>
    <w:rsid w:val="00D84C8F"/>
    <w:rsid w:val="00D85343"/>
    <w:rsid w:val="00D855FA"/>
    <w:rsid w:val="00D85995"/>
    <w:rsid w:val="00D873AD"/>
    <w:rsid w:val="00D8767F"/>
    <w:rsid w:val="00D9035C"/>
    <w:rsid w:val="00D90BEE"/>
    <w:rsid w:val="00D91962"/>
    <w:rsid w:val="00D91AAC"/>
    <w:rsid w:val="00D91C06"/>
    <w:rsid w:val="00D91C9F"/>
    <w:rsid w:val="00D9236B"/>
    <w:rsid w:val="00D927A3"/>
    <w:rsid w:val="00D933CB"/>
    <w:rsid w:val="00D93B8F"/>
    <w:rsid w:val="00D93FD1"/>
    <w:rsid w:val="00D9604A"/>
    <w:rsid w:val="00D96756"/>
    <w:rsid w:val="00D969CC"/>
    <w:rsid w:val="00D972D4"/>
    <w:rsid w:val="00D97E4F"/>
    <w:rsid w:val="00DA0625"/>
    <w:rsid w:val="00DA08F5"/>
    <w:rsid w:val="00DA0E05"/>
    <w:rsid w:val="00DA1142"/>
    <w:rsid w:val="00DA2ADC"/>
    <w:rsid w:val="00DA4050"/>
    <w:rsid w:val="00DA441F"/>
    <w:rsid w:val="00DA4DFF"/>
    <w:rsid w:val="00DA7484"/>
    <w:rsid w:val="00DB01E2"/>
    <w:rsid w:val="00DB0764"/>
    <w:rsid w:val="00DB283E"/>
    <w:rsid w:val="00DB3506"/>
    <w:rsid w:val="00DB4CFB"/>
    <w:rsid w:val="00DB4F98"/>
    <w:rsid w:val="00DB59C9"/>
    <w:rsid w:val="00DB7A9A"/>
    <w:rsid w:val="00DC1F63"/>
    <w:rsid w:val="00DC2613"/>
    <w:rsid w:val="00DC3177"/>
    <w:rsid w:val="00DC3276"/>
    <w:rsid w:val="00DC410A"/>
    <w:rsid w:val="00DC523B"/>
    <w:rsid w:val="00DC62B5"/>
    <w:rsid w:val="00DC6842"/>
    <w:rsid w:val="00DD08F8"/>
    <w:rsid w:val="00DD10DB"/>
    <w:rsid w:val="00DD13AB"/>
    <w:rsid w:val="00DD2841"/>
    <w:rsid w:val="00DD323F"/>
    <w:rsid w:val="00DD37D8"/>
    <w:rsid w:val="00DD4EB5"/>
    <w:rsid w:val="00DD508C"/>
    <w:rsid w:val="00DD5902"/>
    <w:rsid w:val="00DD71CC"/>
    <w:rsid w:val="00DE01A4"/>
    <w:rsid w:val="00DE0A44"/>
    <w:rsid w:val="00DE0EEA"/>
    <w:rsid w:val="00DE2728"/>
    <w:rsid w:val="00DE3E40"/>
    <w:rsid w:val="00DE3E62"/>
    <w:rsid w:val="00DE4597"/>
    <w:rsid w:val="00DE4F94"/>
    <w:rsid w:val="00DE643F"/>
    <w:rsid w:val="00DE6907"/>
    <w:rsid w:val="00DE6E3F"/>
    <w:rsid w:val="00DE6E47"/>
    <w:rsid w:val="00DE7240"/>
    <w:rsid w:val="00DF131F"/>
    <w:rsid w:val="00DF1336"/>
    <w:rsid w:val="00DF1C1D"/>
    <w:rsid w:val="00DF29BF"/>
    <w:rsid w:val="00DF365A"/>
    <w:rsid w:val="00DF370D"/>
    <w:rsid w:val="00DF42BA"/>
    <w:rsid w:val="00DF6840"/>
    <w:rsid w:val="00E0061B"/>
    <w:rsid w:val="00E008D8"/>
    <w:rsid w:val="00E00C7B"/>
    <w:rsid w:val="00E010AB"/>
    <w:rsid w:val="00E015AD"/>
    <w:rsid w:val="00E0233F"/>
    <w:rsid w:val="00E02678"/>
    <w:rsid w:val="00E04B8A"/>
    <w:rsid w:val="00E050EC"/>
    <w:rsid w:val="00E0603A"/>
    <w:rsid w:val="00E06262"/>
    <w:rsid w:val="00E06AF4"/>
    <w:rsid w:val="00E07308"/>
    <w:rsid w:val="00E0748A"/>
    <w:rsid w:val="00E0753F"/>
    <w:rsid w:val="00E119CC"/>
    <w:rsid w:val="00E11F4F"/>
    <w:rsid w:val="00E12742"/>
    <w:rsid w:val="00E128A9"/>
    <w:rsid w:val="00E13FFD"/>
    <w:rsid w:val="00E143DA"/>
    <w:rsid w:val="00E14BA3"/>
    <w:rsid w:val="00E14F9C"/>
    <w:rsid w:val="00E15864"/>
    <w:rsid w:val="00E160A7"/>
    <w:rsid w:val="00E1655C"/>
    <w:rsid w:val="00E16744"/>
    <w:rsid w:val="00E168E7"/>
    <w:rsid w:val="00E16F84"/>
    <w:rsid w:val="00E20033"/>
    <w:rsid w:val="00E20A44"/>
    <w:rsid w:val="00E23081"/>
    <w:rsid w:val="00E2393E"/>
    <w:rsid w:val="00E23A19"/>
    <w:rsid w:val="00E23D1B"/>
    <w:rsid w:val="00E23DCA"/>
    <w:rsid w:val="00E24CDE"/>
    <w:rsid w:val="00E2580E"/>
    <w:rsid w:val="00E25941"/>
    <w:rsid w:val="00E25953"/>
    <w:rsid w:val="00E25C7E"/>
    <w:rsid w:val="00E26BAD"/>
    <w:rsid w:val="00E27F5A"/>
    <w:rsid w:val="00E30CE4"/>
    <w:rsid w:val="00E30E77"/>
    <w:rsid w:val="00E32803"/>
    <w:rsid w:val="00E32846"/>
    <w:rsid w:val="00E32BEA"/>
    <w:rsid w:val="00E32D10"/>
    <w:rsid w:val="00E32EA8"/>
    <w:rsid w:val="00E32F5B"/>
    <w:rsid w:val="00E35A90"/>
    <w:rsid w:val="00E3799F"/>
    <w:rsid w:val="00E37DA2"/>
    <w:rsid w:val="00E40796"/>
    <w:rsid w:val="00E4098F"/>
    <w:rsid w:val="00E4121B"/>
    <w:rsid w:val="00E42FA4"/>
    <w:rsid w:val="00E43ACF"/>
    <w:rsid w:val="00E43B5E"/>
    <w:rsid w:val="00E449C2"/>
    <w:rsid w:val="00E44F4F"/>
    <w:rsid w:val="00E4507D"/>
    <w:rsid w:val="00E45864"/>
    <w:rsid w:val="00E4622C"/>
    <w:rsid w:val="00E46ED5"/>
    <w:rsid w:val="00E47EA8"/>
    <w:rsid w:val="00E47F40"/>
    <w:rsid w:val="00E51FFB"/>
    <w:rsid w:val="00E52A18"/>
    <w:rsid w:val="00E52DD3"/>
    <w:rsid w:val="00E53661"/>
    <w:rsid w:val="00E53D7C"/>
    <w:rsid w:val="00E5471E"/>
    <w:rsid w:val="00E558A4"/>
    <w:rsid w:val="00E576D9"/>
    <w:rsid w:val="00E57F98"/>
    <w:rsid w:val="00E6004A"/>
    <w:rsid w:val="00E634C0"/>
    <w:rsid w:val="00E638C0"/>
    <w:rsid w:val="00E65C76"/>
    <w:rsid w:val="00E65EA1"/>
    <w:rsid w:val="00E6605D"/>
    <w:rsid w:val="00E6611F"/>
    <w:rsid w:val="00E67D27"/>
    <w:rsid w:val="00E67E0E"/>
    <w:rsid w:val="00E70BB4"/>
    <w:rsid w:val="00E7232A"/>
    <w:rsid w:val="00E7415F"/>
    <w:rsid w:val="00E74C66"/>
    <w:rsid w:val="00E75BB5"/>
    <w:rsid w:val="00E80890"/>
    <w:rsid w:val="00E82EEA"/>
    <w:rsid w:val="00E82F77"/>
    <w:rsid w:val="00E83D12"/>
    <w:rsid w:val="00E8486C"/>
    <w:rsid w:val="00E861E3"/>
    <w:rsid w:val="00E8623A"/>
    <w:rsid w:val="00E8627E"/>
    <w:rsid w:val="00E87666"/>
    <w:rsid w:val="00E90008"/>
    <w:rsid w:val="00E9168B"/>
    <w:rsid w:val="00E91A28"/>
    <w:rsid w:val="00E923A0"/>
    <w:rsid w:val="00E9265B"/>
    <w:rsid w:val="00E92B1C"/>
    <w:rsid w:val="00E9401C"/>
    <w:rsid w:val="00E94426"/>
    <w:rsid w:val="00E94C5A"/>
    <w:rsid w:val="00E95253"/>
    <w:rsid w:val="00E95569"/>
    <w:rsid w:val="00E95C87"/>
    <w:rsid w:val="00E978F3"/>
    <w:rsid w:val="00E97F8B"/>
    <w:rsid w:val="00EA1CB1"/>
    <w:rsid w:val="00EA2FB4"/>
    <w:rsid w:val="00EA35BE"/>
    <w:rsid w:val="00EA5A31"/>
    <w:rsid w:val="00EA5F5C"/>
    <w:rsid w:val="00EA6125"/>
    <w:rsid w:val="00EA6CFC"/>
    <w:rsid w:val="00EB0FA1"/>
    <w:rsid w:val="00EB16C3"/>
    <w:rsid w:val="00EB2030"/>
    <w:rsid w:val="00EB2202"/>
    <w:rsid w:val="00EB5B87"/>
    <w:rsid w:val="00EC0435"/>
    <w:rsid w:val="00EC0D7C"/>
    <w:rsid w:val="00EC1559"/>
    <w:rsid w:val="00EC1F51"/>
    <w:rsid w:val="00EC5378"/>
    <w:rsid w:val="00EC70E4"/>
    <w:rsid w:val="00EC7180"/>
    <w:rsid w:val="00ED0CAC"/>
    <w:rsid w:val="00ED10C4"/>
    <w:rsid w:val="00ED14D2"/>
    <w:rsid w:val="00ED209D"/>
    <w:rsid w:val="00ED2DB8"/>
    <w:rsid w:val="00ED2E33"/>
    <w:rsid w:val="00ED38FB"/>
    <w:rsid w:val="00ED418D"/>
    <w:rsid w:val="00ED46C4"/>
    <w:rsid w:val="00ED5F88"/>
    <w:rsid w:val="00ED664B"/>
    <w:rsid w:val="00ED7359"/>
    <w:rsid w:val="00ED7457"/>
    <w:rsid w:val="00ED7C2E"/>
    <w:rsid w:val="00EE08AF"/>
    <w:rsid w:val="00EE170E"/>
    <w:rsid w:val="00EE1CAE"/>
    <w:rsid w:val="00EE2BD9"/>
    <w:rsid w:val="00EE44D7"/>
    <w:rsid w:val="00EE5111"/>
    <w:rsid w:val="00EE688E"/>
    <w:rsid w:val="00EF157F"/>
    <w:rsid w:val="00EF1A31"/>
    <w:rsid w:val="00EF1A73"/>
    <w:rsid w:val="00EF2730"/>
    <w:rsid w:val="00EF28D7"/>
    <w:rsid w:val="00EF370E"/>
    <w:rsid w:val="00EF3A97"/>
    <w:rsid w:val="00EF43A5"/>
    <w:rsid w:val="00EF5016"/>
    <w:rsid w:val="00EF5550"/>
    <w:rsid w:val="00EF7A93"/>
    <w:rsid w:val="00F00E65"/>
    <w:rsid w:val="00F01CED"/>
    <w:rsid w:val="00F01D63"/>
    <w:rsid w:val="00F02518"/>
    <w:rsid w:val="00F03786"/>
    <w:rsid w:val="00F03AB8"/>
    <w:rsid w:val="00F05503"/>
    <w:rsid w:val="00F05D09"/>
    <w:rsid w:val="00F05E37"/>
    <w:rsid w:val="00F063EC"/>
    <w:rsid w:val="00F07897"/>
    <w:rsid w:val="00F07C20"/>
    <w:rsid w:val="00F07D21"/>
    <w:rsid w:val="00F07EF7"/>
    <w:rsid w:val="00F112AC"/>
    <w:rsid w:val="00F130AD"/>
    <w:rsid w:val="00F13F52"/>
    <w:rsid w:val="00F1456B"/>
    <w:rsid w:val="00F1485E"/>
    <w:rsid w:val="00F14FEA"/>
    <w:rsid w:val="00F16636"/>
    <w:rsid w:val="00F16C0F"/>
    <w:rsid w:val="00F1710E"/>
    <w:rsid w:val="00F2002D"/>
    <w:rsid w:val="00F20ABE"/>
    <w:rsid w:val="00F22093"/>
    <w:rsid w:val="00F227E8"/>
    <w:rsid w:val="00F24647"/>
    <w:rsid w:val="00F26374"/>
    <w:rsid w:val="00F263F5"/>
    <w:rsid w:val="00F266EC"/>
    <w:rsid w:val="00F26A9F"/>
    <w:rsid w:val="00F2767A"/>
    <w:rsid w:val="00F30931"/>
    <w:rsid w:val="00F30DE4"/>
    <w:rsid w:val="00F3117E"/>
    <w:rsid w:val="00F31CE2"/>
    <w:rsid w:val="00F331B5"/>
    <w:rsid w:val="00F33457"/>
    <w:rsid w:val="00F34AF9"/>
    <w:rsid w:val="00F401C5"/>
    <w:rsid w:val="00F401FE"/>
    <w:rsid w:val="00F41E62"/>
    <w:rsid w:val="00F42C6E"/>
    <w:rsid w:val="00F4435C"/>
    <w:rsid w:val="00F4448A"/>
    <w:rsid w:val="00F44843"/>
    <w:rsid w:val="00F44F41"/>
    <w:rsid w:val="00F45725"/>
    <w:rsid w:val="00F4763B"/>
    <w:rsid w:val="00F47B58"/>
    <w:rsid w:val="00F47BED"/>
    <w:rsid w:val="00F50002"/>
    <w:rsid w:val="00F500CF"/>
    <w:rsid w:val="00F51162"/>
    <w:rsid w:val="00F514E6"/>
    <w:rsid w:val="00F5279F"/>
    <w:rsid w:val="00F53521"/>
    <w:rsid w:val="00F5375A"/>
    <w:rsid w:val="00F53991"/>
    <w:rsid w:val="00F53D15"/>
    <w:rsid w:val="00F5708E"/>
    <w:rsid w:val="00F573CE"/>
    <w:rsid w:val="00F57A21"/>
    <w:rsid w:val="00F61722"/>
    <w:rsid w:val="00F617C6"/>
    <w:rsid w:val="00F6208E"/>
    <w:rsid w:val="00F62451"/>
    <w:rsid w:val="00F62778"/>
    <w:rsid w:val="00F65446"/>
    <w:rsid w:val="00F667BF"/>
    <w:rsid w:val="00F6691B"/>
    <w:rsid w:val="00F66A33"/>
    <w:rsid w:val="00F66F7C"/>
    <w:rsid w:val="00F67569"/>
    <w:rsid w:val="00F70BA5"/>
    <w:rsid w:val="00F714AA"/>
    <w:rsid w:val="00F71564"/>
    <w:rsid w:val="00F71818"/>
    <w:rsid w:val="00F719CE"/>
    <w:rsid w:val="00F71D5D"/>
    <w:rsid w:val="00F72EF2"/>
    <w:rsid w:val="00F73535"/>
    <w:rsid w:val="00F73842"/>
    <w:rsid w:val="00F73B39"/>
    <w:rsid w:val="00F74981"/>
    <w:rsid w:val="00F75C04"/>
    <w:rsid w:val="00F809C2"/>
    <w:rsid w:val="00F81F50"/>
    <w:rsid w:val="00F82D39"/>
    <w:rsid w:val="00F833A1"/>
    <w:rsid w:val="00F84050"/>
    <w:rsid w:val="00F8533B"/>
    <w:rsid w:val="00F862FB"/>
    <w:rsid w:val="00F86667"/>
    <w:rsid w:val="00F86732"/>
    <w:rsid w:val="00F879BF"/>
    <w:rsid w:val="00F90692"/>
    <w:rsid w:val="00F91DAE"/>
    <w:rsid w:val="00F91EE5"/>
    <w:rsid w:val="00F91F63"/>
    <w:rsid w:val="00F925E3"/>
    <w:rsid w:val="00F93745"/>
    <w:rsid w:val="00F939BE"/>
    <w:rsid w:val="00F93CDC"/>
    <w:rsid w:val="00F94117"/>
    <w:rsid w:val="00F95772"/>
    <w:rsid w:val="00F96117"/>
    <w:rsid w:val="00F96AF4"/>
    <w:rsid w:val="00FA0846"/>
    <w:rsid w:val="00FA18A0"/>
    <w:rsid w:val="00FA27ED"/>
    <w:rsid w:val="00FA356A"/>
    <w:rsid w:val="00FA7230"/>
    <w:rsid w:val="00FA73D8"/>
    <w:rsid w:val="00FB12B8"/>
    <w:rsid w:val="00FB25D7"/>
    <w:rsid w:val="00FB2CA2"/>
    <w:rsid w:val="00FB4289"/>
    <w:rsid w:val="00FB5140"/>
    <w:rsid w:val="00FB69C0"/>
    <w:rsid w:val="00FC0149"/>
    <w:rsid w:val="00FC01D2"/>
    <w:rsid w:val="00FC02D8"/>
    <w:rsid w:val="00FC0331"/>
    <w:rsid w:val="00FC0998"/>
    <w:rsid w:val="00FC113C"/>
    <w:rsid w:val="00FC1824"/>
    <w:rsid w:val="00FC1DB6"/>
    <w:rsid w:val="00FC2985"/>
    <w:rsid w:val="00FC3899"/>
    <w:rsid w:val="00FC7254"/>
    <w:rsid w:val="00FD008B"/>
    <w:rsid w:val="00FD0E0E"/>
    <w:rsid w:val="00FD103A"/>
    <w:rsid w:val="00FD12A2"/>
    <w:rsid w:val="00FD1A4F"/>
    <w:rsid w:val="00FD3335"/>
    <w:rsid w:val="00FD3B5C"/>
    <w:rsid w:val="00FD424D"/>
    <w:rsid w:val="00FD5803"/>
    <w:rsid w:val="00FE2177"/>
    <w:rsid w:val="00FE2CE3"/>
    <w:rsid w:val="00FE2CF0"/>
    <w:rsid w:val="00FE2D12"/>
    <w:rsid w:val="00FE2D20"/>
    <w:rsid w:val="00FE4E2B"/>
    <w:rsid w:val="00FE54DE"/>
    <w:rsid w:val="00FE64C6"/>
    <w:rsid w:val="00FE756E"/>
    <w:rsid w:val="00FE7F11"/>
    <w:rsid w:val="00FF0549"/>
    <w:rsid w:val="00FF19C0"/>
    <w:rsid w:val="00FF1A5A"/>
    <w:rsid w:val="00FF20D4"/>
    <w:rsid w:val="00FF2498"/>
    <w:rsid w:val="00FF2AF6"/>
    <w:rsid w:val="00FF3CA0"/>
    <w:rsid w:val="00FF3F44"/>
    <w:rsid w:val="00FF491C"/>
    <w:rsid w:val="00FF4D85"/>
    <w:rsid w:val="00FF65AF"/>
    <w:rsid w:val="00FF6614"/>
    <w:rsid w:val="00FF7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0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11"/>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spacing w:after="0"/>
    </w:pPr>
  </w:style>
  <w:style w:type="paragraph" w:customStyle="1" w:styleId="Bulletleft1">
    <w:name w:val="Bullet left 1"/>
    <w:basedOn w:val="NICEnormal"/>
    <w:qFormat/>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11"/>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uiPriority w:val="99"/>
    <w:rsid w:val="00F130AD"/>
    <w:rPr>
      <w:sz w:val="16"/>
      <w:szCs w:val="16"/>
    </w:rPr>
  </w:style>
  <w:style w:type="paragraph" w:styleId="CommentText">
    <w:name w:val="annotation text"/>
    <w:basedOn w:val="Normal"/>
    <w:link w:val="CommentTextChar"/>
    <w:uiPriority w:val="99"/>
    <w:rsid w:val="00F130AD"/>
    <w:rPr>
      <w:sz w:val="20"/>
      <w:szCs w:val="20"/>
      <w:lang w:val="x-none"/>
    </w:rPr>
  </w:style>
  <w:style w:type="character" w:customStyle="1" w:styleId="CommentTextChar">
    <w:name w:val="Comment Text Char"/>
    <w:link w:val="CommentText"/>
    <w:uiPriority w:val="99"/>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link w:val="ListParagraphChar"/>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12"/>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10"/>
      </w:numPr>
    </w:pPr>
  </w:style>
  <w:style w:type="paragraph" w:customStyle="1" w:styleId="Section412paragraphs">
    <w:name w:val="Section 4.1.2 paragraphs"/>
    <w:basedOn w:val="NICEnormal"/>
    <w:rsid w:val="00FB5140"/>
    <w:pPr>
      <w:numPr>
        <w:numId w:val="13"/>
      </w:numPr>
    </w:pPr>
  </w:style>
  <w:style w:type="paragraph" w:customStyle="1" w:styleId="Bullets">
    <w:name w:val="Bullets"/>
    <w:basedOn w:val="Normal"/>
    <w:uiPriority w:val="5"/>
    <w:qFormat/>
    <w:rsid w:val="004B063F"/>
    <w:pPr>
      <w:spacing w:after="120" w:line="276" w:lineRule="auto"/>
      <w:ind w:left="1134" w:hanging="454"/>
    </w:pPr>
    <w:rPr>
      <w:rFonts w:ascii="Arial" w:hAnsi="Arial"/>
      <w:lang w:eastAsia="en-GB"/>
    </w:rPr>
  </w:style>
  <w:style w:type="paragraph" w:customStyle="1" w:styleId="Paragraphnonumbers">
    <w:name w:val="Paragraph no numbers"/>
    <w:basedOn w:val="Normal"/>
    <w:uiPriority w:val="99"/>
    <w:qFormat/>
    <w:rsid w:val="004B063F"/>
    <w:pPr>
      <w:spacing w:after="240" w:line="276" w:lineRule="auto"/>
    </w:pPr>
    <w:rPr>
      <w:rFonts w:ascii="Arial" w:hAnsi="Arial"/>
      <w:lang w:eastAsia="en-GB"/>
    </w:rPr>
  </w:style>
  <w:style w:type="paragraph" w:styleId="NormalWeb">
    <w:name w:val="Normal (Web)"/>
    <w:basedOn w:val="Normal"/>
    <w:uiPriority w:val="99"/>
    <w:unhideWhenUsed/>
    <w:rsid w:val="009C7D79"/>
    <w:pPr>
      <w:spacing w:before="100" w:beforeAutospacing="1" w:after="100" w:afterAutospacing="1"/>
    </w:pPr>
    <w:rPr>
      <w:lang w:eastAsia="en-GB"/>
    </w:rPr>
  </w:style>
  <w:style w:type="character" w:customStyle="1" w:styleId="ListParagraphChar">
    <w:name w:val="List Paragraph Char"/>
    <w:basedOn w:val="DefaultParagraphFont"/>
    <w:link w:val="ListParagraph"/>
    <w:uiPriority w:val="34"/>
    <w:locked/>
    <w:rsid w:val="00D833F9"/>
    <w:rPr>
      <w:sz w:val="24"/>
      <w:szCs w:val="24"/>
    </w:rPr>
  </w:style>
  <w:style w:type="paragraph" w:customStyle="1" w:styleId="Default">
    <w:name w:val="Default"/>
    <w:rsid w:val="006D20C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4651">
      <w:bodyDiv w:val="1"/>
      <w:marLeft w:val="0"/>
      <w:marRight w:val="0"/>
      <w:marTop w:val="0"/>
      <w:marBottom w:val="0"/>
      <w:divBdr>
        <w:top w:val="none" w:sz="0" w:space="0" w:color="auto"/>
        <w:left w:val="none" w:sz="0" w:space="0" w:color="auto"/>
        <w:bottom w:val="none" w:sz="0" w:space="0" w:color="auto"/>
        <w:right w:val="none" w:sz="0" w:space="0" w:color="auto"/>
      </w:divBdr>
    </w:div>
    <w:div w:id="65152495">
      <w:bodyDiv w:val="1"/>
      <w:marLeft w:val="0"/>
      <w:marRight w:val="0"/>
      <w:marTop w:val="0"/>
      <w:marBottom w:val="0"/>
      <w:divBdr>
        <w:top w:val="none" w:sz="0" w:space="0" w:color="auto"/>
        <w:left w:val="none" w:sz="0" w:space="0" w:color="auto"/>
        <w:bottom w:val="none" w:sz="0" w:space="0" w:color="auto"/>
        <w:right w:val="none" w:sz="0" w:space="0" w:color="auto"/>
      </w:divBdr>
    </w:div>
    <w:div w:id="106657658">
      <w:bodyDiv w:val="1"/>
      <w:marLeft w:val="0"/>
      <w:marRight w:val="0"/>
      <w:marTop w:val="0"/>
      <w:marBottom w:val="0"/>
      <w:divBdr>
        <w:top w:val="none" w:sz="0" w:space="0" w:color="auto"/>
        <w:left w:val="none" w:sz="0" w:space="0" w:color="auto"/>
        <w:bottom w:val="none" w:sz="0" w:space="0" w:color="auto"/>
        <w:right w:val="none" w:sz="0" w:space="0" w:color="auto"/>
      </w:divBdr>
    </w:div>
    <w:div w:id="123423662">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18521485">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9173575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663360368">
      <w:bodyDiv w:val="1"/>
      <w:marLeft w:val="0"/>
      <w:marRight w:val="0"/>
      <w:marTop w:val="0"/>
      <w:marBottom w:val="0"/>
      <w:divBdr>
        <w:top w:val="none" w:sz="0" w:space="0" w:color="auto"/>
        <w:left w:val="none" w:sz="0" w:space="0" w:color="auto"/>
        <w:bottom w:val="none" w:sz="0" w:space="0" w:color="auto"/>
        <w:right w:val="none" w:sz="0" w:space="0" w:color="auto"/>
      </w:divBdr>
    </w:div>
    <w:div w:id="670723325">
      <w:bodyDiv w:val="1"/>
      <w:marLeft w:val="0"/>
      <w:marRight w:val="0"/>
      <w:marTop w:val="0"/>
      <w:marBottom w:val="0"/>
      <w:divBdr>
        <w:top w:val="none" w:sz="0" w:space="0" w:color="auto"/>
        <w:left w:val="none" w:sz="0" w:space="0" w:color="auto"/>
        <w:bottom w:val="none" w:sz="0" w:space="0" w:color="auto"/>
        <w:right w:val="none" w:sz="0" w:space="0" w:color="auto"/>
      </w:divBdr>
    </w:div>
    <w:div w:id="671491787">
      <w:bodyDiv w:val="1"/>
      <w:marLeft w:val="0"/>
      <w:marRight w:val="0"/>
      <w:marTop w:val="0"/>
      <w:marBottom w:val="0"/>
      <w:divBdr>
        <w:top w:val="none" w:sz="0" w:space="0" w:color="auto"/>
        <w:left w:val="none" w:sz="0" w:space="0" w:color="auto"/>
        <w:bottom w:val="none" w:sz="0" w:space="0" w:color="auto"/>
        <w:right w:val="none" w:sz="0" w:space="0" w:color="auto"/>
      </w:divBdr>
      <w:divsChild>
        <w:div w:id="1967159866">
          <w:marLeft w:val="1526"/>
          <w:marRight w:val="0"/>
          <w:marTop w:val="120"/>
          <w:marBottom w:val="0"/>
          <w:divBdr>
            <w:top w:val="none" w:sz="0" w:space="0" w:color="auto"/>
            <w:left w:val="none" w:sz="0" w:space="0" w:color="auto"/>
            <w:bottom w:val="none" w:sz="0" w:space="0" w:color="auto"/>
            <w:right w:val="none" w:sz="0" w:space="0" w:color="auto"/>
          </w:divBdr>
        </w:div>
        <w:div w:id="2115050301">
          <w:marLeft w:val="446"/>
          <w:marRight w:val="0"/>
          <w:marTop w:val="120"/>
          <w:marBottom w:val="0"/>
          <w:divBdr>
            <w:top w:val="none" w:sz="0" w:space="0" w:color="auto"/>
            <w:left w:val="none" w:sz="0" w:space="0" w:color="auto"/>
            <w:bottom w:val="none" w:sz="0" w:space="0" w:color="auto"/>
            <w:right w:val="none" w:sz="0" w:space="0" w:color="auto"/>
          </w:divBdr>
        </w:div>
      </w:divsChild>
    </w:div>
    <w:div w:id="1004481660">
      <w:bodyDiv w:val="1"/>
      <w:marLeft w:val="0"/>
      <w:marRight w:val="0"/>
      <w:marTop w:val="0"/>
      <w:marBottom w:val="0"/>
      <w:divBdr>
        <w:top w:val="none" w:sz="0" w:space="0" w:color="auto"/>
        <w:left w:val="none" w:sz="0" w:space="0" w:color="auto"/>
        <w:bottom w:val="none" w:sz="0" w:space="0" w:color="auto"/>
        <w:right w:val="none" w:sz="0" w:space="0" w:color="auto"/>
      </w:divBdr>
      <w:divsChild>
        <w:div w:id="458113670">
          <w:marLeft w:val="446"/>
          <w:marRight w:val="0"/>
          <w:marTop w:val="0"/>
          <w:marBottom w:val="0"/>
          <w:divBdr>
            <w:top w:val="none" w:sz="0" w:space="0" w:color="auto"/>
            <w:left w:val="none" w:sz="0" w:space="0" w:color="auto"/>
            <w:bottom w:val="none" w:sz="0" w:space="0" w:color="auto"/>
            <w:right w:val="none" w:sz="0" w:space="0" w:color="auto"/>
          </w:divBdr>
        </w:div>
      </w:divsChild>
    </w:div>
    <w:div w:id="1005744708">
      <w:bodyDiv w:val="1"/>
      <w:marLeft w:val="0"/>
      <w:marRight w:val="0"/>
      <w:marTop w:val="0"/>
      <w:marBottom w:val="0"/>
      <w:divBdr>
        <w:top w:val="none" w:sz="0" w:space="0" w:color="auto"/>
        <w:left w:val="none" w:sz="0" w:space="0" w:color="auto"/>
        <w:bottom w:val="none" w:sz="0" w:space="0" w:color="auto"/>
        <w:right w:val="none" w:sz="0" w:space="0" w:color="auto"/>
      </w:divBdr>
      <w:divsChild>
        <w:div w:id="565605147">
          <w:marLeft w:val="446"/>
          <w:marRight w:val="0"/>
          <w:marTop w:val="0"/>
          <w:marBottom w:val="0"/>
          <w:divBdr>
            <w:top w:val="none" w:sz="0" w:space="0" w:color="auto"/>
            <w:left w:val="none" w:sz="0" w:space="0" w:color="auto"/>
            <w:bottom w:val="none" w:sz="0" w:space="0" w:color="auto"/>
            <w:right w:val="none" w:sz="0" w:space="0" w:color="auto"/>
          </w:divBdr>
        </w:div>
        <w:div w:id="1061902454">
          <w:marLeft w:val="446"/>
          <w:marRight w:val="0"/>
          <w:marTop w:val="0"/>
          <w:marBottom w:val="0"/>
          <w:divBdr>
            <w:top w:val="none" w:sz="0" w:space="0" w:color="auto"/>
            <w:left w:val="none" w:sz="0" w:space="0" w:color="auto"/>
            <w:bottom w:val="none" w:sz="0" w:space="0" w:color="auto"/>
            <w:right w:val="none" w:sz="0" w:space="0" w:color="auto"/>
          </w:divBdr>
        </w:div>
        <w:div w:id="1560677041">
          <w:marLeft w:val="446"/>
          <w:marRight w:val="0"/>
          <w:marTop w:val="0"/>
          <w:marBottom w:val="0"/>
          <w:divBdr>
            <w:top w:val="none" w:sz="0" w:space="0" w:color="auto"/>
            <w:left w:val="none" w:sz="0" w:space="0" w:color="auto"/>
            <w:bottom w:val="none" w:sz="0" w:space="0" w:color="auto"/>
            <w:right w:val="none" w:sz="0" w:space="0" w:color="auto"/>
          </w:divBdr>
        </w:div>
        <w:div w:id="1727801578">
          <w:marLeft w:val="446"/>
          <w:marRight w:val="0"/>
          <w:marTop w:val="0"/>
          <w:marBottom w:val="0"/>
          <w:divBdr>
            <w:top w:val="none" w:sz="0" w:space="0" w:color="auto"/>
            <w:left w:val="none" w:sz="0" w:space="0" w:color="auto"/>
            <w:bottom w:val="none" w:sz="0" w:space="0" w:color="auto"/>
            <w:right w:val="none" w:sz="0" w:space="0" w:color="auto"/>
          </w:divBdr>
        </w:div>
      </w:divsChild>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180970799">
      <w:bodyDiv w:val="1"/>
      <w:marLeft w:val="0"/>
      <w:marRight w:val="0"/>
      <w:marTop w:val="0"/>
      <w:marBottom w:val="0"/>
      <w:divBdr>
        <w:top w:val="none" w:sz="0" w:space="0" w:color="auto"/>
        <w:left w:val="none" w:sz="0" w:space="0" w:color="auto"/>
        <w:bottom w:val="none" w:sz="0" w:space="0" w:color="auto"/>
        <w:right w:val="none" w:sz="0" w:space="0" w:color="auto"/>
      </w:divBdr>
    </w:div>
    <w:div w:id="1192453928">
      <w:bodyDiv w:val="1"/>
      <w:marLeft w:val="0"/>
      <w:marRight w:val="0"/>
      <w:marTop w:val="0"/>
      <w:marBottom w:val="0"/>
      <w:divBdr>
        <w:top w:val="none" w:sz="0" w:space="0" w:color="auto"/>
        <w:left w:val="none" w:sz="0" w:space="0" w:color="auto"/>
        <w:bottom w:val="none" w:sz="0" w:space="0" w:color="auto"/>
        <w:right w:val="none" w:sz="0" w:space="0" w:color="auto"/>
      </w:divBdr>
    </w:div>
    <w:div w:id="1198588693">
      <w:bodyDiv w:val="1"/>
      <w:marLeft w:val="0"/>
      <w:marRight w:val="0"/>
      <w:marTop w:val="0"/>
      <w:marBottom w:val="0"/>
      <w:divBdr>
        <w:top w:val="none" w:sz="0" w:space="0" w:color="auto"/>
        <w:left w:val="none" w:sz="0" w:space="0" w:color="auto"/>
        <w:bottom w:val="none" w:sz="0" w:space="0" w:color="auto"/>
        <w:right w:val="none" w:sz="0" w:space="0" w:color="auto"/>
      </w:divBdr>
    </w:div>
    <w:div w:id="1199009405">
      <w:bodyDiv w:val="1"/>
      <w:marLeft w:val="0"/>
      <w:marRight w:val="0"/>
      <w:marTop w:val="0"/>
      <w:marBottom w:val="0"/>
      <w:divBdr>
        <w:top w:val="none" w:sz="0" w:space="0" w:color="auto"/>
        <w:left w:val="none" w:sz="0" w:space="0" w:color="auto"/>
        <w:bottom w:val="none" w:sz="0" w:space="0" w:color="auto"/>
        <w:right w:val="none" w:sz="0" w:space="0" w:color="auto"/>
      </w:divBdr>
      <w:divsChild>
        <w:div w:id="657732974">
          <w:marLeft w:val="1627"/>
          <w:marRight w:val="0"/>
          <w:marTop w:val="100"/>
          <w:marBottom w:val="0"/>
          <w:divBdr>
            <w:top w:val="none" w:sz="0" w:space="0" w:color="auto"/>
            <w:left w:val="none" w:sz="0" w:space="0" w:color="auto"/>
            <w:bottom w:val="none" w:sz="0" w:space="0" w:color="auto"/>
            <w:right w:val="none" w:sz="0" w:space="0" w:color="auto"/>
          </w:divBdr>
        </w:div>
      </w:divsChild>
    </w:div>
    <w:div w:id="1239250364">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260143902">
      <w:bodyDiv w:val="1"/>
      <w:marLeft w:val="0"/>
      <w:marRight w:val="0"/>
      <w:marTop w:val="0"/>
      <w:marBottom w:val="0"/>
      <w:divBdr>
        <w:top w:val="none" w:sz="0" w:space="0" w:color="auto"/>
        <w:left w:val="none" w:sz="0" w:space="0" w:color="auto"/>
        <w:bottom w:val="none" w:sz="0" w:space="0" w:color="auto"/>
        <w:right w:val="none" w:sz="0" w:space="0" w:color="auto"/>
      </w:divBdr>
    </w:div>
    <w:div w:id="1311859651">
      <w:bodyDiv w:val="1"/>
      <w:marLeft w:val="0"/>
      <w:marRight w:val="0"/>
      <w:marTop w:val="0"/>
      <w:marBottom w:val="0"/>
      <w:divBdr>
        <w:top w:val="none" w:sz="0" w:space="0" w:color="auto"/>
        <w:left w:val="none" w:sz="0" w:space="0" w:color="auto"/>
        <w:bottom w:val="none" w:sz="0" w:space="0" w:color="auto"/>
        <w:right w:val="none" w:sz="0" w:space="0" w:color="auto"/>
      </w:divBdr>
    </w:div>
    <w:div w:id="1362321482">
      <w:bodyDiv w:val="1"/>
      <w:marLeft w:val="0"/>
      <w:marRight w:val="0"/>
      <w:marTop w:val="0"/>
      <w:marBottom w:val="0"/>
      <w:divBdr>
        <w:top w:val="none" w:sz="0" w:space="0" w:color="auto"/>
        <w:left w:val="none" w:sz="0" w:space="0" w:color="auto"/>
        <w:bottom w:val="none" w:sz="0" w:space="0" w:color="auto"/>
        <w:right w:val="none" w:sz="0" w:space="0" w:color="auto"/>
      </w:divBdr>
    </w:div>
    <w:div w:id="1519462717">
      <w:bodyDiv w:val="1"/>
      <w:marLeft w:val="0"/>
      <w:marRight w:val="0"/>
      <w:marTop w:val="0"/>
      <w:marBottom w:val="0"/>
      <w:divBdr>
        <w:top w:val="none" w:sz="0" w:space="0" w:color="auto"/>
        <w:left w:val="none" w:sz="0" w:space="0" w:color="auto"/>
        <w:bottom w:val="none" w:sz="0" w:space="0" w:color="auto"/>
        <w:right w:val="none" w:sz="0" w:space="0" w:color="auto"/>
      </w:divBdr>
      <w:divsChild>
        <w:div w:id="2134136116">
          <w:marLeft w:val="446"/>
          <w:marRight w:val="0"/>
          <w:marTop w:val="120"/>
          <w:marBottom w:val="120"/>
          <w:divBdr>
            <w:top w:val="none" w:sz="0" w:space="0" w:color="auto"/>
            <w:left w:val="none" w:sz="0" w:space="0" w:color="auto"/>
            <w:bottom w:val="none" w:sz="0" w:space="0" w:color="auto"/>
            <w:right w:val="none" w:sz="0" w:space="0" w:color="auto"/>
          </w:divBdr>
        </w:div>
      </w:divsChild>
    </w:div>
    <w:div w:id="1600138277">
      <w:bodyDiv w:val="1"/>
      <w:marLeft w:val="0"/>
      <w:marRight w:val="0"/>
      <w:marTop w:val="0"/>
      <w:marBottom w:val="0"/>
      <w:divBdr>
        <w:top w:val="none" w:sz="0" w:space="0" w:color="auto"/>
        <w:left w:val="none" w:sz="0" w:space="0" w:color="auto"/>
        <w:bottom w:val="none" w:sz="0" w:space="0" w:color="auto"/>
        <w:right w:val="none" w:sz="0" w:space="0" w:color="auto"/>
      </w:divBdr>
    </w:div>
    <w:div w:id="1648515220">
      <w:bodyDiv w:val="1"/>
      <w:marLeft w:val="0"/>
      <w:marRight w:val="0"/>
      <w:marTop w:val="0"/>
      <w:marBottom w:val="0"/>
      <w:divBdr>
        <w:top w:val="none" w:sz="0" w:space="0" w:color="auto"/>
        <w:left w:val="none" w:sz="0" w:space="0" w:color="auto"/>
        <w:bottom w:val="none" w:sz="0" w:space="0" w:color="auto"/>
        <w:right w:val="none" w:sz="0" w:space="0" w:color="auto"/>
      </w:divBdr>
    </w:div>
    <w:div w:id="1711760603">
      <w:bodyDiv w:val="1"/>
      <w:marLeft w:val="0"/>
      <w:marRight w:val="0"/>
      <w:marTop w:val="0"/>
      <w:marBottom w:val="0"/>
      <w:divBdr>
        <w:top w:val="none" w:sz="0" w:space="0" w:color="auto"/>
        <w:left w:val="none" w:sz="0" w:space="0" w:color="auto"/>
        <w:bottom w:val="none" w:sz="0" w:space="0" w:color="auto"/>
        <w:right w:val="none" w:sz="0" w:space="0" w:color="auto"/>
      </w:divBdr>
    </w:div>
    <w:div w:id="1718705104">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760637367">
      <w:bodyDiv w:val="1"/>
      <w:marLeft w:val="0"/>
      <w:marRight w:val="0"/>
      <w:marTop w:val="0"/>
      <w:marBottom w:val="0"/>
      <w:divBdr>
        <w:top w:val="none" w:sz="0" w:space="0" w:color="auto"/>
        <w:left w:val="none" w:sz="0" w:space="0" w:color="auto"/>
        <w:bottom w:val="none" w:sz="0" w:space="0" w:color="auto"/>
        <w:right w:val="none" w:sz="0" w:space="0" w:color="auto"/>
      </w:divBdr>
    </w:div>
    <w:div w:id="1841265903">
      <w:bodyDiv w:val="1"/>
      <w:marLeft w:val="0"/>
      <w:marRight w:val="0"/>
      <w:marTop w:val="0"/>
      <w:marBottom w:val="0"/>
      <w:divBdr>
        <w:top w:val="none" w:sz="0" w:space="0" w:color="auto"/>
        <w:left w:val="none" w:sz="0" w:space="0" w:color="auto"/>
        <w:bottom w:val="none" w:sz="0" w:space="0" w:color="auto"/>
        <w:right w:val="none" w:sz="0" w:space="0" w:color="auto"/>
      </w:divBdr>
    </w:div>
    <w:div w:id="1861580659">
      <w:bodyDiv w:val="1"/>
      <w:marLeft w:val="0"/>
      <w:marRight w:val="0"/>
      <w:marTop w:val="0"/>
      <w:marBottom w:val="0"/>
      <w:divBdr>
        <w:top w:val="none" w:sz="0" w:space="0" w:color="auto"/>
        <w:left w:val="none" w:sz="0" w:space="0" w:color="auto"/>
        <w:bottom w:val="none" w:sz="0" w:space="0" w:color="auto"/>
        <w:right w:val="none" w:sz="0" w:space="0" w:color="auto"/>
      </w:divBdr>
    </w:div>
    <w:div w:id="1996833611">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5/chapter/1-Recommendations" TargetMode="External"/><Relationship Id="rId13" Type="http://schemas.openxmlformats.org/officeDocument/2006/relationships/hyperlink" Target="https://www.nice.org.uk/get-involved/meetings-in-public/antimicrobials-evaluation-committee" TargetMode="External"/><Relationship Id="rId18" Type="http://schemas.openxmlformats.org/officeDocument/2006/relationships/hyperlink" Target="https://www.nice.org.uk/get-involved/meetings-in-public/antimicrobials-evaluation-committe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edicines.org.uk/emc/product/11771" TargetMode="External"/><Relationship Id="rId17" Type="http://schemas.openxmlformats.org/officeDocument/2006/relationships/hyperlink" Target="https://www.nice.org.uk/guidance/ng15" TargetMode="External"/><Relationship Id="rId2" Type="http://schemas.openxmlformats.org/officeDocument/2006/relationships/numbering" Target="numbering.xml"/><Relationship Id="rId16" Type="http://schemas.openxmlformats.org/officeDocument/2006/relationships/hyperlink" Target="https://www.nice.org.uk/about/what-we-do/life-sciences/scientific-advice/models-for-the-evaluation-and-purchase-of-antimicrobials/cefideroco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shionogi.eu" TargetMode="External"/><Relationship Id="rId5" Type="http://schemas.openxmlformats.org/officeDocument/2006/relationships/webSettings" Target="webSettings.xml"/><Relationship Id="rId15" Type="http://schemas.openxmlformats.org/officeDocument/2006/relationships/hyperlink" Target="https://eepru.sites.sheffield.ac.uk/reports-publications" TargetMode="External"/><Relationship Id="rId10" Type="http://schemas.openxmlformats.org/officeDocument/2006/relationships/hyperlink" Target="https://pharmacycatalogue.cmu.nhs.uk/pharmacycatalogue/formlogin.mth?returnurl=%2fpharmacycatalogue%2f" TargetMode="External"/><Relationship Id="rId19" Type="http://schemas.openxmlformats.org/officeDocument/2006/relationships/hyperlink" Target="https://www.nice.org.uk/about/what-we-do/life-sciences/scientific-advice/models-for-the-evaluation-and-purchase-of-antimicrobials/ceftazidime-with-avibactam" TargetMode="External"/><Relationship Id="rId4" Type="http://schemas.openxmlformats.org/officeDocument/2006/relationships/settings" Target="settings.xml"/><Relationship Id="rId9" Type="http://schemas.openxmlformats.org/officeDocument/2006/relationships/hyperlink" Target="file:///\\nice.nhs.uk\Data\Communications\Internal%20and%20web\Web\Projects\Antimicrobial%202022\Guidance%20and%20contract\&#61607;%09https:\www.nice.org.uk\Media\Default\About\what-we-do\Life-sciences\models-for-the-evaluation-and-purchase-of-antimicrobials\Contract.docx" TargetMode="External"/><Relationship Id="rId14" Type="http://schemas.openxmlformats.org/officeDocument/2006/relationships/hyperlink" Target="https://www.nice.org.uk/about/what-we-do/life-sciences/scientific-advice/models-for-the-evaluation-and-purchase-of-antimicrobials/cefiderocol-for-treating-severe-aerobic-gram-negative-bacterial-infections/committee-paper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C45DB-C2F0-4776-A83B-BE47297A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9108</Words>
  <Characters>51919</Characters>
  <Application>Microsoft Office Word</Application>
  <DocSecurity>0</DocSecurity>
  <Lines>432</Lines>
  <Paragraphs>121</Paragraphs>
  <ScaleCrop>false</ScaleCrop>
  <Company/>
  <LinksUpToDate>false</LinksUpToDate>
  <CharactersWithSpaces>60906</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2022-08-18T11:13:00Z</dcterms:created>
  <dcterms:modified xsi:type="dcterms:W3CDTF">2022-08-18T11:13:00Z</dcterms:modified>
</cp:coreProperties>
</file>