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BB303" w14:textId="77777777" w:rsidR="00AA4404" w:rsidRDefault="00AA4404">
      <w:pPr>
        <w:pStyle w:val="Title"/>
        <w:spacing w:after="120"/>
      </w:pPr>
    </w:p>
    <w:p w14:paraId="1DAF3536" w14:textId="77777777" w:rsidR="00881425" w:rsidRPr="005A2EE8" w:rsidRDefault="00AC1EFB">
      <w:pPr>
        <w:pStyle w:val="Title"/>
        <w:spacing w:after="120"/>
        <w:rPr>
          <w:sz w:val="36"/>
          <w:szCs w:val="36"/>
        </w:rPr>
      </w:pPr>
      <w:r w:rsidRPr="005A2EE8">
        <w:rPr>
          <w:sz w:val="36"/>
          <w:szCs w:val="36"/>
        </w:rPr>
        <w:t>NATIONAL INSTITUTE FOR HEALTH AND CARE EXCELLENCE</w:t>
      </w:r>
    </w:p>
    <w:p w14:paraId="65991828" w14:textId="77777777" w:rsidR="00881425" w:rsidRDefault="00881425">
      <w:pPr>
        <w:pStyle w:val="Title"/>
        <w:spacing w:after="120"/>
      </w:pPr>
    </w:p>
    <w:p w14:paraId="3D409192" w14:textId="77777777" w:rsidR="00881425" w:rsidRDefault="00881425" w:rsidP="00AE1C3A">
      <w:pPr>
        <w:pStyle w:val="NICEnormal"/>
      </w:pPr>
    </w:p>
    <w:p w14:paraId="711D5C1D" w14:textId="77777777" w:rsidR="00881425" w:rsidRDefault="00881425" w:rsidP="00AE1C3A">
      <w:pPr>
        <w:pStyle w:val="NICEnormal"/>
      </w:pPr>
    </w:p>
    <w:p w14:paraId="0E63A8B8" w14:textId="77777777" w:rsidR="00CD456D" w:rsidRPr="00AA4404" w:rsidRDefault="00D66CD3" w:rsidP="002B5A4C">
      <w:pPr>
        <w:pStyle w:val="Title"/>
        <w:spacing w:after="120"/>
        <w:jc w:val="left"/>
        <w:rPr>
          <w:b w:val="0"/>
          <w:bCs w:val="0"/>
          <w:color w:val="282828"/>
          <w:sz w:val="48"/>
          <w:szCs w:val="48"/>
          <w:lang w:eastAsia="en-GB"/>
        </w:rPr>
      </w:pPr>
      <w:r w:rsidRPr="00AA4404">
        <w:rPr>
          <w:b w:val="0"/>
          <w:bCs w:val="0"/>
          <w:color w:val="282828"/>
          <w:sz w:val="48"/>
          <w:szCs w:val="48"/>
          <w:lang w:eastAsia="en-GB"/>
        </w:rPr>
        <w:t>Accreditation process manual</w:t>
      </w:r>
      <w:r w:rsidR="00C02AC8">
        <w:rPr>
          <w:b w:val="0"/>
          <w:bCs w:val="0"/>
          <w:color w:val="282828"/>
          <w:sz w:val="48"/>
          <w:szCs w:val="48"/>
          <w:lang w:eastAsia="en-GB"/>
        </w:rPr>
        <w:t xml:space="preserve"> - renewals</w:t>
      </w:r>
    </w:p>
    <w:p w14:paraId="204C48C7" w14:textId="77777777" w:rsidR="00007570" w:rsidRPr="00007570" w:rsidRDefault="00007570" w:rsidP="00AE1C3A">
      <w:pPr>
        <w:pStyle w:val="NICEnormal"/>
        <w:rPr>
          <w:lang w:eastAsia="en-GB"/>
        </w:rPr>
      </w:pPr>
    </w:p>
    <w:p w14:paraId="2990BB08" w14:textId="77777777" w:rsidR="00007570" w:rsidRDefault="00007570" w:rsidP="00007570">
      <w:pPr>
        <w:autoSpaceDE w:val="0"/>
        <w:autoSpaceDN w:val="0"/>
        <w:adjustRightInd w:val="0"/>
        <w:spacing w:after="0" w:line="240" w:lineRule="auto"/>
        <w:ind w:left="0"/>
        <w:rPr>
          <w:rFonts w:cs="Arial"/>
          <w:b/>
          <w:bCs/>
          <w:color w:val="000000"/>
          <w:sz w:val="32"/>
          <w:szCs w:val="32"/>
          <w:lang w:eastAsia="en-GB"/>
        </w:rPr>
      </w:pPr>
      <w:r w:rsidRPr="00007570">
        <w:rPr>
          <w:rFonts w:cs="Arial"/>
          <w:b/>
          <w:bCs/>
          <w:color w:val="000000"/>
          <w:sz w:val="32"/>
          <w:szCs w:val="32"/>
          <w:lang w:eastAsia="en-GB"/>
        </w:rPr>
        <w:t xml:space="preserve">Process manual for </w:t>
      </w:r>
      <w:r w:rsidR="00C02AC8">
        <w:rPr>
          <w:rFonts w:cs="Arial"/>
          <w:b/>
          <w:bCs/>
          <w:color w:val="000000"/>
          <w:sz w:val="32"/>
          <w:szCs w:val="32"/>
          <w:lang w:eastAsia="en-GB"/>
        </w:rPr>
        <w:t xml:space="preserve">renewing </w:t>
      </w:r>
      <w:r w:rsidRPr="00007570">
        <w:rPr>
          <w:rFonts w:cs="Arial"/>
          <w:b/>
          <w:bCs/>
          <w:color w:val="000000"/>
          <w:sz w:val="32"/>
          <w:szCs w:val="32"/>
          <w:lang w:eastAsia="en-GB"/>
        </w:rPr>
        <w:t>accredit</w:t>
      </w:r>
      <w:r w:rsidR="00C02AC8">
        <w:rPr>
          <w:rFonts w:cs="Arial"/>
          <w:b/>
          <w:bCs/>
          <w:color w:val="000000"/>
          <w:sz w:val="32"/>
          <w:szCs w:val="32"/>
          <w:lang w:eastAsia="en-GB"/>
        </w:rPr>
        <w:t>at</w:t>
      </w:r>
      <w:r w:rsidRPr="00007570">
        <w:rPr>
          <w:rFonts w:cs="Arial"/>
          <w:b/>
          <w:bCs/>
          <w:color w:val="000000"/>
          <w:sz w:val="32"/>
          <w:szCs w:val="32"/>
          <w:lang w:eastAsia="en-GB"/>
        </w:rPr>
        <w:t>i</w:t>
      </w:r>
      <w:r w:rsidR="00C02AC8">
        <w:rPr>
          <w:rFonts w:cs="Arial"/>
          <w:b/>
          <w:bCs/>
          <w:color w:val="000000"/>
          <w:sz w:val="32"/>
          <w:szCs w:val="32"/>
          <w:lang w:eastAsia="en-GB"/>
        </w:rPr>
        <w:t>o</w:t>
      </w:r>
      <w:r w:rsidRPr="00007570">
        <w:rPr>
          <w:rFonts w:cs="Arial"/>
          <w:b/>
          <w:bCs/>
          <w:color w:val="000000"/>
          <w:sz w:val="32"/>
          <w:szCs w:val="32"/>
          <w:lang w:eastAsia="en-GB"/>
        </w:rPr>
        <w:t>n</w:t>
      </w:r>
      <w:r w:rsidR="00C02AC8">
        <w:rPr>
          <w:rFonts w:cs="Arial"/>
          <w:b/>
          <w:bCs/>
          <w:color w:val="000000"/>
          <w:sz w:val="32"/>
          <w:szCs w:val="32"/>
          <w:lang w:eastAsia="en-GB"/>
        </w:rPr>
        <w:t xml:space="preserve"> for</w:t>
      </w:r>
      <w:r w:rsidRPr="00007570">
        <w:rPr>
          <w:rFonts w:cs="Arial"/>
          <w:b/>
          <w:bCs/>
          <w:color w:val="000000"/>
          <w:sz w:val="32"/>
          <w:szCs w:val="32"/>
          <w:lang w:eastAsia="en-GB"/>
        </w:rPr>
        <w:t xml:space="preserve"> producers of guidance, </w:t>
      </w:r>
      <w:proofErr w:type="gramStart"/>
      <w:r w:rsidRPr="00007570">
        <w:rPr>
          <w:rFonts w:cs="Arial"/>
          <w:b/>
          <w:bCs/>
          <w:color w:val="000000"/>
          <w:sz w:val="32"/>
          <w:szCs w:val="32"/>
          <w:lang w:eastAsia="en-GB"/>
        </w:rPr>
        <w:t>advice</w:t>
      </w:r>
      <w:proofErr w:type="gramEnd"/>
      <w:r w:rsidRPr="00007570">
        <w:rPr>
          <w:rFonts w:cs="Arial"/>
          <w:b/>
          <w:bCs/>
          <w:color w:val="000000"/>
          <w:sz w:val="32"/>
          <w:szCs w:val="32"/>
          <w:lang w:eastAsia="en-GB"/>
        </w:rPr>
        <w:t xml:space="preserve"> and recommendations for practice</w:t>
      </w:r>
      <w:r w:rsidR="005106C1">
        <w:rPr>
          <w:rFonts w:cs="Arial"/>
          <w:b/>
          <w:bCs/>
          <w:color w:val="000000"/>
          <w:sz w:val="32"/>
          <w:szCs w:val="32"/>
          <w:lang w:eastAsia="en-GB"/>
        </w:rPr>
        <w:t xml:space="preserve"> already NICE accredited</w:t>
      </w:r>
    </w:p>
    <w:p w14:paraId="3063F959" w14:textId="77777777" w:rsidR="005106C1" w:rsidRDefault="005106C1" w:rsidP="00AE1C3A">
      <w:pPr>
        <w:pStyle w:val="NICEnormal"/>
        <w:rPr>
          <w:lang w:eastAsia="en-GB"/>
        </w:rPr>
      </w:pPr>
    </w:p>
    <w:p w14:paraId="0661A433" w14:textId="77777777" w:rsidR="00007570" w:rsidRDefault="00007570" w:rsidP="00AE1C3A">
      <w:pPr>
        <w:pStyle w:val="NICEnormal"/>
        <w:rPr>
          <w:lang w:eastAsia="en-GB"/>
        </w:rPr>
      </w:pPr>
    </w:p>
    <w:p w14:paraId="6AE4FC56" w14:textId="77777777" w:rsidR="00007570" w:rsidRDefault="00007570" w:rsidP="00AE1C3A">
      <w:pPr>
        <w:pStyle w:val="NICEnormal"/>
        <w:rPr>
          <w:lang w:eastAsia="en-GB"/>
        </w:rPr>
      </w:pPr>
    </w:p>
    <w:p w14:paraId="6DB157D7" w14:textId="77777777" w:rsidR="00007570" w:rsidRDefault="00007570" w:rsidP="00AE1C3A">
      <w:pPr>
        <w:pStyle w:val="NICEnormal"/>
        <w:rPr>
          <w:lang w:eastAsia="en-GB"/>
        </w:rPr>
      </w:pPr>
    </w:p>
    <w:p w14:paraId="4783C2D3" w14:textId="77777777" w:rsidR="00007570" w:rsidRDefault="00007570" w:rsidP="00AE1C3A">
      <w:pPr>
        <w:pStyle w:val="NICEnormal"/>
        <w:rPr>
          <w:lang w:eastAsia="en-GB"/>
        </w:rPr>
      </w:pPr>
    </w:p>
    <w:p w14:paraId="24D5EBE6" w14:textId="77777777" w:rsidR="00007570" w:rsidRDefault="00007570" w:rsidP="00AE1C3A">
      <w:pPr>
        <w:pStyle w:val="NICEnormal"/>
        <w:rPr>
          <w:lang w:eastAsia="en-GB"/>
        </w:rPr>
      </w:pPr>
    </w:p>
    <w:p w14:paraId="3DC7A8D4" w14:textId="77777777" w:rsidR="00007570" w:rsidRDefault="00007570" w:rsidP="00AE1C3A">
      <w:pPr>
        <w:pStyle w:val="NICEnormal"/>
        <w:rPr>
          <w:lang w:eastAsia="en-GB"/>
        </w:rPr>
      </w:pPr>
    </w:p>
    <w:p w14:paraId="2FA4916D" w14:textId="77777777" w:rsidR="00007570" w:rsidRDefault="00007570" w:rsidP="00007570">
      <w:pPr>
        <w:autoSpaceDE w:val="0"/>
        <w:autoSpaceDN w:val="0"/>
        <w:adjustRightInd w:val="0"/>
        <w:spacing w:after="0" w:line="240" w:lineRule="auto"/>
        <w:ind w:left="0"/>
        <w:rPr>
          <w:rFonts w:cs="Arial"/>
          <w:color w:val="000000"/>
          <w:sz w:val="23"/>
          <w:szCs w:val="23"/>
          <w:lang w:eastAsia="en-GB"/>
        </w:rPr>
      </w:pPr>
      <w:r w:rsidRPr="00007570">
        <w:rPr>
          <w:rFonts w:cs="Arial"/>
          <w:color w:val="000000"/>
          <w:sz w:val="23"/>
          <w:szCs w:val="23"/>
          <w:lang w:eastAsia="en-GB"/>
        </w:rPr>
        <w:t>Fi</w:t>
      </w:r>
      <w:r w:rsidR="00C02AC8">
        <w:rPr>
          <w:rFonts w:cs="Arial"/>
          <w:color w:val="000000"/>
          <w:sz w:val="23"/>
          <w:szCs w:val="23"/>
          <w:lang w:eastAsia="en-GB"/>
        </w:rPr>
        <w:t>rst</w:t>
      </w:r>
      <w:r w:rsidR="00B07415">
        <w:rPr>
          <w:rFonts w:cs="Arial"/>
          <w:color w:val="000000"/>
          <w:sz w:val="23"/>
          <w:szCs w:val="23"/>
          <w:lang w:eastAsia="en-GB"/>
        </w:rPr>
        <w:t xml:space="preserve"> version</w:t>
      </w:r>
      <w:r w:rsidRPr="00007570">
        <w:rPr>
          <w:rFonts w:cs="Arial"/>
          <w:color w:val="000000"/>
          <w:sz w:val="23"/>
          <w:szCs w:val="23"/>
          <w:lang w:eastAsia="en-GB"/>
        </w:rPr>
        <w:t xml:space="preserve">: </w:t>
      </w:r>
      <w:r w:rsidR="00C02AC8">
        <w:rPr>
          <w:rFonts w:cs="Arial"/>
          <w:color w:val="000000"/>
          <w:sz w:val="23"/>
          <w:szCs w:val="23"/>
          <w:lang w:eastAsia="en-GB"/>
        </w:rPr>
        <w:t>August</w:t>
      </w:r>
      <w:r>
        <w:rPr>
          <w:rFonts w:cs="Arial"/>
          <w:color w:val="000000"/>
          <w:sz w:val="23"/>
          <w:szCs w:val="23"/>
          <w:lang w:eastAsia="en-GB"/>
        </w:rPr>
        <w:t xml:space="preserve"> </w:t>
      </w:r>
      <w:r w:rsidRPr="00007570">
        <w:rPr>
          <w:rFonts w:cs="Arial"/>
          <w:color w:val="000000"/>
          <w:sz w:val="23"/>
          <w:szCs w:val="23"/>
          <w:lang w:eastAsia="en-GB"/>
        </w:rPr>
        <w:t>201</w:t>
      </w:r>
      <w:r w:rsidR="00DC11F3">
        <w:rPr>
          <w:rFonts w:cs="Arial"/>
          <w:color w:val="000000"/>
          <w:sz w:val="23"/>
          <w:szCs w:val="23"/>
          <w:lang w:eastAsia="en-GB"/>
        </w:rPr>
        <w:t>7</w:t>
      </w:r>
    </w:p>
    <w:p w14:paraId="576BD637" w14:textId="77777777" w:rsidR="00C5044B" w:rsidRPr="00007570" w:rsidRDefault="00B07415" w:rsidP="00007570">
      <w:pPr>
        <w:autoSpaceDE w:val="0"/>
        <w:autoSpaceDN w:val="0"/>
        <w:adjustRightInd w:val="0"/>
        <w:spacing w:after="0" w:line="240" w:lineRule="auto"/>
        <w:ind w:left="0"/>
        <w:rPr>
          <w:rFonts w:cs="Arial"/>
          <w:color w:val="000000"/>
          <w:sz w:val="23"/>
          <w:szCs w:val="23"/>
          <w:lang w:eastAsia="en-GB"/>
        </w:rPr>
      </w:pPr>
      <w:r>
        <w:rPr>
          <w:rFonts w:cs="Arial"/>
          <w:color w:val="000000"/>
          <w:sz w:val="23"/>
          <w:szCs w:val="23"/>
          <w:lang w:eastAsia="en-GB"/>
        </w:rPr>
        <w:t>This version</w:t>
      </w:r>
      <w:r w:rsidR="00C5044B">
        <w:rPr>
          <w:rFonts w:cs="Arial"/>
          <w:color w:val="000000"/>
          <w:sz w:val="23"/>
          <w:szCs w:val="23"/>
          <w:lang w:eastAsia="en-GB"/>
        </w:rPr>
        <w:t xml:space="preserve">: </w:t>
      </w:r>
      <w:r w:rsidR="00023765">
        <w:rPr>
          <w:rFonts w:cs="Arial"/>
          <w:color w:val="000000"/>
          <w:sz w:val="23"/>
          <w:szCs w:val="23"/>
          <w:lang w:eastAsia="en-GB"/>
        </w:rPr>
        <w:t>January</w:t>
      </w:r>
      <w:r w:rsidR="000D1FB9">
        <w:rPr>
          <w:rFonts w:cs="Arial"/>
          <w:color w:val="000000"/>
          <w:sz w:val="23"/>
          <w:szCs w:val="23"/>
          <w:lang w:eastAsia="en-GB"/>
        </w:rPr>
        <w:t xml:space="preserve"> 20</w:t>
      </w:r>
      <w:r w:rsidR="00DC11F3">
        <w:rPr>
          <w:rFonts w:cs="Arial"/>
          <w:color w:val="000000"/>
          <w:sz w:val="23"/>
          <w:szCs w:val="23"/>
          <w:lang w:eastAsia="en-GB"/>
        </w:rPr>
        <w:t>2</w:t>
      </w:r>
      <w:r w:rsidR="00023765">
        <w:rPr>
          <w:rFonts w:cs="Arial"/>
          <w:color w:val="000000"/>
          <w:sz w:val="23"/>
          <w:szCs w:val="23"/>
          <w:lang w:eastAsia="en-GB"/>
        </w:rPr>
        <w:t>1</w:t>
      </w:r>
    </w:p>
    <w:p w14:paraId="5F05F118" w14:textId="77777777" w:rsidR="003B7CA6" w:rsidRPr="00527598" w:rsidRDefault="00007570" w:rsidP="00A53AB6">
      <w:pPr>
        <w:pStyle w:val="Title"/>
        <w:spacing w:after="120"/>
        <w:jc w:val="left"/>
      </w:pPr>
      <w:r w:rsidRPr="00007570">
        <w:rPr>
          <w:b w:val="0"/>
          <w:bCs w:val="0"/>
          <w:color w:val="000000"/>
          <w:sz w:val="23"/>
          <w:szCs w:val="23"/>
          <w:lang w:eastAsia="en-GB"/>
        </w:rPr>
        <w:t xml:space="preserve">Review date: </w:t>
      </w:r>
      <w:bookmarkStart w:id="0" w:name="_Toc219101947"/>
      <w:bookmarkStart w:id="1" w:name="_Toc219115648"/>
      <w:bookmarkEnd w:id="0"/>
      <w:bookmarkEnd w:id="1"/>
      <w:r w:rsidR="00023765">
        <w:rPr>
          <w:b w:val="0"/>
          <w:bCs w:val="0"/>
          <w:color w:val="000000"/>
          <w:sz w:val="23"/>
          <w:szCs w:val="23"/>
          <w:lang w:eastAsia="en-GB"/>
        </w:rPr>
        <w:t xml:space="preserve">January </w:t>
      </w:r>
      <w:r w:rsidR="00562E43">
        <w:rPr>
          <w:b w:val="0"/>
          <w:bCs w:val="0"/>
          <w:color w:val="000000"/>
          <w:sz w:val="23"/>
          <w:szCs w:val="23"/>
          <w:lang w:eastAsia="en-GB"/>
        </w:rPr>
        <w:t>202</w:t>
      </w:r>
      <w:r w:rsidR="00023765">
        <w:rPr>
          <w:b w:val="0"/>
          <w:bCs w:val="0"/>
          <w:color w:val="000000"/>
          <w:sz w:val="23"/>
          <w:szCs w:val="23"/>
          <w:lang w:eastAsia="en-GB"/>
        </w:rPr>
        <w:t>4</w:t>
      </w:r>
    </w:p>
    <w:p w14:paraId="01FEFBE4" w14:textId="77777777" w:rsidR="00E0435D" w:rsidRDefault="00E0435D" w:rsidP="0049256E">
      <w:pPr>
        <w:pStyle w:val="Numberedheading1"/>
      </w:pPr>
      <w:bookmarkStart w:id="2" w:name="_Toc404338484"/>
      <w:r w:rsidRPr="0049256E">
        <w:lastRenderedPageBreak/>
        <w:t>Introduction</w:t>
      </w:r>
    </w:p>
    <w:p w14:paraId="2E1208F6" w14:textId="77777777" w:rsidR="00E2690B" w:rsidRDefault="00B72B47" w:rsidP="00E2690B">
      <w:pPr>
        <w:pStyle w:val="NICEnormal"/>
      </w:pPr>
      <w:r>
        <w:t>NICE continue</w:t>
      </w:r>
      <w:r w:rsidR="00B873C7">
        <w:t>s</w:t>
      </w:r>
      <w:r w:rsidRPr="00165185">
        <w:t xml:space="preserve"> to have an ongoing relationship with accredited guidance producers </w:t>
      </w:r>
      <w:r>
        <w:t xml:space="preserve">and </w:t>
      </w:r>
      <w:r w:rsidRPr="00F80C0C">
        <w:t>encourage</w:t>
      </w:r>
      <w:r w:rsidR="00B873C7">
        <w:t>s</w:t>
      </w:r>
      <w:r>
        <w:t xml:space="preserve"> producers</w:t>
      </w:r>
      <w:r w:rsidRPr="00F80C0C">
        <w:t xml:space="preserve"> to maintain and ideally continue </w:t>
      </w:r>
      <w:r>
        <w:t xml:space="preserve">to improve their processes via this </w:t>
      </w:r>
      <w:r w:rsidRPr="00F80C0C">
        <w:t>renewal process</w:t>
      </w:r>
      <w:r w:rsidR="00E2690B">
        <w:t>.</w:t>
      </w:r>
      <w:r w:rsidR="00B33BC3">
        <w:t xml:space="preserve"> </w:t>
      </w:r>
    </w:p>
    <w:p w14:paraId="04EE8284" w14:textId="77777777" w:rsidR="00B33BC3" w:rsidRDefault="0006705D" w:rsidP="00E2690B">
      <w:pPr>
        <w:pStyle w:val="NICEnormal"/>
        <w:sectPr w:rsidR="00B33BC3" w:rsidSect="00DE4756">
          <w:headerReference w:type="default" r:id="rId8"/>
          <w:footerReference w:type="default" r:id="rId9"/>
          <w:pgSz w:w="11906" w:h="16838" w:code="9"/>
          <w:pgMar w:top="1797" w:right="1440" w:bottom="1797" w:left="1440" w:header="709" w:footer="271" w:gutter="0"/>
          <w:cols w:space="708"/>
          <w:docGrid w:linePitch="360"/>
        </w:sectPr>
      </w:pPr>
      <w:bookmarkStart w:id="3" w:name="_Hlk62832532"/>
      <w:r w:rsidRPr="0006705D">
        <w:t>The accreditation programme will</w:t>
      </w:r>
      <w:r>
        <w:t xml:space="preserve"> </w:t>
      </w:r>
      <w:r w:rsidRPr="0006705D">
        <w:t>be more closely aligned with the development and maintenance of NICE guideline recommendations. Accreditation adds value to NICE guideline development by utilising high quality guidance produced by others. This will support the ambition to evolve existing NICE guidelines into suites of recommendations around priority topics. These may use guidance from accredited producers to inform the development of recommendations where there is no existing NICE guidance on a particular topic</w:t>
      </w:r>
      <w:r w:rsidR="00B33BC3">
        <w:t>.</w:t>
      </w:r>
    </w:p>
    <w:bookmarkEnd w:id="3"/>
    <w:p w14:paraId="4D11AE76" w14:textId="77777777" w:rsidR="00B72B47" w:rsidRPr="00F80C0C" w:rsidRDefault="00B72B47" w:rsidP="00E2690B">
      <w:pPr>
        <w:pStyle w:val="NICEnormal"/>
      </w:pPr>
    </w:p>
    <w:p w14:paraId="3A5EBAA9" w14:textId="77777777" w:rsidR="00E60104" w:rsidRPr="00E60104" w:rsidRDefault="00C157A2" w:rsidP="00E2690B">
      <w:pPr>
        <w:pStyle w:val="Numberedheading1"/>
        <w:spacing w:before="0" w:after="240"/>
      </w:pPr>
      <w:r w:rsidRPr="009805F8">
        <w:t xml:space="preserve">Aims, scope and </w:t>
      </w:r>
      <w:proofErr w:type="gramStart"/>
      <w:r w:rsidRPr="0049256E">
        <w:t>approach</w:t>
      </w:r>
      <w:bookmarkEnd w:id="2"/>
      <w:proofErr w:type="gramEnd"/>
      <w:r w:rsidR="00C34164">
        <w:t xml:space="preserve"> </w:t>
      </w:r>
    </w:p>
    <w:p w14:paraId="5F2BBE68" w14:textId="77777777" w:rsidR="00373218" w:rsidRPr="009805F8" w:rsidRDefault="0071354C" w:rsidP="0049256E">
      <w:pPr>
        <w:pStyle w:val="Numberedheading2"/>
      </w:pPr>
      <w:bookmarkStart w:id="4" w:name="_Ref218657916"/>
      <w:bookmarkStart w:id="5" w:name="_Toc238628322"/>
      <w:bookmarkStart w:id="6" w:name="_Toc404338485"/>
      <w:r w:rsidRPr="009805F8">
        <w:t xml:space="preserve">Aims and </w:t>
      </w:r>
      <w:proofErr w:type="gramStart"/>
      <w:r w:rsidRPr="009805F8">
        <w:t>scope</w:t>
      </w:r>
      <w:bookmarkEnd w:id="4"/>
      <w:bookmarkEnd w:id="5"/>
      <w:bookmarkEnd w:id="6"/>
      <w:proofErr w:type="gramEnd"/>
    </w:p>
    <w:p w14:paraId="2C3493E5" w14:textId="77777777" w:rsidR="00855112" w:rsidRPr="0049256E" w:rsidRDefault="00611314" w:rsidP="0049256E">
      <w:pPr>
        <w:pStyle w:val="Numberedlevel3text"/>
      </w:pPr>
      <w:r>
        <w:t xml:space="preserve">The </w:t>
      </w:r>
      <w:r w:rsidR="0038418D" w:rsidRPr="0038418D">
        <w:t xml:space="preserve">purpose of </w:t>
      </w:r>
      <w:r w:rsidR="002110E9">
        <w:t xml:space="preserve">NICE </w:t>
      </w:r>
      <w:r w:rsidR="00A67D96" w:rsidRPr="00A51198">
        <w:rPr>
          <w:b/>
        </w:rPr>
        <w:t>a</w:t>
      </w:r>
      <w:r w:rsidR="00CD7B84" w:rsidRPr="00A51198">
        <w:rPr>
          <w:b/>
        </w:rPr>
        <w:t>ccreditation</w:t>
      </w:r>
      <w:r w:rsidR="0038418D" w:rsidRPr="0038418D">
        <w:t xml:space="preserve"> is to </w:t>
      </w:r>
      <w:r>
        <w:t xml:space="preserve">help users identify </w:t>
      </w:r>
      <w:r w:rsidR="00E92917">
        <w:t xml:space="preserve">the </w:t>
      </w:r>
      <w:r>
        <w:t>most trus</w:t>
      </w:r>
      <w:r w:rsidR="00194F78">
        <w:t xml:space="preserve">ted sources of </w:t>
      </w:r>
      <w:r w:rsidR="00E60104">
        <w:t>guidance</w:t>
      </w:r>
      <w:r w:rsidR="00E92917">
        <w:t xml:space="preserve"> </w:t>
      </w:r>
      <w:r w:rsidR="00BE3992">
        <w:t xml:space="preserve">that have been </w:t>
      </w:r>
      <w:r w:rsidR="00E92917">
        <w:t xml:space="preserve">developed using critically evaluated </w:t>
      </w:r>
      <w:r w:rsidR="00BE3992">
        <w:t>high-</w:t>
      </w:r>
      <w:r w:rsidR="00E92917">
        <w:t>quality processes</w:t>
      </w:r>
      <w:r w:rsidR="00194F78">
        <w:t xml:space="preserve">. </w:t>
      </w:r>
      <w:r w:rsidR="00281B21">
        <w:t>I</w:t>
      </w:r>
      <w:r>
        <w:t>n the long term</w:t>
      </w:r>
      <w:r w:rsidR="00281B21">
        <w:t xml:space="preserve">, this will </w:t>
      </w:r>
      <w:r w:rsidR="00BE3992">
        <w:t>improve</w:t>
      </w:r>
      <w:r w:rsidR="0038418D" w:rsidRPr="0038418D">
        <w:t xml:space="preserve"> the quality of information </w:t>
      </w:r>
      <w:r>
        <w:t>produced for</w:t>
      </w:r>
      <w:r w:rsidR="0038418D" w:rsidRPr="0038418D">
        <w:t xml:space="preserve"> health and social ca</w:t>
      </w:r>
      <w:r>
        <w:t xml:space="preserve">re </w:t>
      </w:r>
      <w:r w:rsidR="00BE3992">
        <w:t>decision-</w:t>
      </w:r>
      <w:r>
        <w:t>makers</w:t>
      </w:r>
      <w:r w:rsidRPr="009805F8">
        <w:t xml:space="preserve">. </w:t>
      </w:r>
      <w:r w:rsidR="00855112" w:rsidRPr="0049256E">
        <w:t>The accreditation programme assesse</w:t>
      </w:r>
      <w:r w:rsidR="00C802DF" w:rsidRPr="0049256E">
        <w:t>s</w:t>
      </w:r>
      <w:r w:rsidR="00855112" w:rsidRPr="0049256E">
        <w:t xml:space="preserve"> the processes by which guidance is developed and not the content.</w:t>
      </w:r>
      <w:r w:rsidR="00AC1F12" w:rsidRPr="0049256E">
        <w:t xml:space="preserve"> </w:t>
      </w:r>
      <w:r w:rsidR="0093672A" w:rsidRPr="0049256E">
        <w:t>I</w:t>
      </w:r>
      <w:r w:rsidR="00855112" w:rsidRPr="0049256E">
        <w:t xml:space="preserve">ndividual pieces of guidance produced via an accredited process bear the </w:t>
      </w:r>
      <w:r w:rsidR="00855112" w:rsidRPr="0049256E">
        <w:rPr>
          <w:b/>
        </w:rPr>
        <w:t>Accreditation Mark</w:t>
      </w:r>
      <w:r w:rsidR="00855112" w:rsidRPr="0049256E">
        <w:t>.</w:t>
      </w:r>
    </w:p>
    <w:p w14:paraId="781A722F" w14:textId="77777777" w:rsidR="00A53AB6" w:rsidRPr="0049256E" w:rsidRDefault="00C802DF" w:rsidP="0049256E">
      <w:pPr>
        <w:pStyle w:val="Numberedlevel3text"/>
      </w:pPr>
      <w:r>
        <w:t>N</w:t>
      </w:r>
      <w:r w:rsidR="00A53AB6">
        <w:t xml:space="preserve">ew applications </w:t>
      </w:r>
      <w:r>
        <w:t xml:space="preserve">are no longer accepted, </w:t>
      </w:r>
      <w:r w:rsidR="00A53AB6">
        <w:t xml:space="preserve">but </w:t>
      </w:r>
      <w:r>
        <w:t xml:space="preserve">NICE has </w:t>
      </w:r>
      <w:r w:rsidR="009F7F23">
        <w:t>a renewal process to</w:t>
      </w:r>
      <w:r w:rsidR="00A53AB6">
        <w:t xml:space="preserve"> ensure that existing accredited producers maintain the </w:t>
      </w:r>
      <w:r w:rsidR="00A53AB6">
        <w:lastRenderedPageBreak/>
        <w:t>standards of accreditation</w:t>
      </w:r>
      <w:r>
        <w:t xml:space="preserve">. Their </w:t>
      </w:r>
      <w:r w:rsidR="00A53AB6">
        <w:t xml:space="preserve">process and </w:t>
      </w:r>
      <w:r w:rsidR="005106C1">
        <w:t xml:space="preserve">guidance </w:t>
      </w:r>
      <w:r w:rsidR="00A53AB6">
        <w:t xml:space="preserve">examples </w:t>
      </w:r>
      <w:r w:rsidR="00983BA4">
        <w:t>will continue to</w:t>
      </w:r>
      <w:r>
        <w:t xml:space="preserve"> be reviewed </w:t>
      </w:r>
      <w:r w:rsidR="00A53AB6">
        <w:t>every 5 years.</w:t>
      </w:r>
    </w:p>
    <w:p w14:paraId="299B658B" w14:textId="77777777" w:rsidR="00F3031B" w:rsidRDefault="00BC7FDE" w:rsidP="0049256E">
      <w:pPr>
        <w:pStyle w:val="Numberedheading2"/>
      </w:pPr>
      <w:bookmarkStart w:id="7" w:name="_Toc404338488"/>
      <w:r>
        <w:t xml:space="preserve">Criteria </w:t>
      </w:r>
      <w:r w:rsidR="00A53AB6">
        <w:t>used in</w:t>
      </w:r>
      <w:r>
        <w:t xml:space="preserve"> </w:t>
      </w:r>
      <w:proofErr w:type="gramStart"/>
      <w:r w:rsidR="004A1E5F">
        <w:t>a</w:t>
      </w:r>
      <w:r w:rsidR="004E7C83">
        <w:t>ccreditation</w:t>
      </w:r>
      <w:bookmarkEnd w:id="7"/>
      <w:proofErr w:type="gramEnd"/>
    </w:p>
    <w:p w14:paraId="499351B3" w14:textId="77777777" w:rsidR="004E7C83" w:rsidRDefault="004E7C83" w:rsidP="0049256E">
      <w:pPr>
        <w:pStyle w:val="Numberedlevel3text"/>
      </w:pPr>
      <w:r w:rsidRPr="009805F8">
        <w:t xml:space="preserve">The </w:t>
      </w:r>
      <w:r w:rsidRPr="00644CA7">
        <w:rPr>
          <w:b/>
        </w:rPr>
        <w:t>accreditation criteria</w:t>
      </w:r>
      <w:r w:rsidRPr="009805F8">
        <w:t xml:space="preserve"> are based on the </w:t>
      </w:r>
      <w:hyperlink r:id="rId10" w:history="1">
        <w:r w:rsidRPr="00401246">
          <w:rPr>
            <w:rStyle w:val="Hyperlink"/>
          </w:rPr>
          <w:t xml:space="preserve">Appraisal of </w:t>
        </w:r>
        <w:r w:rsidR="008D0EC3" w:rsidRPr="00401246">
          <w:rPr>
            <w:rStyle w:val="Hyperlink"/>
          </w:rPr>
          <w:t>G</w:t>
        </w:r>
        <w:r w:rsidRPr="00401246">
          <w:rPr>
            <w:rStyle w:val="Hyperlink"/>
          </w:rPr>
          <w:t xml:space="preserve">uidelines </w:t>
        </w:r>
        <w:r w:rsidR="008D0EC3" w:rsidRPr="00401246">
          <w:rPr>
            <w:rStyle w:val="Hyperlink"/>
          </w:rPr>
          <w:t>R</w:t>
        </w:r>
        <w:r w:rsidRPr="00401246">
          <w:rPr>
            <w:rStyle w:val="Hyperlink"/>
          </w:rPr>
          <w:t xml:space="preserve">esearch and </w:t>
        </w:r>
        <w:r w:rsidR="008D0EC3" w:rsidRPr="00401246">
          <w:rPr>
            <w:rStyle w:val="Hyperlink"/>
          </w:rPr>
          <w:t>E</w:t>
        </w:r>
        <w:r w:rsidRPr="00401246">
          <w:rPr>
            <w:rStyle w:val="Hyperlink"/>
          </w:rPr>
          <w:t>valuation (AGREE)</w:t>
        </w:r>
        <w:r w:rsidR="00A974E8" w:rsidRPr="00401246">
          <w:rPr>
            <w:rStyle w:val="Hyperlink"/>
          </w:rPr>
          <w:t xml:space="preserve"> II</w:t>
        </w:r>
        <w:r w:rsidRPr="00401246">
          <w:rPr>
            <w:rStyle w:val="Hyperlink"/>
          </w:rPr>
          <w:t xml:space="preserve"> instrument</w:t>
        </w:r>
      </w:hyperlink>
      <w:r w:rsidR="001275D5">
        <w:t xml:space="preserve">. </w:t>
      </w:r>
      <w:r w:rsidRPr="009805F8">
        <w:t xml:space="preserve">The AGREE instrument was developed to assess </w:t>
      </w:r>
      <w:r w:rsidR="006F7410">
        <w:t xml:space="preserve">the quality of individual </w:t>
      </w:r>
      <w:r w:rsidRPr="009805F8">
        <w:t xml:space="preserve">clinical guidelines, and </w:t>
      </w:r>
      <w:r w:rsidR="0060738A" w:rsidRPr="009805F8">
        <w:t>ha</w:t>
      </w:r>
      <w:r w:rsidR="0060738A">
        <w:t>s</w:t>
      </w:r>
      <w:r w:rsidR="0060738A" w:rsidRPr="009805F8">
        <w:t xml:space="preserve"> </w:t>
      </w:r>
      <w:r w:rsidRPr="009805F8">
        <w:t xml:space="preserve">been expanded to encompass other types of </w:t>
      </w:r>
      <w:r w:rsidR="00E60104">
        <w:t>guidance</w:t>
      </w:r>
      <w:r w:rsidRPr="009805F8">
        <w:t xml:space="preserve"> that fit the definition </w:t>
      </w:r>
      <w:r w:rsidR="006F7410">
        <w:t xml:space="preserve">for NICE </w:t>
      </w:r>
      <w:r w:rsidR="004A1E5F">
        <w:t>a</w:t>
      </w:r>
      <w:r w:rsidR="006F7410">
        <w:t>ccreditation</w:t>
      </w:r>
      <w:r w:rsidR="00A53AB6">
        <w:t>.</w:t>
      </w:r>
      <w:r w:rsidRPr="009805F8">
        <w:t xml:space="preserve"> The assessment criteria may be a</w:t>
      </w:r>
      <w:r>
        <w:t xml:space="preserve">pplied according to the </w:t>
      </w:r>
      <w:r w:rsidR="00705108">
        <w:rPr>
          <w:lang w:val="en-GB"/>
        </w:rPr>
        <w:t>type</w:t>
      </w:r>
      <w:r w:rsidR="00705108">
        <w:t xml:space="preserve"> </w:t>
      </w:r>
      <w:r>
        <w:t xml:space="preserve">of guidance product under consideration. This </w:t>
      </w:r>
      <w:r>
        <w:lastRenderedPageBreak/>
        <w:t xml:space="preserve">allows for a complete assessment on a </w:t>
      </w:r>
      <w:r w:rsidR="0060738A">
        <w:t>case-by-</w:t>
      </w:r>
      <w:r>
        <w:t>c</w:t>
      </w:r>
      <w:r w:rsidR="00222CAF">
        <w:t>ase basis.</w:t>
      </w:r>
      <w:r w:rsidR="00DC6CBF">
        <w:t xml:space="preserve"> </w:t>
      </w:r>
      <w:r w:rsidR="00705108">
        <w:rPr>
          <w:lang w:val="en-GB"/>
        </w:rPr>
        <w:t>Appendix A details the Accreditation criteria.</w:t>
      </w:r>
      <w:r w:rsidR="006F7410">
        <w:t xml:space="preserve"> </w:t>
      </w:r>
    </w:p>
    <w:p w14:paraId="33B20F74" w14:textId="77777777" w:rsidR="00F3031B" w:rsidRDefault="00F3031B" w:rsidP="0049256E">
      <w:pPr>
        <w:pStyle w:val="Numberedheading2"/>
      </w:pPr>
      <w:bookmarkStart w:id="8" w:name="_Toc404338489"/>
      <w:r>
        <w:t>Term of accreditation</w:t>
      </w:r>
      <w:bookmarkEnd w:id="8"/>
    </w:p>
    <w:p w14:paraId="51079D4C" w14:textId="77777777" w:rsidR="008564E7" w:rsidRPr="008D454E" w:rsidRDefault="00486380" w:rsidP="0049256E">
      <w:pPr>
        <w:pStyle w:val="Numberedlevel3text"/>
      </w:pPr>
      <w:r>
        <w:t xml:space="preserve">The term of </w:t>
      </w:r>
      <w:r w:rsidR="0070520B">
        <w:t>Accreditation</w:t>
      </w:r>
      <w:r>
        <w:t xml:space="preserve"> lasts </w:t>
      </w:r>
      <w:r w:rsidR="007E3713">
        <w:t xml:space="preserve">for </w:t>
      </w:r>
      <w:r w:rsidR="0060738A">
        <w:t>5</w:t>
      </w:r>
      <w:r w:rsidR="00730A86">
        <w:t> </w:t>
      </w:r>
      <w:r w:rsidR="0070520B">
        <w:t xml:space="preserve">years </w:t>
      </w:r>
      <w:r w:rsidR="00747558">
        <w:t xml:space="preserve">from the date </w:t>
      </w:r>
      <w:r w:rsidR="0060738A">
        <w:t>of</w:t>
      </w:r>
      <w:r>
        <w:t xml:space="preserve"> the</w:t>
      </w:r>
      <w:r w:rsidR="0060738A">
        <w:t xml:space="preserve"> </w:t>
      </w:r>
      <w:r w:rsidR="00B72B47">
        <w:t xml:space="preserve">last </w:t>
      </w:r>
      <w:r w:rsidR="00747558">
        <w:t>accreditation</w:t>
      </w:r>
      <w:r>
        <w:t xml:space="preserve"> decision</w:t>
      </w:r>
      <w:r w:rsidR="004821C7">
        <w:t xml:space="preserve"> (new or renewal)</w:t>
      </w:r>
      <w:r w:rsidR="00E82FDA">
        <w:t xml:space="preserve">. </w:t>
      </w:r>
    </w:p>
    <w:p w14:paraId="2C2A4361" w14:textId="77777777" w:rsidR="008C44CC" w:rsidRPr="0075189F" w:rsidRDefault="008C44CC" w:rsidP="0075189F">
      <w:pPr>
        <w:pStyle w:val="Numberedheading2"/>
      </w:pPr>
      <w:bookmarkStart w:id="9" w:name="_Toc238628324"/>
      <w:bookmarkStart w:id="10" w:name="_Toc238628948"/>
      <w:bookmarkStart w:id="11" w:name="_Toc242865940"/>
      <w:bookmarkStart w:id="12" w:name="_Toc242866067"/>
      <w:bookmarkStart w:id="13" w:name="_Toc242866145"/>
      <w:bookmarkStart w:id="14" w:name="_Toc280868434"/>
      <w:bookmarkStart w:id="15" w:name="_Toc280868435"/>
      <w:bookmarkStart w:id="16" w:name="_Toc280868436"/>
      <w:bookmarkStart w:id="17" w:name="_Toc280868437"/>
      <w:bookmarkStart w:id="18" w:name="_Toc280868438"/>
      <w:bookmarkStart w:id="19" w:name="_Toc280868439"/>
      <w:bookmarkStart w:id="20" w:name="_Toc280868440"/>
      <w:bookmarkStart w:id="21" w:name="_Toc314656231"/>
      <w:bookmarkEnd w:id="9"/>
      <w:bookmarkEnd w:id="10"/>
      <w:bookmarkEnd w:id="11"/>
      <w:bookmarkEnd w:id="12"/>
      <w:bookmarkEnd w:id="13"/>
      <w:bookmarkEnd w:id="14"/>
      <w:bookmarkEnd w:id="15"/>
      <w:bookmarkEnd w:id="16"/>
      <w:bookmarkEnd w:id="17"/>
      <w:bookmarkEnd w:id="18"/>
      <w:bookmarkEnd w:id="19"/>
      <w:bookmarkEnd w:id="20"/>
      <w:r w:rsidRPr="0075189F">
        <w:t>Equality statement</w:t>
      </w:r>
      <w:bookmarkEnd w:id="21"/>
    </w:p>
    <w:p w14:paraId="6C67A0C0" w14:textId="77777777" w:rsidR="009B6E08" w:rsidRPr="000653E0" w:rsidRDefault="008C44CC" w:rsidP="006903D7">
      <w:pPr>
        <w:pStyle w:val="Numberedlevel3text"/>
        <w:rPr>
          <w:highlight w:val="yellow"/>
          <w:lang w:eastAsia="en-GB"/>
        </w:rPr>
      </w:pPr>
      <w:r w:rsidRPr="000D652D">
        <w:rPr>
          <w:lang w:eastAsia="en-GB"/>
        </w:rPr>
        <w:t>The</w:t>
      </w:r>
      <w:r w:rsidRPr="00B72B47">
        <w:rPr>
          <w:lang w:eastAsia="en-GB"/>
        </w:rPr>
        <w:t xml:space="preserve"> </w:t>
      </w:r>
      <w:r>
        <w:rPr>
          <w:lang w:eastAsia="en-GB"/>
        </w:rPr>
        <w:t>Accreditation programme</w:t>
      </w:r>
      <w:r w:rsidRPr="00B72B47">
        <w:rPr>
          <w:lang w:eastAsia="en-GB"/>
        </w:rPr>
        <w:t xml:space="preserve"> operates in accordance with the NICE </w:t>
      </w:r>
      <w:r w:rsidRPr="000D652D">
        <w:rPr>
          <w:lang w:eastAsia="en-GB"/>
        </w:rPr>
        <w:t xml:space="preserve">equality scheme (available from </w:t>
      </w:r>
      <w:hyperlink r:id="rId11" w:history="1">
        <w:r w:rsidRPr="000D652D">
          <w:rPr>
            <w:rStyle w:val="Hyperlink"/>
            <w:b/>
            <w:lang w:eastAsia="en-GB"/>
          </w:rPr>
          <w:t>NICE equality objectives and equality programme</w:t>
        </w:r>
      </w:hyperlink>
      <w:r w:rsidRPr="00B72B47">
        <w:rPr>
          <w:lang w:eastAsia="en-GB"/>
        </w:rPr>
        <w:t xml:space="preserve">). </w:t>
      </w:r>
    </w:p>
    <w:p w14:paraId="5E8ECEA6" w14:textId="77777777" w:rsidR="008742D3" w:rsidRDefault="00B72B47" w:rsidP="00983BA4">
      <w:pPr>
        <w:pStyle w:val="Numberedheading1"/>
        <w:tabs>
          <w:tab w:val="clear" w:pos="1134"/>
          <w:tab w:val="num" w:pos="851"/>
        </w:tabs>
      </w:pPr>
      <w:bookmarkStart w:id="22" w:name="_Toc188700414"/>
      <w:bookmarkStart w:id="23" w:name="_Toc188700416"/>
      <w:bookmarkStart w:id="24" w:name="_Toc238628328"/>
      <w:bookmarkStart w:id="25" w:name="_Toc404338491"/>
      <w:bookmarkStart w:id="26" w:name="_Toc57704112"/>
      <w:bookmarkStart w:id="27" w:name="_Toc63584632"/>
      <w:bookmarkEnd w:id="22"/>
      <w:bookmarkEnd w:id="23"/>
      <w:r>
        <w:t>O</w:t>
      </w:r>
      <w:r w:rsidR="00E3368F">
        <w:t xml:space="preserve">verview of the accreditation </w:t>
      </w:r>
      <w:r w:rsidR="00C02AC8">
        <w:t xml:space="preserve">renewal </w:t>
      </w:r>
      <w:r w:rsidR="00E3368F">
        <w:t>process</w:t>
      </w:r>
      <w:bookmarkEnd w:id="24"/>
      <w:bookmarkEnd w:id="25"/>
    </w:p>
    <w:p w14:paraId="279A9B89" w14:textId="77777777" w:rsidR="00407651" w:rsidRPr="00CF395A" w:rsidRDefault="00407651" w:rsidP="0049256E">
      <w:pPr>
        <w:pStyle w:val="Numberedheading2"/>
      </w:pPr>
      <w:bookmarkStart w:id="28" w:name="_Toc238628329"/>
      <w:bookmarkStart w:id="29" w:name="_Toc404338492"/>
      <w:r w:rsidRPr="00CF395A">
        <w:t xml:space="preserve">Summary of key </w:t>
      </w:r>
      <w:r>
        <w:t xml:space="preserve">stages </w:t>
      </w:r>
      <w:r w:rsidRPr="00CF395A">
        <w:t>in the process</w:t>
      </w:r>
      <w:bookmarkEnd w:id="28"/>
      <w:bookmarkEnd w:id="29"/>
    </w:p>
    <w:p w14:paraId="714D9974" w14:textId="77777777" w:rsidR="00D9074A" w:rsidRDefault="00BE17E4" w:rsidP="0049256E">
      <w:pPr>
        <w:pStyle w:val="Numberedlevel3text"/>
      </w:pPr>
      <w:r>
        <w:t>Figure</w:t>
      </w:r>
      <w:r w:rsidR="00AF3A03">
        <w:t xml:space="preserve"> 1</w:t>
      </w:r>
      <w:r w:rsidR="00CF395A" w:rsidRPr="00441278">
        <w:t xml:space="preserve"> </w:t>
      </w:r>
      <w:r w:rsidR="00CF395A" w:rsidRPr="00CF395A">
        <w:t xml:space="preserve">summarises the key stages in the accreditation </w:t>
      </w:r>
      <w:r w:rsidR="00C02AC8">
        <w:t xml:space="preserve">renewal </w:t>
      </w:r>
      <w:r w:rsidR="00CF395A" w:rsidRPr="00CF395A">
        <w:t xml:space="preserve">process. </w:t>
      </w:r>
      <w:bookmarkStart w:id="30" w:name="_Toc404338494"/>
      <w:r w:rsidR="00D9074A">
        <w:t>Further detail on each of the steps in the accreditation renewal process is provided in sections 3.2 to 3.</w:t>
      </w:r>
      <w:r w:rsidR="00D9074A" w:rsidRPr="000432D4">
        <w:t>1</w:t>
      </w:r>
      <w:r w:rsidR="00F60116">
        <w:rPr>
          <w:lang w:val="en-US"/>
        </w:rPr>
        <w:t>0</w:t>
      </w:r>
      <w:r w:rsidR="00D9074A">
        <w:t>.</w:t>
      </w:r>
    </w:p>
    <w:p w14:paraId="4904EA4E" w14:textId="77777777" w:rsidR="00D9074A" w:rsidRDefault="00D9074A" w:rsidP="0049256E">
      <w:pPr>
        <w:pStyle w:val="Numberedlevel3text"/>
      </w:pPr>
      <w:r>
        <w:t>For transparency</w:t>
      </w:r>
      <w:r w:rsidRPr="009805F8">
        <w:t xml:space="preserve">, </w:t>
      </w:r>
      <w:r>
        <w:t>accredited guidance producers terms are</w:t>
      </w:r>
      <w:r w:rsidRPr="009805F8">
        <w:t xml:space="preserve"> published on </w:t>
      </w:r>
      <w:r>
        <w:t xml:space="preserve">the </w:t>
      </w:r>
      <w:r w:rsidR="00E9008C">
        <w:t xml:space="preserve">NICE </w:t>
      </w:r>
      <w:r>
        <w:t>accreditation website</w:t>
      </w:r>
      <w:r w:rsidRPr="009805F8">
        <w:t>.</w:t>
      </w:r>
    </w:p>
    <w:p w14:paraId="5C9D9338" w14:textId="77777777" w:rsidR="00D9074A" w:rsidRDefault="00D9074A" w:rsidP="0049256E">
      <w:pPr>
        <w:pStyle w:val="Numberedheading2"/>
      </w:pPr>
      <w:bookmarkStart w:id="31" w:name="_Toc404338493"/>
      <w:r>
        <w:t>Pre-renewal application support and advice</w:t>
      </w:r>
      <w:bookmarkEnd w:id="31"/>
    </w:p>
    <w:p w14:paraId="24259FDD" w14:textId="77777777" w:rsidR="003E4DE5" w:rsidRDefault="00D9074A" w:rsidP="003E4DE5">
      <w:pPr>
        <w:pStyle w:val="Numberedlevel3text"/>
      </w:pPr>
      <w:r>
        <w:t xml:space="preserve">To help NICE accredited guidance producers assess their readiness for accreditation renewal and understand how to apply, NICE will </w:t>
      </w:r>
      <w:r w:rsidR="006B4445">
        <w:t xml:space="preserve">maintain </w:t>
      </w:r>
      <w:r>
        <w:t xml:space="preserve">contact and discuss the process with a producer </w:t>
      </w:r>
      <w:r w:rsidR="006B4445">
        <w:t>during their</w:t>
      </w:r>
      <w:r>
        <w:t xml:space="preserve"> 5</w:t>
      </w:r>
      <w:r w:rsidR="000D652D">
        <w:t>-</w:t>
      </w:r>
      <w:r>
        <w:t xml:space="preserve">year term. Information, tools and materials are available </w:t>
      </w:r>
      <w:r w:rsidR="00970ABE">
        <w:t>in the</w:t>
      </w:r>
      <w:r>
        <w:t xml:space="preserve"> </w:t>
      </w:r>
      <w:hyperlink r:id="rId12" w:history="1">
        <w:r w:rsidR="00082896" w:rsidRPr="007C32AC">
          <w:rPr>
            <w:rStyle w:val="Hyperlink"/>
            <w:lang w:val="en-GB"/>
          </w:rPr>
          <w:t>accreditation renewal section</w:t>
        </w:r>
      </w:hyperlink>
      <w:r>
        <w:t xml:space="preserve"> on the NICE website.</w:t>
      </w:r>
    </w:p>
    <w:p w14:paraId="5272B6ED" w14:textId="6D0C80D5" w:rsidR="00E2690B" w:rsidRDefault="0047294A" w:rsidP="003E4DE5">
      <w:pPr>
        <w:pStyle w:val="StyleNICEnormalBefore127cm"/>
        <w:sectPr w:rsidR="00E2690B" w:rsidSect="00E2690B">
          <w:type w:val="continuous"/>
          <w:pgSz w:w="11906" w:h="16838" w:code="9"/>
          <w:pgMar w:top="1797" w:right="1440" w:bottom="1797" w:left="1440" w:header="709" w:footer="271" w:gutter="0"/>
          <w:cols w:space="708"/>
          <w:docGrid w:linePitch="360"/>
        </w:sectPr>
      </w:pPr>
      <w:r w:rsidDel="0047294A">
        <w:t xml:space="preserve"> </w:t>
      </w:r>
      <w:r w:rsidR="00E9008C">
        <w:br w:type="page"/>
      </w:r>
      <w:bookmarkEnd w:id="30"/>
      <w:r w:rsidR="0053682F">
        <w:rPr>
          <w:noProof/>
        </w:rPr>
        <w:lastRenderedPageBreak/>
        <w:drawing>
          <wp:inline distT="0" distB="0" distL="0" distR="0" wp14:anchorId="53D62BDD" wp14:editId="4FE15066">
            <wp:extent cx="5772150" cy="811149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2150" cy="8111490"/>
                    </a:xfrm>
                    <a:prstGeom prst="rect">
                      <a:avLst/>
                    </a:prstGeom>
                    <a:noFill/>
                  </pic:spPr>
                </pic:pic>
              </a:graphicData>
            </a:graphic>
          </wp:inline>
        </w:drawing>
      </w:r>
    </w:p>
    <w:p w14:paraId="15E0938B" w14:textId="77777777" w:rsidR="000A4E76" w:rsidRPr="009805F8" w:rsidRDefault="006B4445" w:rsidP="0049256E">
      <w:pPr>
        <w:pStyle w:val="Numberedheading2"/>
      </w:pPr>
      <w:bookmarkStart w:id="32" w:name="_Toc238628331"/>
      <w:bookmarkStart w:id="33" w:name="_Toc404338495"/>
      <w:r>
        <w:lastRenderedPageBreak/>
        <w:t>3 years</w:t>
      </w:r>
      <w:r w:rsidR="00DF1782">
        <w:t xml:space="preserve"> into an accreditation term</w:t>
      </w:r>
      <w:bookmarkEnd w:id="32"/>
      <w:bookmarkEnd w:id="33"/>
    </w:p>
    <w:p w14:paraId="6388EF1F" w14:textId="77777777" w:rsidR="000D1FB9" w:rsidRDefault="000D1FB9" w:rsidP="0049256E">
      <w:pPr>
        <w:pStyle w:val="Numberedlevel3text"/>
      </w:pPr>
      <w:r>
        <w:rPr>
          <w:lang w:val="en-GB"/>
        </w:rPr>
        <w:t xml:space="preserve">During the term NICE will make reasonable efforts to contact the guidance producer. It is incumbent on the guidance producer to ensure that NICE has an </w:t>
      </w:r>
      <w:proofErr w:type="gramStart"/>
      <w:r>
        <w:rPr>
          <w:lang w:val="en-GB"/>
        </w:rPr>
        <w:t>up to date</w:t>
      </w:r>
      <w:proofErr w:type="gramEnd"/>
      <w:r>
        <w:rPr>
          <w:lang w:val="en-GB"/>
        </w:rPr>
        <w:t xml:space="preserve"> point of contact to liaise with.</w:t>
      </w:r>
    </w:p>
    <w:p w14:paraId="174A57DF" w14:textId="77777777" w:rsidR="002C73A8" w:rsidRDefault="000860DE" w:rsidP="0049256E">
      <w:pPr>
        <w:pStyle w:val="Numberedlevel3text"/>
      </w:pPr>
      <w:r>
        <w:t xml:space="preserve">Between 36 and </w:t>
      </w:r>
      <w:r w:rsidR="0099451B">
        <w:rPr>
          <w:lang w:val="en-GB"/>
        </w:rPr>
        <w:t>42</w:t>
      </w:r>
      <w:r w:rsidR="009E429F">
        <w:t xml:space="preserve"> </w:t>
      </w:r>
      <w:r w:rsidR="00DF1782">
        <w:t xml:space="preserve">months into their term an accredited guidance producer is provided with a </w:t>
      </w:r>
      <w:r w:rsidR="00123C04">
        <w:rPr>
          <w:lang w:val="en-US"/>
        </w:rPr>
        <w:t>process validation form (PVF).</w:t>
      </w:r>
      <w:r w:rsidR="000D652D">
        <w:rPr>
          <w:lang w:val="en-US"/>
        </w:rPr>
        <w:t xml:space="preserve"> </w:t>
      </w:r>
      <w:r w:rsidR="004821C7">
        <w:t>By completing this, it enables the producer to</w:t>
      </w:r>
      <w:r w:rsidR="00A144B7">
        <w:rPr>
          <w:lang w:val="en-US"/>
        </w:rPr>
        <w:t xml:space="preserve"> identify any changes that have taken place since the last assessment and to identify any issues with the analyst ahead of time and before accreditation renewal.</w:t>
      </w:r>
      <w:r w:rsidR="000D652D">
        <w:rPr>
          <w:lang w:val="en-US"/>
        </w:rPr>
        <w:t xml:space="preserve"> </w:t>
      </w:r>
      <w:r w:rsidR="00D90550">
        <w:t xml:space="preserve">Details of what is required for completion are included within the </w:t>
      </w:r>
      <w:r w:rsidR="004821C7">
        <w:t>form</w:t>
      </w:r>
      <w:r w:rsidR="00D90550">
        <w:t xml:space="preserve">.  </w:t>
      </w:r>
    </w:p>
    <w:p w14:paraId="1A19D729" w14:textId="77777777" w:rsidR="00D90550" w:rsidRDefault="002474C9" w:rsidP="00A144B7">
      <w:pPr>
        <w:pStyle w:val="Numberedlevel3text"/>
      </w:pPr>
      <w:r>
        <w:t xml:space="preserve">The producer should </w:t>
      </w:r>
      <w:r w:rsidR="009E429F">
        <w:rPr>
          <w:lang w:val="en-GB"/>
        </w:rPr>
        <w:t>use the</w:t>
      </w:r>
      <w:r>
        <w:t xml:space="preserve"> </w:t>
      </w:r>
      <w:r w:rsidR="00123C04">
        <w:rPr>
          <w:lang w:val="en-US"/>
        </w:rPr>
        <w:t>PVF</w:t>
      </w:r>
      <w:r w:rsidR="00123C04">
        <w:t xml:space="preserve"> </w:t>
      </w:r>
      <w:r w:rsidR="009E429F">
        <w:rPr>
          <w:lang w:val="en-GB"/>
        </w:rPr>
        <w:t xml:space="preserve">to describe any substantive </w:t>
      </w:r>
      <w:r w:rsidR="003E51E4">
        <w:t>changes</w:t>
      </w:r>
      <w:r w:rsidR="009F7F23">
        <w:t xml:space="preserve"> to their process</w:t>
      </w:r>
      <w:r w:rsidR="00A144B7">
        <w:rPr>
          <w:lang w:val="en-US"/>
        </w:rPr>
        <w:t xml:space="preserve"> and</w:t>
      </w:r>
      <w:r w:rsidR="00BD4566">
        <w:rPr>
          <w:lang w:val="en-US"/>
        </w:rPr>
        <w:t xml:space="preserve"> </w:t>
      </w:r>
      <w:r w:rsidR="003E51E4">
        <w:t xml:space="preserve">is encouraged to </w:t>
      </w:r>
      <w:r w:rsidR="00D90550">
        <w:t xml:space="preserve">complete the </w:t>
      </w:r>
      <w:r w:rsidR="00CE7F48" w:rsidRPr="00A144B7">
        <w:rPr>
          <w:lang w:val="en-US"/>
        </w:rPr>
        <w:t>PVF</w:t>
      </w:r>
      <w:r w:rsidR="00CE7F48">
        <w:t xml:space="preserve"> </w:t>
      </w:r>
      <w:r w:rsidR="003E51E4">
        <w:t>within 3 months of receipt</w:t>
      </w:r>
      <w:r w:rsidR="00D90550">
        <w:t xml:space="preserve">. </w:t>
      </w:r>
    </w:p>
    <w:p w14:paraId="6C600EDE" w14:textId="77777777" w:rsidR="0077638B" w:rsidRPr="00E0435D" w:rsidRDefault="005E4574" w:rsidP="0049256E">
      <w:pPr>
        <w:pStyle w:val="Numberedlevel3text"/>
      </w:pPr>
      <w:r>
        <w:rPr>
          <w:lang w:val="en-US"/>
        </w:rPr>
        <w:t>Where NICE has accredited a single guideline, this accreditation</w:t>
      </w:r>
      <w:r w:rsidR="00E0435D">
        <w:t xml:space="preserve"> </w:t>
      </w:r>
      <w:r>
        <w:rPr>
          <w:lang w:val="en-GB"/>
        </w:rPr>
        <w:t>is specific to the guideline assessed and cannot</w:t>
      </w:r>
      <w:r w:rsidR="0077638B" w:rsidRPr="00E0435D">
        <w:t xml:space="preserve"> </w:t>
      </w:r>
      <w:r w:rsidR="00E0435D">
        <w:t>be</w:t>
      </w:r>
      <w:r w:rsidR="0077638B" w:rsidRPr="00E0435D">
        <w:t xml:space="preserve"> renew</w:t>
      </w:r>
      <w:r w:rsidR="00E0435D">
        <w:t>ed</w:t>
      </w:r>
      <w:r>
        <w:rPr>
          <w:lang w:val="en-US"/>
        </w:rPr>
        <w:t xml:space="preserve">. Guidance producers for a single guideline </w:t>
      </w:r>
      <w:r w:rsidR="00532EB5">
        <w:t>do not need to c</w:t>
      </w:r>
      <w:r w:rsidR="005106C1">
        <w:t>omplete a</w:t>
      </w:r>
      <w:r w:rsidR="00532EB5">
        <w:t xml:space="preserve"> </w:t>
      </w:r>
      <w:r w:rsidR="00372D83">
        <w:rPr>
          <w:lang w:val="en-US"/>
        </w:rPr>
        <w:t>PVF</w:t>
      </w:r>
      <w:r w:rsidR="00532EB5">
        <w:t>.</w:t>
      </w:r>
    </w:p>
    <w:p w14:paraId="3C2745B9" w14:textId="77777777" w:rsidR="00E0435D" w:rsidRPr="00DC2F63" w:rsidRDefault="00E0435D" w:rsidP="0049256E">
      <w:pPr>
        <w:pStyle w:val="Numberedheading2"/>
      </w:pPr>
      <w:r w:rsidRPr="00DC2F63">
        <w:t>Producing the</w:t>
      </w:r>
      <w:r w:rsidR="00372D83">
        <w:t xml:space="preserve"> process validation</w:t>
      </w:r>
      <w:r w:rsidR="006E0CB1">
        <w:t xml:space="preserve"> assessment</w:t>
      </w:r>
      <w:r w:rsidR="009D22A5">
        <w:t xml:space="preserve"> response</w:t>
      </w:r>
      <w:r w:rsidRPr="00DC2F63">
        <w:t xml:space="preserve"> </w:t>
      </w:r>
    </w:p>
    <w:p w14:paraId="49AA9369" w14:textId="77777777" w:rsidR="00E0435D" w:rsidRPr="00E2690B" w:rsidRDefault="00E0435D" w:rsidP="0049256E">
      <w:pPr>
        <w:pStyle w:val="Numberedlevel3text"/>
      </w:pPr>
      <w:r w:rsidRPr="00507927">
        <w:t xml:space="preserve">The </w:t>
      </w:r>
      <w:r w:rsidR="00CE7F48">
        <w:rPr>
          <w:lang w:val="en-US"/>
        </w:rPr>
        <w:t>PVF</w:t>
      </w:r>
      <w:r w:rsidR="00CE7F48">
        <w:t xml:space="preserve"> </w:t>
      </w:r>
      <w:r w:rsidR="009D22A5">
        <w:t>and any other information</w:t>
      </w:r>
      <w:r>
        <w:t xml:space="preserve"> </w:t>
      </w:r>
      <w:r w:rsidRPr="00507927">
        <w:t xml:space="preserve">provided by the </w:t>
      </w:r>
      <w:r>
        <w:t xml:space="preserve">guidance </w:t>
      </w:r>
      <w:r w:rsidRPr="00507927">
        <w:t>producer is assessed</w:t>
      </w:r>
      <w:r>
        <w:t xml:space="preserve"> </w:t>
      </w:r>
      <w:r w:rsidRPr="00507927">
        <w:t xml:space="preserve">by </w:t>
      </w:r>
      <w:r>
        <w:t>a</w:t>
      </w:r>
      <w:r w:rsidRPr="00507927">
        <w:t xml:space="preserve"> </w:t>
      </w:r>
      <w:r>
        <w:t>technical analyst</w:t>
      </w:r>
      <w:r w:rsidR="00322BAC">
        <w:rPr>
          <w:lang w:val="en-US"/>
        </w:rPr>
        <w:t>.</w:t>
      </w:r>
      <w:r w:rsidR="00A144B7">
        <w:rPr>
          <w:lang w:val="en-US"/>
        </w:rPr>
        <w:t xml:space="preserve"> </w:t>
      </w:r>
      <w:r w:rsidR="00322BAC">
        <w:rPr>
          <w:lang w:val="en-US"/>
        </w:rPr>
        <w:t>This is followed up</w:t>
      </w:r>
      <w:r w:rsidR="00A144B7">
        <w:rPr>
          <w:lang w:val="en-US"/>
        </w:rPr>
        <w:t xml:space="preserve"> in </w:t>
      </w:r>
      <w:r w:rsidR="00322BAC">
        <w:rPr>
          <w:lang w:val="en-US"/>
        </w:rPr>
        <w:t xml:space="preserve">a </w:t>
      </w:r>
      <w:r w:rsidR="00A144B7">
        <w:rPr>
          <w:lang w:val="en-US"/>
        </w:rPr>
        <w:t xml:space="preserve">conversation </w:t>
      </w:r>
      <w:r w:rsidR="00322BAC">
        <w:rPr>
          <w:lang w:val="en-US"/>
        </w:rPr>
        <w:t>between the guidance producer and</w:t>
      </w:r>
      <w:r w:rsidR="00A144B7">
        <w:rPr>
          <w:lang w:val="en-US"/>
        </w:rPr>
        <w:t xml:space="preserve"> the technical analyst</w:t>
      </w:r>
      <w:r>
        <w:t>.</w:t>
      </w:r>
      <w:r w:rsidR="00A144B7">
        <w:rPr>
          <w:lang w:val="en-US"/>
        </w:rPr>
        <w:t xml:space="preserve"> </w:t>
      </w:r>
      <w:r w:rsidR="00322BAC">
        <w:rPr>
          <w:lang w:val="en-US"/>
        </w:rPr>
        <w:t>A</w:t>
      </w:r>
      <w:r w:rsidR="00A144B7">
        <w:rPr>
          <w:lang w:val="en-US"/>
        </w:rPr>
        <w:t xml:space="preserve"> check of</w:t>
      </w:r>
      <w:r w:rsidR="00BD4566">
        <w:rPr>
          <w:lang w:val="en-US"/>
        </w:rPr>
        <w:t xml:space="preserve"> a minimum of </w:t>
      </w:r>
      <w:r w:rsidR="00A144B7">
        <w:rPr>
          <w:lang w:val="en-US"/>
        </w:rPr>
        <w:t>2 examples of guidance produced under the accredited process</w:t>
      </w:r>
      <w:r w:rsidR="00322BAC">
        <w:rPr>
          <w:lang w:val="en-US"/>
        </w:rPr>
        <w:t xml:space="preserve"> is also carried out</w:t>
      </w:r>
      <w:r w:rsidR="00A144B7">
        <w:rPr>
          <w:lang w:val="en-US"/>
        </w:rPr>
        <w:t xml:space="preserve">. An outline of the points discussed and the result of a check </w:t>
      </w:r>
      <w:r w:rsidR="00BD4566">
        <w:rPr>
          <w:lang w:val="en-US"/>
        </w:rPr>
        <w:t xml:space="preserve">of the example guidance </w:t>
      </w:r>
      <w:r w:rsidR="00A144B7">
        <w:rPr>
          <w:lang w:val="en-US"/>
        </w:rPr>
        <w:t>is given in a confirmatory letter to the guidance producer.</w:t>
      </w:r>
    </w:p>
    <w:p w14:paraId="2FE60EBE" w14:textId="77777777" w:rsidR="005264E8" w:rsidRDefault="005264E8" w:rsidP="0049256E">
      <w:pPr>
        <w:pStyle w:val="Numberedheading2"/>
      </w:pPr>
      <w:bookmarkStart w:id="34" w:name="_Toc238628332"/>
      <w:bookmarkStart w:id="35" w:name="_Toc404338496"/>
      <w:r>
        <w:t>Nearing the end of term of accreditation</w:t>
      </w:r>
    </w:p>
    <w:p w14:paraId="27D06292" w14:textId="77777777" w:rsidR="000F3614" w:rsidRDefault="0052144B" w:rsidP="0049256E">
      <w:pPr>
        <w:pStyle w:val="Numberedlevel3text"/>
      </w:pPr>
      <w:r>
        <w:t>T</w:t>
      </w:r>
      <w:r w:rsidR="000F3614" w:rsidRPr="009805F8">
        <w:t>he guidance producer</w:t>
      </w:r>
      <w:r w:rsidR="000F3614">
        <w:t xml:space="preserve"> will be</w:t>
      </w:r>
      <w:r w:rsidR="000F3614" w:rsidRPr="009805F8">
        <w:t xml:space="preserve"> </w:t>
      </w:r>
      <w:r w:rsidR="000F3614">
        <w:t>c</w:t>
      </w:r>
      <w:r w:rsidR="000F3614" w:rsidRPr="009805F8">
        <w:t xml:space="preserve">ontacted by </w:t>
      </w:r>
      <w:r w:rsidR="00ED0A15">
        <w:t>NICE</w:t>
      </w:r>
      <w:r w:rsidR="000F3614" w:rsidRPr="009805F8">
        <w:t xml:space="preserve"> </w:t>
      </w:r>
      <w:r w:rsidR="00CE7F48">
        <w:rPr>
          <w:lang w:val="en-US"/>
        </w:rPr>
        <w:t>12</w:t>
      </w:r>
      <w:r>
        <w:t xml:space="preserve"> months before the end</w:t>
      </w:r>
      <w:r w:rsidRPr="009805F8">
        <w:t xml:space="preserve"> of the 5</w:t>
      </w:r>
      <w:r>
        <w:t>-</w:t>
      </w:r>
      <w:r w:rsidRPr="009805F8">
        <w:t xml:space="preserve">year accreditation period </w:t>
      </w:r>
      <w:r w:rsidR="000F3614" w:rsidRPr="009805F8">
        <w:t xml:space="preserve">to </w:t>
      </w:r>
      <w:r w:rsidR="00423655">
        <w:t>formally notify</w:t>
      </w:r>
      <w:r w:rsidR="000F3614" w:rsidRPr="009805F8">
        <w:t xml:space="preserve"> them of the </w:t>
      </w:r>
      <w:r w:rsidR="000F3614">
        <w:lastRenderedPageBreak/>
        <w:t xml:space="preserve">upcoming expiry </w:t>
      </w:r>
      <w:r w:rsidR="000F3614" w:rsidRPr="009805F8">
        <w:t>of the</w:t>
      </w:r>
      <w:r>
        <w:t>ir</w:t>
      </w:r>
      <w:r w:rsidR="000F3614" w:rsidRPr="009805F8">
        <w:t xml:space="preserve"> accreditation </w:t>
      </w:r>
      <w:r w:rsidR="000F3614">
        <w:t>term.</w:t>
      </w:r>
      <w:r w:rsidR="000F3614" w:rsidRPr="009805F8">
        <w:t xml:space="preserve"> </w:t>
      </w:r>
      <w:r w:rsidR="000F3614">
        <w:t>The guidance producer will be asked to confirm if they intend to apply for accreditation renewal.</w:t>
      </w:r>
      <w:r w:rsidR="00012D14">
        <w:t xml:space="preserve"> </w:t>
      </w:r>
      <w:r w:rsidR="000F3614">
        <w:t xml:space="preserve">The accreditation renewal </w:t>
      </w:r>
      <w:r w:rsidR="00BE6756">
        <w:rPr>
          <w:lang w:val="en-GB"/>
        </w:rPr>
        <w:t>application form</w:t>
      </w:r>
      <w:r w:rsidR="009C5681">
        <w:t xml:space="preserve"> </w:t>
      </w:r>
      <w:r w:rsidR="000F3614">
        <w:t xml:space="preserve">may be submitted up to 6 months before the accreditation term expires. </w:t>
      </w:r>
    </w:p>
    <w:p w14:paraId="006242D3" w14:textId="77777777" w:rsidR="009D22A5" w:rsidRDefault="009D22A5" w:rsidP="0049256E">
      <w:pPr>
        <w:pStyle w:val="Numberedlevel3text"/>
      </w:pPr>
      <w:r>
        <w:t>G</w:t>
      </w:r>
      <w:r w:rsidRPr="009805F8">
        <w:t>uidance producers</w:t>
      </w:r>
      <w:r>
        <w:t xml:space="preserve"> </w:t>
      </w:r>
      <w:r w:rsidRPr="009805F8">
        <w:t xml:space="preserve">are requested to </w:t>
      </w:r>
      <w:r w:rsidR="00012D14">
        <w:t xml:space="preserve">also </w:t>
      </w:r>
      <w:r w:rsidRPr="004628C7">
        <w:t xml:space="preserve">provide </w:t>
      </w:r>
      <w:r>
        <w:t xml:space="preserve">their documented policy or process for the production of guidance and </w:t>
      </w:r>
      <w:r w:rsidR="00012D14">
        <w:t xml:space="preserve">some examples of guidance </w:t>
      </w:r>
      <w:r w:rsidR="00970ABE">
        <w:rPr>
          <w:lang w:val="en-US"/>
        </w:rPr>
        <w:t xml:space="preserve">with their application, </w:t>
      </w:r>
      <w:r w:rsidR="00012D14">
        <w:t xml:space="preserve">which provide </w:t>
      </w:r>
      <w:r>
        <w:t xml:space="preserve">evidence that the process </w:t>
      </w:r>
      <w:r w:rsidR="00F459F7">
        <w:t>has been used to develop the</w:t>
      </w:r>
      <w:r w:rsidR="00012D14">
        <w:t>m</w:t>
      </w:r>
      <w:r w:rsidRPr="009805F8">
        <w:t>.</w:t>
      </w:r>
      <w:r w:rsidR="00F80E5D">
        <w:t xml:space="preserve">  </w:t>
      </w:r>
    </w:p>
    <w:p w14:paraId="54AA4C94" w14:textId="77777777" w:rsidR="00350793" w:rsidRPr="00350793" w:rsidRDefault="009D22A5" w:rsidP="00350793">
      <w:pPr>
        <w:pStyle w:val="Numberedlevel3text"/>
      </w:pPr>
      <w:r>
        <w:t>The guidance producer should sub</w:t>
      </w:r>
      <w:r w:rsidR="00F459F7">
        <w:t xml:space="preserve">mit their </w:t>
      </w:r>
      <w:r w:rsidR="00BE6756">
        <w:rPr>
          <w:lang w:val="en-GB"/>
        </w:rPr>
        <w:t>application</w:t>
      </w:r>
      <w:r w:rsidR="00BE6756">
        <w:t xml:space="preserve"> </w:t>
      </w:r>
      <w:r>
        <w:t>before their term expires,</w:t>
      </w:r>
      <w:r w:rsidR="008B1C3D">
        <w:t xml:space="preserve"> </w:t>
      </w:r>
      <w:r w:rsidR="00012D14">
        <w:t>unless an alternative date has been agreed</w:t>
      </w:r>
      <w:r w:rsidR="008B1C3D">
        <w:t>.</w:t>
      </w:r>
      <w:r>
        <w:t xml:space="preserve"> </w:t>
      </w:r>
      <w:r w:rsidR="000D1FB9">
        <w:rPr>
          <w:lang w:val="en-GB"/>
        </w:rPr>
        <w:t xml:space="preserve">At NICE’s discretion, a guidance producer’s term may be extended by a </w:t>
      </w:r>
      <w:r w:rsidR="00013A4A">
        <w:rPr>
          <w:lang w:val="en-GB"/>
        </w:rPr>
        <w:t xml:space="preserve">maximum </w:t>
      </w:r>
      <w:r w:rsidR="000D1FB9">
        <w:rPr>
          <w:lang w:val="en-GB"/>
        </w:rPr>
        <w:t xml:space="preserve">period of three months if required to complete the </w:t>
      </w:r>
      <w:r w:rsidR="00BE6756">
        <w:rPr>
          <w:lang w:val="en-GB"/>
        </w:rPr>
        <w:t xml:space="preserve">application </w:t>
      </w:r>
      <w:r w:rsidR="000D1FB9">
        <w:rPr>
          <w:lang w:val="en-GB"/>
        </w:rPr>
        <w:t xml:space="preserve">and associated documentation </w:t>
      </w:r>
      <w:proofErr w:type="gramStart"/>
      <w:r w:rsidR="000D1FB9">
        <w:rPr>
          <w:lang w:val="en-GB"/>
        </w:rPr>
        <w:t>in order to</w:t>
      </w:r>
      <w:proofErr w:type="gramEnd"/>
      <w:r w:rsidR="000D1FB9">
        <w:rPr>
          <w:lang w:val="en-GB"/>
        </w:rPr>
        <w:t xml:space="preserve"> apply for renewal. </w:t>
      </w:r>
      <w:r w:rsidR="00402F31">
        <w:rPr>
          <w:lang w:val="en-GB"/>
        </w:rPr>
        <w:t xml:space="preserve">Extensions will be considered on a </w:t>
      </w:r>
      <w:proofErr w:type="gramStart"/>
      <w:r w:rsidR="00402F31">
        <w:rPr>
          <w:lang w:val="en-GB"/>
        </w:rPr>
        <w:t>case by case</w:t>
      </w:r>
      <w:proofErr w:type="gramEnd"/>
      <w:r w:rsidR="00402F31">
        <w:rPr>
          <w:lang w:val="en-GB"/>
        </w:rPr>
        <w:t xml:space="preserve"> basis.</w:t>
      </w:r>
    </w:p>
    <w:p w14:paraId="24489EE3" w14:textId="77777777" w:rsidR="009D22A5" w:rsidRDefault="00350793" w:rsidP="00350793">
      <w:pPr>
        <w:pStyle w:val="Numberedlevel3text"/>
      </w:pPr>
      <w:r>
        <w:t>If the guidance producer confirms that they will not apply for accreditation renewal at the end of the term, the guidance producer will be expected to stop using the Accreditation Mark at the appropriate expiry date in line with the agreed accreditation terms and conditions. Existing guidelines already carrying the Accreditation Mark will remain accredited as they were produced to an accredited process. Any guidelines produced to this process after the expiry date will not carry the Accreditation Mark.</w:t>
      </w:r>
    </w:p>
    <w:p w14:paraId="11043984" w14:textId="77777777" w:rsidR="004872DF" w:rsidRDefault="004872DF" w:rsidP="0049256E">
      <w:pPr>
        <w:pStyle w:val="Numberedlevel3text"/>
      </w:pPr>
      <w:r>
        <w:t>If the guidance producer does not submit a renewal application or does so later than the end of the month in which their term expires</w:t>
      </w:r>
      <w:r w:rsidR="00856137">
        <w:rPr>
          <w:lang w:val="en-US"/>
        </w:rPr>
        <w:t>,</w:t>
      </w:r>
      <w:r>
        <w:t xml:space="preserve"> despite engagement, the producer will be deemed to have terminated their accreditation status and will no longer be able to use the </w:t>
      </w:r>
      <w:r w:rsidR="00567000">
        <w:rPr>
          <w:lang w:val="en-GB"/>
        </w:rPr>
        <w:t>A</w:t>
      </w:r>
      <w:r>
        <w:t xml:space="preserve">ccreditation </w:t>
      </w:r>
      <w:r w:rsidR="00567000">
        <w:rPr>
          <w:lang w:val="en-GB"/>
        </w:rPr>
        <w:lastRenderedPageBreak/>
        <w:t>M</w:t>
      </w:r>
      <w:r>
        <w:t xml:space="preserve">ark in future. This is outlined in the </w:t>
      </w:r>
      <w:r w:rsidR="00E561DC">
        <w:t xml:space="preserve">signed </w:t>
      </w:r>
      <w:r>
        <w:t>terms and conditions they have agreed to work with.</w:t>
      </w:r>
    </w:p>
    <w:p w14:paraId="6A1F48A1" w14:textId="77777777" w:rsidR="0008512C" w:rsidRDefault="0008512C" w:rsidP="0008512C">
      <w:pPr>
        <w:pStyle w:val="Numberedlevel3text"/>
        <w:numPr>
          <w:ilvl w:val="0"/>
          <w:numId w:val="0"/>
        </w:numPr>
        <w:ind w:left="1134"/>
      </w:pPr>
    </w:p>
    <w:p w14:paraId="4D3233DC" w14:textId="77777777" w:rsidR="009D22A5" w:rsidRPr="00DC2F63" w:rsidRDefault="009D22A5" w:rsidP="0049256E">
      <w:pPr>
        <w:pStyle w:val="Numberedheading2"/>
      </w:pPr>
      <w:r w:rsidRPr="00DC2F63">
        <w:t xml:space="preserve">Producing the </w:t>
      </w:r>
      <w:r w:rsidR="00D03A9A">
        <w:t>renewal application</w:t>
      </w:r>
      <w:r>
        <w:t xml:space="preserve"> response</w:t>
      </w:r>
      <w:r w:rsidRPr="00DC2F63">
        <w:t xml:space="preserve"> </w:t>
      </w:r>
    </w:p>
    <w:p w14:paraId="19FC63EE" w14:textId="77777777" w:rsidR="009D22A5" w:rsidRDefault="009D22A5" w:rsidP="0049256E">
      <w:pPr>
        <w:pStyle w:val="Numberedlevel3text"/>
      </w:pPr>
      <w:r w:rsidRPr="00507927">
        <w:t xml:space="preserve">The </w:t>
      </w:r>
      <w:r w:rsidR="00567000">
        <w:rPr>
          <w:lang w:val="en-GB"/>
        </w:rPr>
        <w:t>application</w:t>
      </w:r>
      <w:r w:rsidR="00567000">
        <w:t xml:space="preserve"> </w:t>
      </w:r>
      <w:r>
        <w:t xml:space="preserve">and any other information </w:t>
      </w:r>
      <w:r w:rsidRPr="00507927">
        <w:t xml:space="preserve">provided by the </w:t>
      </w:r>
      <w:r>
        <w:t xml:space="preserve">guidance </w:t>
      </w:r>
      <w:r w:rsidRPr="00507927">
        <w:t>producer is assessed</w:t>
      </w:r>
      <w:r>
        <w:t xml:space="preserve"> and validated</w:t>
      </w:r>
      <w:r w:rsidRPr="00507927">
        <w:t xml:space="preserve"> </w:t>
      </w:r>
      <w:r>
        <w:t xml:space="preserve">against the accreditation criteria </w:t>
      </w:r>
      <w:r w:rsidRPr="00507927">
        <w:t xml:space="preserve">by </w:t>
      </w:r>
      <w:r>
        <w:t>a</w:t>
      </w:r>
      <w:r w:rsidRPr="00507927">
        <w:t xml:space="preserve"> </w:t>
      </w:r>
      <w:r>
        <w:t>technical analyst. The analyst summarises whether the guidance producer’s process for guidance development still meet</w:t>
      </w:r>
      <w:r w:rsidR="00423655">
        <w:t>s</w:t>
      </w:r>
      <w:r>
        <w:t xml:space="preserve"> the assessment criteria. Where </w:t>
      </w:r>
      <w:r w:rsidR="00350793">
        <w:rPr>
          <w:lang w:val="en-US"/>
        </w:rPr>
        <w:t>any criteria are not fully met</w:t>
      </w:r>
      <w:r>
        <w:t>, the</w:t>
      </w:r>
      <w:r w:rsidR="00350793">
        <w:rPr>
          <w:lang w:val="en-US"/>
        </w:rPr>
        <w:t xml:space="preserve"> reason for this</w:t>
      </w:r>
      <w:r>
        <w:t xml:space="preserve"> will be explained</w:t>
      </w:r>
      <w:r w:rsidR="0098735C">
        <w:rPr>
          <w:lang w:val="en-US"/>
        </w:rPr>
        <w:t xml:space="preserve"> </w:t>
      </w:r>
      <w:r w:rsidR="00350793">
        <w:rPr>
          <w:lang w:val="en-US"/>
        </w:rPr>
        <w:t>in the report to the guidance producer</w:t>
      </w:r>
      <w:r>
        <w:t xml:space="preserve">.  </w:t>
      </w:r>
    </w:p>
    <w:p w14:paraId="02924F3F" w14:textId="77777777" w:rsidR="008B1C3D" w:rsidRDefault="009D22A5" w:rsidP="0049256E">
      <w:pPr>
        <w:pStyle w:val="Numberedlevel3text"/>
      </w:pPr>
      <w:r>
        <w:t xml:space="preserve">Having completed the assessment the analyst </w:t>
      </w:r>
      <w:r w:rsidR="008B1C3D">
        <w:t>will have concluded</w:t>
      </w:r>
      <w:r w:rsidR="000D652D">
        <w:rPr>
          <w:lang w:val="en-US"/>
        </w:rPr>
        <w:t>:</w:t>
      </w:r>
    </w:p>
    <w:p w14:paraId="41F6D6B0" w14:textId="77777777" w:rsidR="008B1C3D" w:rsidRDefault="008B1C3D" w:rsidP="0049256E">
      <w:pPr>
        <w:pStyle w:val="Bulletindent1"/>
      </w:pPr>
      <w:r>
        <w:t>That the producer is maintaining a robust development process and that accreditation can be renewed</w:t>
      </w:r>
      <w:r w:rsidR="005F2F4A">
        <w:t xml:space="preserve"> or</w:t>
      </w:r>
      <w:r w:rsidR="000D652D">
        <w:t>:</w:t>
      </w:r>
    </w:p>
    <w:p w14:paraId="3596FDA0" w14:textId="77777777" w:rsidR="008035DF" w:rsidRDefault="00D03A9A" w:rsidP="0049256E">
      <w:pPr>
        <w:pStyle w:val="Bulletindent1last"/>
      </w:pPr>
      <w:r>
        <w:t xml:space="preserve">That there are concerns </w:t>
      </w:r>
      <w:r w:rsidR="008B1C3D">
        <w:t>suggesting the producer is no</w:t>
      </w:r>
      <w:r w:rsidR="00423655">
        <w:t>t</w:t>
      </w:r>
      <w:r w:rsidR="008B1C3D">
        <w:t xml:space="preserve"> maintaining the </w:t>
      </w:r>
      <w:r w:rsidR="00567000">
        <w:t>standard required</w:t>
      </w:r>
      <w:r w:rsidR="00970ABE">
        <w:t xml:space="preserve"> or that further details are required to confirm a conclusion.</w:t>
      </w:r>
    </w:p>
    <w:p w14:paraId="7C8CABE1" w14:textId="77777777" w:rsidR="0052144B" w:rsidRPr="008035DF" w:rsidRDefault="0052144B" w:rsidP="0049256E">
      <w:pPr>
        <w:pStyle w:val="Numberedlevel3text"/>
      </w:pPr>
      <w:r>
        <w:t>The assessment is then checked</w:t>
      </w:r>
      <w:r w:rsidR="008D05DE">
        <w:rPr>
          <w:lang w:val="en-US"/>
        </w:rPr>
        <w:t>, firstly by another technical analyst in the accreditation team and then</w:t>
      </w:r>
      <w:r>
        <w:t xml:space="preserve"> by the Associate Director </w:t>
      </w:r>
      <w:r w:rsidR="008D05DE">
        <w:rPr>
          <w:lang w:val="en-US"/>
        </w:rPr>
        <w:t>(and</w:t>
      </w:r>
      <w:r>
        <w:t xml:space="preserve"> Programme Director</w:t>
      </w:r>
      <w:r w:rsidR="002A6E36">
        <w:rPr>
          <w:lang w:val="en-GB"/>
        </w:rPr>
        <w:t>,</w:t>
      </w:r>
      <w:r>
        <w:t xml:space="preserve"> System Engagement</w:t>
      </w:r>
      <w:r w:rsidR="008D05DE">
        <w:rPr>
          <w:lang w:val="en-US"/>
        </w:rPr>
        <w:t xml:space="preserve"> where appropriate).</w:t>
      </w:r>
      <w:r>
        <w:t xml:space="preserve"> </w:t>
      </w:r>
      <w:r w:rsidR="008D05DE">
        <w:rPr>
          <w:lang w:val="en-US"/>
        </w:rPr>
        <w:t>T</w:t>
      </w:r>
      <w:r>
        <w:t>hey identify whether the application</w:t>
      </w:r>
      <w:r w:rsidR="008D05DE">
        <w:rPr>
          <w:lang w:val="en-US"/>
        </w:rPr>
        <w:t xml:space="preserve"> can proceed to external peer review</w:t>
      </w:r>
      <w:r>
        <w:t xml:space="preserve"> </w:t>
      </w:r>
      <w:r w:rsidR="008D05DE">
        <w:rPr>
          <w:lang w:val="en-US"/>
        </w:rPr>
        <w:t>and whether it also</w:t>
      </w:r>
      <w:r>
        <w:t xml:space="preserve"> need</w:t>
      </w:r>
      <w:r w:rsidR="008D05DE">
        <w:rPr>
          <w:lang w:val="en-US"/>
        </w:rPr>
        <w:t>s</w:t>
      </w:r>
      <w:r>
        <w:t xml:space="preserve"> to be considered by Publication Executive (PE), so that it can be scheduled.</w:t>
      </w:r>
    </w:p>
    <w:p w14:paraId="3BAABEE4" w14:textId="77777777" w:rsidR="00576413" w:rsidRDefault="00AA291B" w:rsidP="0049256E">
      <w:pPr>
        <w:pStyle w:val="Numberedheading2"/>
      </w:pPr>
      <w:bookmarkStart w:id="36" w:name="_Toc404338497"/>
      <w:bookmarkEnd w:id="34"/>
      <w:bookmarkEnd w:id="35"/>
      <w:r>
        <w:t xml:space="preserve">External </w:t>
      </w:r>
      <w:r w:rsidR="00423655">
        <w:t>peer review</w:t>
      </w:r>
      <w:bookmarkEnd w:id="36"/>
    </w:p>
    <w:p w14:paraId="2069F6E3" w14:textId="77777777" w:rsidR="0097648C" w:rsidRDefault="00B725C1" w:rsidP="0049256E">
      <w:pPr>
        <w:pStyle w:val="Numberedlevel3text"/>
        <w:rPr>
          <w:rFonts w:cs="Arial"/>
        </w:rPr>
      </w:pPr>
      <w:r>
        <w:t xml:space="preserve">In order to provide an independent and reliable </w:t>
      </w:r>
      <w:r w:rsidR="00824345">
        <w:t>review</w:t>
      </w:r>
      <w:r w:rsidR="00C72015">
        <w:t xml:space="preserve"> of the recommendation</w:t>
      </w:r>
      <w:r>
        <w:t xml:space="preserve">, </w:t>
      </w:r>
      <w:r w:rsidR="008960C4">
        <w:t xml:space="preserve">the </w:t>
      </w:r>
      <w:r w:rsidR="00592661">
        <w:t>assessments</w:t>
      </w:r>
      <w:r w:rsidR="00053862">
        <w:t xml:space="preserve"> </w:t>
      </w:r>
      <w:r w:rsidR="00794C50">
        <w:t>are seen</w:t>
      </w:r>
      <w:r w:rsidR="008960C4">
        <w:t xml:space="preserve"> by </w:t>
      </w:r>
      <w:r w:rsidR="002368A0">
        <w:t xml:space="preserve">at least </w:t>
      </w:r>
      <w:r w:rsidR="00C75961">
        <w:t>2</w:t>
      </w:r>
      <w:r w:rsidR="003871D7">
        <w:t> </w:t>
      </w:r>
      <w:r>
        <w:t xml:space="preserve">external </w:t>
      </w:r>
      <w:r w:rsidR="00216193">
        <w:lastRenderedPageBreak/>
        <w:t>advisers</w:t>
      </w:r>
      <w:r w:rsidR="00854C33" w:rsidRPr="00854C33">
        <w:rPr>
          <w:rFonts w:cs="Arial"/>
        </w:rPr>
        <w:t>.</w:t>
      </w:r>
      <w:r w:rsidR="00D52214">
        <w:rPr>
          <w:rFonts w:cs="Arial"/>
          <w:lang w:val="en-US"/>
        </w:rPr>
        <w:t xml:space="preserve"> The team will </w:t>
      </w:r>
      <w:r w:rsidR="009879E9">
        <w:rPr>
          <w:rFonts w:cs="Arial"/>
          <w:lang w:val="en-US"/>
        </w:rPr>
        <w:t>endeavor</w:t>
      </w:r>
      <w:r w:rsidR="00D52214">
        <w:rPr>
          <w:rFonts w:cs="Arial"/>
          <w:lang w:val="en-US"/>
        </w:rPr>
        <w:t xml:space="preserve"> to ensure that one of these advisers will come from a lay background. </w:t>
      </w:r>
    </w:p>
    <w:p w14:paraId="1C3135F0" w14:textId="77777777" w:rsidR="00824345" w:rsidRDefault="006F5161" w:rsidP="0049256E">
      <w:pPr>
        <w:pStyle w:val="Numberedlevel3text"/>
      </w:pPr>
      <w:r>
        <w:rPr>
          <w:rFonts w:cs="Arial"/>
        </w:rPr>
        <w:t xml:space="preserve">External advisers are selected to review an application based on their </w:t>
      </w:r>
      <w:r>
        <w:t>expertise and experience.</w:t>
      </w:r>
      <w:r>
        <w:rPr>
          <w:rFonts w:cs="Arial"/>
        </w:rPr>
        <w:t xml:space="preserve"> </w:t>
      </w:r>
      <w:r w:rsidR="00E05CBE">
        <w:t>Typically, e</w:t>
      </w:r>
      <w:r w:rsidR="000A0DE1" w:rsidRPr="00854C33">
        <w:t xml:space="preserve">xternal </w:t>
      </w:r>
      <w:r w:rsidR="000A0DE1">
        <w:t xml:space="preserve">advisers </w:t>
      </w:r>
      <w:r w:rsidR="000A0DE1" w:rsidRPr="00854C33">
        <w:t xml:space="preserve">have </w:t>
      </w:r>
      <w:r w:rsidR="000A0DE1">
        <w:t>up to</w:t>
      </w:r>
      <w:r w:rsidR="005F2F4A">
        <w:t xml:space="preserve"> 10 working days</w:t>
      </w:r>
      <w:r w:rsidR="000A0DE1" w:rsidRPr="00854C33">
        <w:t xml:space="preserve"> to</w:t>
      </w:r>
      <w:r w:rsidR="00824345">
        <w:t xml:space="preserve"> peer</w:t>
      </w:r>
      <w:r w:rsidR="000A0DE1" w:rsidRPr="00854C33">
        <w:t xml:space="preserve"> review the </w:t>
      </w:r>
      <w:r w:rsidR="00486595">
        <w:t>assessment</w:t>
      </w:r>
      <w:r w:rsidR="000A0DE1" w:rsidRPr="00854C33">
        <w:t xml:space="preserve"> produced by the analyst</w:t>
      </w:r>
      <w:r w:rsidR="00824345">
        <w:t>.</w:t>
      </w:r>
      <w:r w:rsidR="0053592B">
        <w:t xml:space="preserve"> </w:t>
      </w:r>
      <w:r w:rsidR="003C37D1">
        <w:t>They</w:t>
      </w:r>
      <w:r w:rsidR="000A0DE1" w:rsidRPr="00854C33">
        <w:t xml:space="preserve"> </w:t>
      </w:r>
      <w:r w:rsidR="00824345">
        <w:t>advis</w:t>
      </w:r>
      <w:r w:rsidR="00ED217B">
        <w:t>e</w:t>
      </w:r>
      <w:r w:rsidR="00824345">
        <w:t xml:space="preserve"> whether they agree or disagree with the </w:t>
      </w:r>
      <w:r w:rsidR="0081152A">
        <w:t xml:space="preserve">criteria assessments and the </w:t>
      </w:r>
      <w:r w:rsidR="00C72015">
        <w:t>recommendation</w:t>
      </w:r>
      <w:r w:rsidR="00824345">
        <w:t xml:space="preserve"> and why. </w:t>
      </w:r>
    </w:p>
    <w:p w14:paraId="26EEF901" w14:textId="77777777" w:rsidR="00547B29" w:rsidRDefault="00547B29" w:rsidP="0049256E">
      <w:pPr>
        <w:pStyle w:val="Numberedheading2"/>
      </w:pPr>
      <w:bookmarkStart w:id="37" w:name="_Toc238628338"/>
      <w:bookmarkStart w:id="38" w:name="_Toc404338503"/>
      <w:r>
        <w:t>If the producer is maintaining a robust process</w:t>
      </w:r>
    </w:p>
    <w:p w14:paraId="38D35369" w14:textId="77777777" w:rsidR="00547B29" w:rsidRDefault="00C72015" w:rsidP="0049256E">
      <w:pPr>
        <w:pStyle w:val="Numberedlevel3text"/>
      </w:pPr>
      <w:r>
        <w:t>If</w:t>
      </w:r>
      <w:r w:rsidR="00547B29">
        <w:t xml:space="preserve"> the producer is identified as maintaining </w:t>
      </w:r>
      <w:r w:rsidR="0081152A">
        <w:t>an</w:t>
      </w:r>
      <w:r w:rsidR="00547B29">
        <w:t xml:space="preserve"> accredita</w:t>
      </w:r>
      <w:r w:rsidR="0081152A">
        <w:t>ble process</w:t>
      </w:r>
      <w:r>
        <w:t xml:space="preserve"> </w:t>
      </w:r>
      <w:r w:rsidR="00547B29">
        <w:t>a letter confirming this is sent to the producer. T</w:t>
      </w:r>
      <w:r w:rsidR="00547B29" w:rsidRPr="00A869AC">
        <w:t xml:space="preserve">he guidance producer is invited to </w:t>
      </w:r>
      <w:r w:rsidR="00547B29">
        <w:t>re-</w:t>
      </w:r>
      <w:r w:rsidR="00547B29" w:rsidRPr="00A869AC">
        <w:t>sign the</w:t>
      </w:r>
      <w:r w:rsidR="00547B29">
        <w:t xml:space="preserve"> necessary </w:t>
      </w:r>
      <w:r w:rsidR="00547B29" w:rsidRPr="002F6250">
        <w:rPr>
          <w:b/>
        </w:rPr>
        <w:t>terms and conditions</w:t>
      </w:r>
      <w:r w:rsidR="00547B29">
        <w:t xml:space="preserve"> (provided separately). This document includes a statement about ensuring the same process will continue to be used to produce guidance, and that any </w:t>
      </w:r>
      <w:r w:rsidR="00981BA4">
        <w:rPr>
          <w:lang w:val="en-GB"/>
        </w:rPr>
        <w:t>changes to</w:t>
      </w:r>
      <w:r w:rsidR="00547B29">
        <w:t xml:space="preserve"> this process will be notified to the </w:t>
      </w:r>
      <w:r w:rsidR="00825FB4">
        <w:rPr>
          <w:lang w:val="en-US"/>
        </w:rPr>
        <w:t xml:space="preserve">NICE </w:t>
      </w:r>
      <w:r w:rsidR="00981BA4">
        <w:rPr>
          <w:lang w:val="en-GB"/>
        </w:rPr>
        <w:t>A</w:t>
      </w:r>
      <w:r w:rsidR="00547B29">
        <w:t xml:space="preserve">ccreditation team. </w:t>
      </w:r>
    </w:p>
    <w:p w14:paraId="1E33B7E4" w14:textId="77777777" w:rsidR="00547B29" w:rsidRDefault="00547B29" w:rsidP="0049256E">
      <w:pPr>
        <w:pStyle w:val="Numberedlevel3text"/>
        <w:rPr>
          <w:iCs/>
        </w:rPr>
      </w:pPr>
      <w:r>
        <w:t>The renewal date is amended on the accreditation pages of the NICE website, and the guidance producer can continue to use</w:t>
      </w:r>
      <w:r>
        <w:rPr>
          <w:iCs/>
        </w:rPr>
        <w:t xml:space="preserve"> the Accreditation Mark.</w:t>
      </w:r>
    </w:p>
    <w:p w14:paraId="41226A03" w14:textId="77777777" w:rsidR="0052144B" w:rsidRPr="00547B29" w:rsidRDefault="0052144B" w:rsidP="0049256E">
      <w:pPr>
        <w:pStyle w:val="Numberedlevel3text"/>
      </w:pPr>
      <w:r>
        <w:t xml:space="preserve">If the producer is identified as </w:t>
      </w:r>
      <w:r w:rsidR="00981BA4">
        <w:rPr>
          <w:lang w:val="en-GB"/>
        </w:rPr>
        <w:t xml:space="preserve">only </w:t>
      </w:r>
      <w:r>
        <w:t>just maintaining an accreditable process and the recommendation is considered to be borderline</w:t>
      </w:r>
      <w:r w:rsidR="00856137">
        <w:rPr>
          <w:lang w:val="en-US"/>
        </w:rPr>
        <w:t>,</w:t>
      </w:r>
      <w:r>
        <w:t xml:space="preserve"> the reports will be updated and discussed at PE. Improvements may be identified and recommended and a period to begin making them may be given before the final decision is made</w:t>
      </w:r>
      <w:r w:rsidR="00981BA4">
        <w:rPr>
          <w:lang w:val="en-GB"/>
        </w:rPr>
        <w:t xml:space="preserve"> (see following section)</w:t>
      </w:r>
      <w:r>
        <w:t>.</w:t>
      </w:r>
    </w:p>
    <w:p w14:paraId="6049DA2B" w14:textId="77777777" w:rsidR="00547B29" w:rsidRDefault="00547B29" w:rsidP="0049256E">
      <w:pPr>
        <w:pStyle w:val="Numberedheading2"/>
      </w:pPr>
      <w:r>
        <w:t xml:space="preserve">If the </w:t>
      </w:r>
      <w:r w:rsidRPr="0049256E">
        <w:t>producer</w:t>
      </w:r>
      <w:r>
        <w:t xml:space="preserve"> is not maintaining a</w:t>
      </w:r>
      <w:r w:rsidR="0081152A">
        <w:t xml:space="preserve"> robust process</w:t>
      </w:r>
    </w:p>
    <w:bookmarkEnd w:id="37"/>
    <w:bookmarkEnd w:id="38"/>
    <w:p w14:paraId="0C437EBD" w14:textId="77777777" w:rsidR="00E617FD" w:rsidRDefault="00981BA4" w:rsidP="0049256E">
      <w:pPr>
        <w:pStyle w:val="Numberedlevel3text"/>
      </w:pPr>
      <w:r>
        <w:rPr>
          <w:lang w:val="en-GB"/>
        </w:rPr>
        <w:t xml:space="preserve">If either the analyst or the external advisers consider that improvements are required before accreditation renewal can be granted, the reasons for this will be fed back to the guidance producer. They will then have 3 </w:t>
      </w:r>
      <w:r>
        <w:rPr>
          <w:lang w:val="en-GB"/>
        </w:rPr>
        <w:lastRenderedPageBreak/>
        <w:t>months to agree a plan to make the required improvements and demonstrate substantial progress towards them.</w:t>
      </w:r>
    </w:p>
    <w:p w14:paraId="1461C758" w14:textId="77777777" w:rsidR="00AD4A84" w:rsidRDefault="00824345" w:rsidP="0049256E">
      <w:pPr>
        <w:pStyle w:val="Numberedlevel3text"/>
      </w:pPr>
      <w:r>
        <w:t>If</w:t>
      </w:r>
      <w:r w:rsidR="00804A00">
        <w:rPr>
          <w:lang w:val="en-GB"/>
        </w:rPr>
        <w:t>, following the improvement period and subsequent review,</w:t>
      </w:r>
      <w:r>
        <w:t xml:space="preserve"> the decision is to discontinue accreditation for the producer</w:t>
      </w:r>
      <w:r w:rsidR="00804A00">
        <w:rPr>
          <w:lang w:val="en-GB"/>
        </w:rPr>
        <w:t>,</w:t>
      </w:r>
      <w:r>
        <w:t xml:space="preserve"> they </w:t>
      </w:r>
      <w:r w:rsidR="00D37C77">
        <w:t xml:space="preserve">will be sent the report </w:t>
      </w:r>
      <w:r w:rsidR="00804A00">
        <w:rPr>
          <w:lang w:val="en-GB"/>
        </w:rPr>
        <w:t xml:space="preserve">explaining the decision. They will then </w:t>
      </w:r>
      <w:r>
        <w:t xml:space="preserve">have </w:t>
      </w:r>
      <w:r w:rsidR="008A1657">
        <w:t>20</w:t>
      </w:r>
      <w:r w:rsidR="00E40B6C">
        <w:t> </w:t>
      </w:r>
      <w:r w:rsidR="00FA1E1C">
        <w:t>working days from the date the report is sent</w:t>
      </w:r>
      <w:r w:rsidR="00813109" w:rsidRPr="00CF6A05">
        <w:t xml:space="preserve"> to challenge </w:t>
      </w:r>
      <w:r w:rsidR="00804A00">
        <w:rPr>
          <w:lang w:val="en-GB"/>
        </w:rPr>
        <w:t>it</w:t>
      </w:r>
      <w:r w:rsidR="00543EFB">
        <w:t>.</w:t>
      </w:r>
      <w:r w:rsidR="00E617FD">
        <w:t xml:space="preserve"> See section 3.11. </w:t>
      </w:r>
      <w:r w:rsidR="00AD4A84">
        <w:t xml:space="preserve">If accreditation has been </w:t>
      </w:r>
      <w:r w:rsidR="00D37C77">
        <w:t>dis</w:t>
      </w:r>
      <w:r w:rsidR="00715F67">
        <w:t>continued</w:t>
      </w:r>
      <w:r w:rsidR="00AD4A84">
        <w:t>, the guidance producer</w:t>
      </w:r>
      <w:r w:rsidR="00715F67">
        <w:t xml:space="preserve"> </w:t>
      </w:r>
      <w:r w:rsidR="00D37C77">
        <w:t>must stop</w:t>
      </w:r>
      <w:r w:rsidR="00715F67">
        <w:t xml:space="preserve"> us</w:t>
      </w:r>
      <w:r w:rsidR="00D37C77">
        <w:t>ing</w:t>
      </w:r>
      <w:r w:rsidR="00AD4A84">
        <w:rPr>
          <w:iCs/>
        </w:rPr>
        <w:t xml:space="preserve"> the Accreditation Mark. </w:t>
      </w:r>
      <w:r w:rsidR="00D37C77">
        <w:t>Content</w:t>
      </w:r>
      <w:r w:rsidR="00AD4A84">
        <w:t xml:space="preserve"> developed by guidance producers </w:t>
      </w:r>
      <w:r w:rsidR="00D37C77">
        <w:t>no longer</w:t>
      </w:r>
      <w:r w:rsidR="00AD4A84">
        <w:t xml:space="preserve"> accredit</w:t>
      </w:r>
      <w:r w:rsidR="00D37C77">
        <w:t>ed</w:t>
      </w:r>
      <w:r w:rsidR="00AD4A84">
        <w:t xml:space="preserve"> continues to be available through </w:t>
      </w:r>
      <w:hyperlink r:id="rId14" w:history="1">
        <w:r w:rsidR="003D31EF">
          <w:rPr>
            <w:rStyle w:val="Hyperlink"/>
          </w:rPr>
          <w:t>NICE Evidence</w:t>
        </w:r>
      </w:hyperlink>
      <w:r w:rsidR="00AD4A84">
        <w:t>, where applicable (non-accreditation does not result in a producer’s content being removed from NICE Evidence).</w:t>
      </w:r>
    </w:p>
    <w:p w14:paraId="062934AB" w14:textId="77777777" w:rsidR="00E617FD" w:rsidRDefault="00E617FD" w:rsidP="0049256E">
      <w:pPr>
        <w:pStyle w:val="Numberedlevel3text"/>
      </w:pPr>
      <w:r>
        <w:t>If the decision is to renew accreditation the producer is notified as in 3.</w:t>
      </w:r>
      <w:r w:rsidR="00856137">
        <w:rPr>
          <w:lang w:val="en-US"/>
        </w:rPr>
        <w:t>8</w:t>
      </w:r>
      <w:r>
        <w:t>.</w:t>
      </w:r>
    </w:p>
    <w:p w14:paraId="75D63259" w14:textId="77777777" w:rsidR="00486595" w:rsidRPr="00547B29" w:rsidRDefault="00486595" w:rsidP="0049256E">
      <w:pPr>
        <w:pStyle w:val="Numberedlevel3text"/>
      </w:pPr>
      <w:r>
        <w:t>The status of the guidance producer is amended on the accreditation pages of the NICE website</w:t>
      </w:r>
      <w:r>
        <w:rPr>
          <w:iCs/>
        </w:rPr>
        <w:t>.</w:t>
      </w:r>
    </w:p>
    <w:p w14:paraId="3556834F" w14:textId="77777777" w:rsidR="0063463D" w:rsidRDefault="0035328F" w:rsidP="0049256E">
      <w:pPr>
        <w:pStyle w:val="Numberedheading2"/>
      </w:pPr>
      <w:bookmarkStart w:id="39" w:name="_Toc405187206"/>
      <w:bookmarkStart w:id="40" w:name="_Toc214099074"/>
      <w:bookmarkStart w:id="41" w:name="_Toc238628340"/>
      <w:bookmarkStart w:id="42" w:name="_Toc404338506"/>
      <w:r>
        <w:t xml:space="preserve">  </w:t>
      </w:r>
      <w:r w:rsidR="0063463D">
        <w:t>Resolving any challenges to the decision</w:t>
      </w:r>
      <w:bookmarkEnd w:id="39"/>
    </w:p>
    <w:p w14:paraId="52F834A8" w14:textId="77777777" w:rsidR="00483122" w:rsidRPr="00483122" w:rsidRDefault="0002377C" w:rsidP="0049256E">
      <w:pPr>
        <w:pStyle w:val="Numberedlevel3text"/>
      </w:pPr>
      <w:r>
        <w:rPr>
          <w:lang w:val="en-US"/>
        </w:rPr>
        <w:t xml:space="preserve">Where guidance producers are not maintaining a robust process, the team will provide the guidance producer with the best possible opportunity to improve this and </w:t>
      </w:r>
      <w:r w:rsidR="00970ABE">
        <w:rPr>
          <w:lang w:val="en-US"/>
        </w:rPr>
        <w:t>retain</w:t>
      </w:r>
      <w:r>
        <w:rPr>
          <w:lang w:val="en-US"/>
        </w:rPr>
        <w:t xml:space="preserve"> the</w:t>
      </w:r>
      <w:r w:rsidR="00970ABE">
        <w:rPr>
          <w:lang w:val="en-US"/>
        </w:rPr>
        <w:t>ir</w:t>
      </w:r>
      <w:r>
        <w:rPr>
          <w:lang w:val="en-US"/>
        </w:rPr>
        <w:t xml:space="preserve"> accredit</w:t>
      </w:r>
      <w:r w:rsidR="00970ABE">
        <w:rPr>
          <w:lang w:val="en-US"/>
        </w:rPr>
        <w:t>ed status</w:t>
      </w:r>
      <w:r w:rsidR="00F60116">
        <w:rPr>
          <w:lang w:val="en-US"/>
        </w:rPr>
        <w:t>. This will be</w:t>
      </w:r>
      <w:r>
        <w:rPr>
          <w:lang w:val="en-US"/>
        </w:rPr>
        <w:t xml:space="preserve"> through guidance and support as set out in section 3.9. </w:t>
      </w:r>
    </w:p>
    <w:p w14:paraId="1708EB66" w14:textId="77777777" w:rsidR="0063463D" w:rsidRDefault="008A6DA0" w:rsidP="0049256E">
      <w:pPr>
        <w:pStyle w:val="Numberedlevel3text"/>
      </w:pPr>
      <w:r>
        <w:rPr>
          <w:lang w:val="en-US"/>
        </w:rPr>
        <w:t>In exceptional circumstances</w:t>
      </w:r>
      <w:r w:rsidR="00626E96">
        <w:rPr>
          <w:lang w:val="en-US"/>
        </w:rPr>
        <w:t>,</w:t>
      </w:r>
      <w:r>
        <w:rPr>
          <w:lang w:val="en-US"/>
        </w:rPr>
        <w:t xml:space="preserve"> for example, where a guidance producer fundamentally disagrees with the outcome of an assessment made by the NICE Accreditation team and dialogue between the two parties has not resolved this, a</w:t>
      </w:r>
      <w:r w:rsidR="00EC314A">
        <w:rPr>
          <w:lang w:val="en-US"/>
        </w:rPr>
        <w:t xml:space="preserve"> </w:t>
      </w:r>
      <w:r w:rsidR="0063463D" w:rsidRPr="00E9078D">
        <w:rPr>
          <w:b/>
        </w:rPr>
        <w:t>resolution process</w:t>
      </w:r>
      <w:r w:rsidR="00483122">
        <w:rPr>
          <w:b/>
          <w:lang w:val="en-US"/>
        </w:rPr>
        <w:t xml:space="preserve"> </w:t>
      </w:r>
      <w:r w:rsidR="00483122">
        <w:rPr>
          <w:bCs w:val="0"/>
          <w:lang w:val="en-US"/>
        </w:rPr>
        <w:t>set out from paragraph 3.10.3</w:t>
      </w:r>
      <w:r w:rsidR="0063463D" w:rsidRPr="00E9078D">
        <w:rPr>
          <w:b/>
        </w:rPr>
        <w:t xml:space="preserve"> </w:t>
      </w:r>
      <w:r w:rsidR="0063463D">
        <w:t xml:space="preserve">is </w:t>
      </w:r>
      <w:r>
        <w:rPr>
          <w:lang w:val="en-US"/>
        </w:rPr>
        <w:t xml:space="preserve">available </w:t>
      </w:r>
      <w:r w:rsidR="0063463D">
        <w:t>a</w:t>
      </w:r>
      <w:r>
        <w:rPr>
          <w:lang w:val="en-US"/>
        </w:rPr>
        <w:t>s a</w:t>
      </w:r>
      <w:r w:rsidR="0063463D">
        <w:t xml:space="preserve"> final quality assurance step</w:t>
      </w:r>
      <w:r w:rsidR="00483122">
        <w:rPr>
          <w:lang w:val="en-US"/>
        </w:rPr>
        <w:t>. This is</w:t>
      </w:r>
      <w:r w:rsidR="0063463D">
        <w:t xml:space="preserve"> intended to ensure that the accreditation process is </w:t>
      </w:r>
      <w:proofErr w:type="gramStart"/>
      <w:r w:rsidR="0063463D">
        <w:t>fair</w:t>
      </w:r>
      <w:proofErr w:type="gramEnd"/>
      <w:r w:rsidR="0063463D">
        <w:t xml:space="preserve"> and that accreditation decision-making </w:t>
      </w:r>
      <w:r w:rsidR="0063463D">
        <w:lastRenderedPageBreak/>
        <w:t xml:space="preserve">has not unreasonably deviated from the process described in this document. </w:t>
      </w:r>
    </w:p>
    <w:p w14:paraId="4C3B5DC7" w14:textId="77777777" w:rsidR="0063463D" w:rsidRDefault="0063463D" w:rsidP="0049256E">
      <w:pPr>
        <w:pStyle w:val="Numberedlevel3text"/>
      </w:pPr>
      <w:r>
        <w:t>Only resolution requests made on the grounds that there has been a ‘breach of process’ will be considered. The request should</w:t>
      </w:r>
      <w:r w:rsidR="00464FD5">
        <w:rPr>
          <w:lang w:val="en-US"/>
        </w:rPr>
        <w:t xml:space="preserve"> clearly</w:t>
      </w:r>
      <w:r>
        <w:t xml:space="preserve"> specify the breach of process and provide supporting information so that NICE can fully understand the nature of the concern and provide an appropriate remedy if there has been a breach of process.</w:t>
      </w:r>
      <w:r w:rsidR="00483122">
        <w:rPr>
          <w:lang w:val="en-US"/>
        </w:rPr>
        <w:t xml:space="preserve"> This should be submitted to </w:t>
      </w:r>
      <w:hyperlink r:id="rId15" w:history="1">
        <w:r w:rsidR="00483122" w:rsidRPr="00346C9A">
          <w:rPr>
            <w:rStyle w:val="Hyperlink"/>
            <w:lang w:val="en-US"/>
          </w:rPr>
          <w:t>Accreditation@nice.org.uk</w:t>
        </w:r>
      </w:hyperlink>
      <w:r w:rsidR="00483122">
        <w:rPr>
          <w:lang w:val="en-US"/>
        </w:rPr>
        <w:t xml:space="preserve"> </w:t>
      </w:r>
      <w:r>
        <w:t xml:space="preserve"> </w:t>
      </w:r>
    </w:p>
    <w:p w14:paraId="1C897E33" w14:textId="77777777" w:rsidR="00C61CB1" w:rsidRDefault="0063463D" w:rsidP="0049256E">
      <w:pPr>
        <w:pStyle w:val="Numberedlevel3text"/>
      </w:pPr>
      <w:r>
        <w:t>The Director of Health and Social Care will decide whether the request falls within the scope of the resolution process.</w:t>
      </w:r>
      <w:r w:rsidR="00C61CB1">
        <w:t xml:space="preserve"> </w:t>
      </w:r>
      <w:r>
        <w:t xml:space="preserve">If the Director considers that there has been no breach of process, </w:t>
      </w:r>
      <w:r w:rsidRPr="00112FD2">
        <w:rPr>
          <w:rFonts w:cs="Arial"/>
        </w:rPr>
        <w:t xml:space="preserve">or </w:t>
      </w:r>
      <w:r>
        <w:rPr>
          <w:rFonts w:cs="Arial"/>
        </w:rPr>
        <w:t xml:space="preserve">that the request </w:t>
      </w:r>
      <w:r w:rsidRPr="00112FD2">
        <w:rPr>
          <w:rFonts w:cs="Arial"/>
        </w:rPr>
        <w:t>does not have a reasonable prospect of success</w:t>
      </w:r>
      <w:r>
        <w:rPr>
          <w:rFonts w:cs="Arial"/>
        </w:rPr>
        <w:t>,</w:t>
      </w:r>
      <w:r w:rsidRPr="00112FD2">
        <w:rPr>
          <w:rFonts w:cs="Arial"/>
        </w:rPr>
        <w:t xml:space="preserve"> </w:t>
      </w:r>
      <w:r w:rsidRPr="00112FD2">
        <w:t xml:space="preserve">the </w:t>
      </w:r>
      <w:r w:rsidRPr="00391E74">
        <w:t xml:space="preserve">decision </w:t>
      </w:r>
      <w:r w:rsidR="00C61CB1">
        <w:t xml:space="preserve">is relayed </w:t>
      </w:r>
      <w:r w:rsidRPr="00391E74">
        <w:t xml:space="preserve">to </w:t>
      </w:r>
      <w:r>
        <w:t>the guidance producer</w:t>
      </w:r>
      <w:r w:rsidR="0002377C">
        <w:rPr>
          <w:lang w:val="en-US"/>
        </w:rPr>
        <w:t>.</w:t>
      </w:r>
      <w:r>
        <w:t xml:space="preserve"> </w:t>
      </w:r>
    </w:p>
    <w:p w14:paraId="61BB3B60" w14:textId="77777777" w:rsidR="0063463D" w:rsidRDefault="0063463D" w:rsidP="0049256E">
      <w:pPr>
        <w:pStyle w:val="Numberedlevel3text"/>
      </w:pPr>
      <w:r>
        <w:t xml:space="preserve">If the Director considers that there has been a breach of process, </w:t>
      </w:r>
      <w:r w:rsidR="00464FD5">
        <w:rPr>
          <w:lang w:val="en-US"/>
        </w:rPr>
        <w:t xml:space="preserve">they will chair </w:t>
      </w:r>
      <w:r>
        <w:t>a meeting of the Resolution Panel</w:t>
      </w:r>
      <w:r w:rsidR="00464FD5">
        <w:rPr>
          <w:lang w:val="en-US"/>
        </w:rPr>
        <w:t xml:space="preserve"> </w:t>
      </w:r>
      <w:r w:rsidR="00654699">
        <w:rPr>
          <w:lang w:val="en-US"/>
        </w:rPr>
        <w:t>which includes a non-executive director from the NICE Board and another executive director, independent of the accreditation team. The panel</w:t>
      </w:r>
      <w:r>
        <w:t xml:space="preserve"> is convened within 20 working days of the conclusion of the initial scrutiny process.</w:t>
      </w:r>
      <w:r w:rsidR="00C61CB1">
        <w:t xml:space="preserve"> </w:t>
      </w:r>
      <w:r>
        <w:t xml:space="preserve">The Resolution Panel decides whether there has been a breach of process and, if so, what action is appropriate. </w:t>
      </w:r>
    </w:p>
    <w:p w14:paraId="66E1AB56" w14:textId="77777777" w:rsidR="0063463D" w:rsidRDefault="0063463D" w:rsidP="0049256E">
      <w:pPr>
        <w:pStyle w:val="Numberedlevel3text"/>
      </w:pPr>
      <w:r>
        <w:t>The decision reached by the Resolution Panel is final.</w:t>
      </w:r>
    </w:p>
    <w:p w14:paraId="7A76FDCC" w14:textId="77777777" w:rsidR="00F21FFC" w:rsidRDefault="00225A9D" w:rsidP="0049256E">
      <w:pPr>
        <w:pStyle w:val="Numberedheading2"/>
      </w:pPr>
      <w:bookmarkStart w:id="43" w:name="_Toc242865961"/>
      <w:bookmarkStart w:id="44" w:name="_Toc242866088"/>
      <w:bookmarkStart w:id="45" w:name="_Toc242866166"/>
      <w:bookmarkStart w:id="46" w:name="_Toc280868456"/>
      <w:bookmarkStart w:id="47" w:name="_Toc404338508"/>
      <w:bookmarkEnd w:id="40"/>
      <w:bookmarkEnd w:id="41"/>
      <w:bookmarkEnd w:id="42"/>
      <w:bookmarkEnd w:id="43"/>
      <w:bookmarkEnd w:id="44"/>
      <w:bookmarkEnd w:id="45"/>
      <w:bookmarkEnd w:id="46"/>
      <w:r>
        <w:t xml:space="preserve"> </w:t>
      </w:r>
      <w:r w:rsidR="00F26194">
        <w:t>Notifying process changes</w:t>
      </w:r>
      <w:bookmarkStart w:id="48" w:name="_Toc219115668"/>
      <w:bookmarkStart w:id="49" w:name="_Toc188700431"/>
      <w:bookmarkStart w:id="50" w:name="_Toc186615888"/>
      <w:bookmarkStart w:id="51" w:name="_Toc186616068"/>
      <w:bookmarkStart w:id="52" w:name="_Toc186616205"/>
      <w:bookmarkStart w:id="53" w:name="_Toc186616344"/>
      <w:bookmarkStart w:id="54" w:name="_Toc186616696"/>
      <w:bookmarkStart w:id="55" w:name="_Toc186617023"/>
      <w:bookmarkStart w:id="56" w:name="_Toc186617106"/>
      <w:bookmarkStart w:id="57" w:name="_Toc186617535"/>
      <w:bookmarkStart w:id="58" w:name="_Toc186617646"/>
      <w:bookmarkStart w:id="59" w:name="_Toc186621390"/>
      <w:bookmarkStart w:id="60" w:name="_Toc186623777"/>
      <w:bookmarkStart w:id="61" w:name="_Toc186859854"/>
      <w:bookmarkStart w:id="62" w:name="_Toc187224464"/>
      <w:bookmarkStart w:id="63" w:name="_Toc187224554"/>
      <w:bookmarkStart w:id="64" w:name="_Toc187225389"/>
      <w:bookmarkStart w:id="65" w:name="_Toc187228783"/>
      <w:bookmarkStart w:id="66" w:name="_Toc187230572"/>
      <w:bookmarkStart w:id="67" w:name="_Toc238628342"/>
      <w:bookmarkEnd w:id="26"/>
      <w:bookmarkEnd w:id="27"/>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1F3691B" w14:textId="77777777" w:rsidR="00BD3741" w:rsidRDefault="00BD3741" w:rsidP="00BD3741">
      <w:pPr>
        <w:pStyle w:val="Numberedlevel3text"/>
      </w:pPr>
      <w:r>
        <w:t>Guidance producers are also encouraged to contact the accreditation team at any time if they need any support or advice on process changes.</w:t>
      </w:r>
    </w:p>
    <w:p w14:paraId="3213FD29" w14:textId="77777777" w:rsidR="00562E43" w:rsidRDefault="0047294A" w:rsidP="00562E43">
      <w:pPr>
        <w:pStyle w:val="Numberedlevel3text"/>
      </w:pPr>
      <w:r>
        <w:rPr>
          <w:lang w:val="en-GB"/>
        </w:rPr>
        <w:t>Through</w:t>
      </w:r>
      <w:r w:rsidR="00562E43">
        <w:rPr>
          <w:lang w:val="en-GB"/>
        </w:rPr>
        <w:t>out the accreditation period,</w:t>
      </w:r>
      <w:r w:rsidR="00562E43">
        <w:t xml:space="preserve"> a</w:t>
      </w:r>
      <w:r w:rsidR="00562E43">
        <w:rPr>
          <w:lang w:val="en-GB"/>
        </w:rPr>
        <w:t>n accredited</w:t>
      </w:r>
      <w:r w:rsidR="00562E43">
        <w:t xml:space="preserve"> guidance producer </w:t>
      </w:r>
      <w:r w:rsidR="00562E43">
        <w:rPr>
          <w:lang w:val="en-GB"/>
        </w:rPr>
        <w:t>should</w:t>
      </w:r>
      <w:r w:rsidR="00562E43">
        <w:t xml:space="preserve"> contact NICE </w:t>
      </w:r>
      <w:proofErr w:type="gramStart"/>
      <w:r w:rsidR="00562E43">
        <w:t>in order to</w:t>
      </w:r>
      <w:proofErr w:type="gramEnd"/>
      <w:r w:rsidR="00562E43">
        <w:t xml:space="preserve"> update on any changes to accredited guideline production processes. They should do so by emailing </w:t>
      </w:r>
      <w:hyperlink r:id="rId16" w:history="1">
        <w:r w:rsidR="00EC314A" w:rsidRPr="0033046E">
          <w:rPr>
            <w:rStyle w:val="Hyperlink"/>
            <w:b/>
          </w:rPr>
          <w:t>Accreditation@nice.org.uk</w:t>
        </w:r>
      </w:hyperlink>
      <w:r w:rsidR="00EC314A">
        <w:rPr>
          <w:b/>
          <w:lang w:val="en-US"/>
        </w:rPr>
        <w:t xml:space="preserve"> </w:t>
      </w:r>
      <w:r w:rsidR="00562E43">
        <w:t xml:space="preserve"> outlining the key aspects of any change</w:t>
      </w:r>
      <w:r>
        <w:rPr>
          <w:lang w:val="en-GB"/>
        </w:rPr>
        <w:t xml:space="preserve"> to existing accredited processes</w:t>
      </w:r>
      <w:r w:rsidR="00562E43">
        <w:t xml:space="preserve">. </w:t>
      </w:r>
    </w:p>
    <w:p w14:paraId="43E3EB41" w14:textId="77777777" w:rsidR="00EB3499" w:rsidRPr="00EB3499" w:rsidRDefault="00A83549" w:rsidP="00562E43">
      <w:pPr>
        <w:pStyle w:val="Numberedlevel3text"/>
      </w:pPr>
      <w:r>
        <w:rPr>
          <w:lang w:val="en-US"/>
        </w:rPr>
        <w:t>Whilst this is not a comprehensive list, some</w:t>
      </w:r>
      <w:r w:rsidR="00F00F35">
        <w:rPr>
          <w:lang w:val="en-US"/>
        </w:rPr>
        <w:t xml:space="preserve"> general</w:t>
      </w:r>
      <w:r>
        <w:rPr>
          <w:lang w:val="en-US"/>
        </w:rPr>
        <w:t xml:space="preserve"> e</w:t>
      </w:r>
      <w:r w:rsidR="00EB3499">
        <w:rPr>
          <w:lang w:val="en-US"/>
        </w:rPr>
        <w:t>xample</w:t>
      </w:r>
      <w:r>
        <w:rPr>
          <w:lang w:val="en-US"/>
        </w:rPr>
        <w:t>s</w:t>
      </w:r>
      <w:r w:rsidR="00EB3499">
        <w:rPr>
          <w:lang w:val="en-US"/>
        </w:rPr>
        <w:t xml:space="preserve"> of process </w:t>
      </w:r>
      <w:proofErr w:type="gramStart"/>
      <w:r w:rsidR="00EB3499">
        <w:rPr>
          <w:lang w:val="en-US"/>
        </w:rPr>
        <w:t>changes</w:t>
      </w:r>
      <w:proofErr w:type="gramEnd"/>
      <w:r w:rsidR="00EB3499">
        <w:rPr>
          <w:lang w:val="en-US"/>
        </w:rPr>
        <w:t xml:space="preserve"> where NICE would like to hear from </w:t>
      </w:r>
      <w:r w:rsidR="001D6D51">
        <w:rPr>
          <w:lang w:val="en-US"/>
        </w:rPr>
        <w:t>a producer</w:t>
      </w:r>
      <w:r w:rsidR="00EB3499">
        <w:rPr>
          <w:lang w:val="en-US"/>
        </w:rPr>
        <w:t xml:space="preserve"> may include:</w:t>
      </w:r>
    </w:p>
    <w:p w14:paraId="19C502E5" w14:textId="77777777" w:rsidR="00EB3499" w:rsidRDefault="00EB3499" w:rsidP="00EB3499">
      <w:pPr>
        <w:pStyle w:val="Numberedlevel3text"/>
        <w:numPr>
          <w:ilvl w:val="1"/>
          <w:numId w:val="15"/>
        </w:numPr>
      </w:pPr>
      <w:r>
        <w:t>broadening scope to consider another area e.g. social care or medical devices</w:t>
      </w:r>
    </w:p>
    <w:p w14:paraId="360CBC58" w14:textId="77777777" w:rsidR="00EB3499" w:rsidRDefault="00EB3499" w:rsidP="00EB3499">
      <w:pPr>
        <w:pStyle w:val="Numberedlevel3text"/>
        <w:numPr>
          <w:ilvl w:val="1"/>
          <w:numId w:val="15"/>
        </w:numPr>
      </w:pPr>
      <w:r>
        <w:t>adding additional lay members, where they were under-represented</w:t>
      </w:r>
    </w:p>
    <w:p w14:paraId="21A25BCE" w14:textId="77777777" w:rsidR="00EB3499" w:rsidRDefault="00EB3499" w:rsidP="00EB3499">
      <w:pPr>
        <w:pStyle w:val="Numberedlevel3text"/>
        <w:numPr>
          <w:ilvl w:val="1"/>
          <w:numId w:val="15"/>
        </w:numPr>
      </w:pPr>
      <w:r>
        <w:t>now only considering evidence from existing systematic reviews</w:t>
      </w:r>
    </w:p>
    <w:p w14:paraId="6CA8AD86" w14:textId="77777777" w:rsidR="00EB3499" w:rsidRPr="00EB3499" w:rsidRDefault="00EB3499" w:rsidP="00EB3499">
      <w:pPr>
        <w:pStyle w:val="Numberedlevel3text"/>
        <w:numPr>
          <w:ilvl w:val="1"/>
          <w:numId w:val="15"/>
        </w:numPr>
      </w:pPr>
      <w:r>
        <w:rPr>
          <w:lang w:val="en-US"/>
        </w:rPr>
        <w:t xml:space="preserve">Changing who declares interests or how they are </w:t>
      </w:r>
      <w:proofErr w:type="gramStart"/>
      <w:r>
        <w:rPr>
          <w:lang w:val="en-US"/>
        </w:rPr>
        <w:t>managed</w:t>
      </w:r>
      <w:proofErr w:type="gramEnd"/>
    </w:p>
    <w:p w14:paraId="1E15D6A8" w14:textId="77777777" w:rsidR="00EB3499" w:rsidRDefault="00A83549" w:rsidP="00EB3499">
      <w:pPr>
        <w:pStyle w:val="Numberedlevel3text"/>
        <w:numPr>
          <w:ilvl w:val="0"/>
          <w:numId w:val="0"/>
        </w:numPr>
        <w:ind w:left="1080"/>
        <w:rPr>
          <w:lang w:val="en-US"/>
        </w:rPr>
      </w:pPr>
      <w:r>
        <w:rPr>
          <w:lang w:val="en-US"/>
        </w:rPr>
        <w:t>Some examples of where t</w:t>
      </w:r>
      <w:r w:rsidR="00EB3499">
        <w:rPr>
          <w:lang w:val="en-US"/>
        </w:rPr>
        <w:t xml:space="preserve">he guidance producer does not need to contact NICE </w:t>
      </w:r>
      <w:r>
        <w:rPr>
          <w:lang w:val="en-US"/>
        </w:rPr>
        <w:t>may include</w:t>
      </w:r>
      <w:r w:rsidR="00EB3499">
        <w:rPr>
          <w:lang w:val="en-US"/>
        </w:rPr>
        <w:t>:</w:t>
      </w:r>
    </w:p>
    <w:p w14:paraId="46D8B0F0" w14:textId="77777777" w:rsidR="00EB3499" w:rsidRDefault="00EB3499" w:rsidP="009E7245">
      <w:pPr>
        <w:pStyle w:val="Bulletindent1last"/>
        <w:numPr>
          <w:ilvl w:val="0"/>
          <w:numId w:val="45"/>
        </w:numPr>
        <w:rPr>
          <w:rFonts w:ascii="Calibri" w:hAnsi="Calibri"/>
          <w:sz w:val="22"/>
          <w:szCs w:val="22"/>
        </w:rPr>
      </w:pPr>
      <w:r>
        <w:t xml:space="preserve">moving from one kind of grading system </w:t>
      </w:r>
      <w:r w:rsidR="0008512C">
        <w:t xml:space="preserve">for evidence </w:t>
      </w:r>
      <w:r>
        <w:t>to another</w:t>
      </w:r>
    </w:p>
    <w:p w14:paraId="0208D317" w14:textId="77777777" w:rsidR="00EB3499" w:rsidRDefault="00EB3499" w:rsidP="009E7245">
      <w:pPr>
        <w:pStyle w:val="Bulletindent1last"/>
        <w:numPr>
          <w:ilvl w:val="0"/>
          <w:numId w:val="45"/>
        </w:numPr>
      </w:pPr>
      <w:r>
        <w:t xml:space="preserve">the order or location of items changes in the guidance, but the items remain the </w:t>
      </w:r>
      <w:proofErr w:type="gramStart"/>
      <w:r>
        <w:t>same</w:t>
      </w:r>
      <w:proofErr w:type="gramEnd"/>
    </w:p>
    <w:p w14:paraId="2796BC0D" w14:textId="77777777" w:rsidR="00EB3499" w:rsidRDefault="00EB3499" w:rsidP="009E7245">
      <w:pPr>
        <w:pStyle w:val="Bulletindent1last"/>
        <w:numPr>
          <w:ilvl w:val="0"/>
          <w:numId w:val="45"/>
        </w:numPr>
      </w:pPr>
      <w:r>
        <w:t xml:space="preserve">different guideline group composition, but sufficient stakeholder involvement is </w:t>
      </w:r>
      <w:proofErr w:type="gramStart"/>
      <w:r>
        <w:t>maintained</w:t>
      </w:r>
      <w:proofErr w:type="gramEnd"/>
    </w:p>
    <w:p w14:paraId="5CB8F605" w14:textId="77777777" w:rsidR="00EB3499" w:rsidRDefault="00EB3499" w:rsidP="009E7245">
      <w:pPr>
        <w:pStyle w:val="Bulletindent1last"/>
        <w:numPr>
          <w:ilvl w:val="0"/>
          <w:numId w:val="45"/>
        </w:numPr>
      </w:pPr>
      <w:r>
        <w:t xml:space="preserve">new items added to existing </w:t>
      </w:r>
      <w:proofErr w:type="gramStart"/>
      <w:r>
        <w:t>audits</w:t>
      </w:r>
      <w:proofErr w:type="gramEnd"/>
    </w:p>
    <w:p w14:paraId="3EC3109B" w14:textId="77777777" w:rsidR="00EB3499" w:rsidRDefault="00EB3499" w:rsidP="009E7245">
      <w:pPr>
        <w:pStyle w:val="Bulletindent1last"/>
        <w:numPr>
          <w:ilvl w:val="0"/>
          <w:numId w:val="45"/>
        </w:numPr>
      </w:pPr>
      <w:r>
        <w:t xml:space="preserve">an existing funding source increases or reduces its </w:t>
      </w:r>
      <w:proofErr w:type="gramStart"/>
      <w:r>
        <w:t>funding</w:t>
      </w:r>
      <w:proofErr w:type="gramEnd"/>
    </w:p>
    <w:p w14:paraId="5C60EEA3" w14:textId="77777777" w:rsidR="00562E43" w:rsidRDefault="00562E43" w:rsidP="000D652D">
      <w:pPr>
        <w:pStyle w:val="Numberedlevel3text"/>
      </w:pPr>
      <w:r>
        <w:t>A member of the team will review this update and consider any implications for current accreditation status</w:t>
      </w:r>
      <w:r w:rsidR="00EE4B2D">
        <w:rPr>
          <w:lang w:val="en-US"/>
        </w:rPr>
        <w:t>,</w:t>
      </w:r>
      <w:r>
        <w:t xml:space="preserve"> to ensure there is no lowering of standards</w:t>
      </w:r>
      <w:r w:rsidR="00EE4B2D">
        <w:rPr>
          <w:lang w:val="en-US"/>
        </w:rPr>
        <w:t>. The</w:t>
      </w:r>
      <w:r>
        <w:t xml:space="preserve"> producer </w:t>
      </w:r>
      <w:r w:rsidR="00EE4B2D">
        <w:rPr>
          <w:lang w:val="en-US"/>
        </w:rPr>
        <w:t xml:space="preserve">is updated </w:t>
      </w:r>
      <w:r>
        <w:t xml:space="preserve">as appropriate. It may be that these changes are reflected in the </w:t>
      </w:r>
      <w:r w:rsidR="00BD3741">
        <w:rPr>
          <w:lang w:val="en-GB"/>
        </w:rPr>
        <w:t>PVF</w:t>
      </w:r>
      <w:r>
        <w:t xml:space="preserve"> which forms the basis of the 3 year meeting outlined in section 3.3. If the changes are considered to be </w:t>
      </w:r>
      <w:r>
        <w:lastRenderedPageBreak/>
        <w:t xml:space="preserve">significant, an earlier meeting between NICE and the producer may be suggested. </w:t>
      </w:r>
    </w:p>
    <w:p w14:paraId="0DAFC560" w14:textId="77777777" w:rsidR="008742D3" w:rsidRPr="00DD4465" w:rsidRDefault="008742D3" w:rsidP="00B02E48">
      <w:pPr>
        <w:pStyle w:val="Numberedheading1"/>
      </w:pPr>
      <w:bookmarkStart w:id="68" w:name="_Toc238628344"/>
      <w:bookmarkStart w:id="69" w:name="_Toc404338512"/>
      <w:bookmarkEnd w:id="67"/>
      <w:r>
        <w:t xml:space="preserve">Who is </w:t>
      </w:r>
      <w:r w:rsidRPr="00B3743E">
        <w:t xml:space="preserve">involved in </w:t>
      </w:r>
      <w:r w:rsidR="00C157A2">
        <w:t xml:space="preserve">the accreditation </w:t>
      </w:r>
      <w:r w:rsidR="002163CF">
        <w:t xml:space="preserve">renewal </w:t>
      </w:r>
      <w:r w:rsidR="00C157A2">
        <w:t>process</w:t>
      </w:r>
      <w:r>
        <w:t>?</w:t>
      </w:r>
      <w:bookmarkEnd w:id="68"/>
      <w:bookmarkEnd w:id="69"/>
    </w:p>
    <w:p w14:paraId="0D04202E" w14:textId="68FAF038" w:rsidR="00754BC1" w:rsidRPr="00754BC1" w:rsidRDefault="00BE40F2" w:rsidP="00754BC1">
      <w:pPr>
        <w:pStyle w:val="Numberedheading2"/>
      </w:pPr>
      <w:r>
        <w:t xml:space="preserve">Key participants in the accreditation </w:t>
      </w:r>
      <w:r w:rsidR="00486595">
        <w:t xml:space="preserve">renewal </w:t>
      </w:r>
      <w:r>
        <w:t>process</w:t>
      </w:r>
    </w:p>
    <w:p w14:paraId="6FFFE325" w14:textId="78A4646A" w:rsidR="002E689A" w:rsidRPr="002E689A" w:rsidRDefault="002E689A" w:rsidP="002E689A">
      <w:pPr>
        <w:pStyle w:val="Numberedlevel3text"/>
        <w:rPr>
          <w:b/>
          <w:bCs w:val="0"/>
        </w:rPr>
      </w:pPr>
      <w:r w:rsidRPr="002E689A">
        <w:rPr>
          <w:b/>
          <w:bCs w:val="0"/>
        </w:rPr>
        <w:t>Guidance producer</w:t>
      </w:r>
    </w:p>
    <w:p w14:paraId="496A1B02" w14:textId="78A4646A" w:rsidR="002E689A" w:rsidRPr="0081152A" w:rsidRDefault="002E689A" w:rsidP="00754BC1">
      <w:pPr>
        <w:pStyle w:val="DTBulletlevel2Base"/>
        <w:numPr>
          <w:ilvl w:val="0"/>
          <w:numId w:val="0"/>
        </w:numPr>
        <w:spacing w:after="200" w:line="360" w:lineRule="auto"/>
        <w:ind w:left="397" w:firstLine="737"/>
        <w:rPr>
          <w:rFonts w:ascii="Arial" w:hAnsi="Arial" w:cs="Arial"/>
        </w:rPr>
      </w:pPr>
      <w:r w:rsidRPr="0081152A">
        <w:rPr>
          <w:rFonts w:ascii="Arial" w:hAnsi="Arial" w:cs="Arial"/>
        </w:rPr>
        <w:t>The guidance producer is the accreditation applicant.</w:t>
      </w:r>
    </w:p>
    <w:p w14:paraId="069B0262" w14:textId="77777777" w:rsidR="002E689A" w:rsidRPr="0081152A" w:rsidRDefault="002E689A" w:rsidP="00754BC1">
      <w:pPr>
        <w:pStyle w:val="DTBulletlevel2Base"/>
        <w:numPr>
          <w:ilvl w:val="0"/>
          <w:numId w:val="0"/>
        </w:numPr>
        <w:spacing w:after="200" w:line="360" w:lineRule="auto"/>
        <w:ind w:left="1134"/>
        <w:rPr>
          <w:rFonts w:ascii="Arial" w:hAnsi="Arial" w:cs="Arial"/>
        </w:rPr>
      </w:pPr>
      <w:r w:rsidRPr="0081152A">
        <w:rPr>
          <w:rFonts w:ascii="Arial" w:hAnsi="Arial" w:cs="Arial"/>
        </w:rPr>
        <w:t>Guidance producers prepare 'systematically developed statements to guide decisions about appropriate health and social care to improve individual and population health and wellbeing.'</w:t>
      </w:r>
    </w:p>
    <w:p w14:paraId="03B7173D" w14:textId="77777777" w:rsidR="002E689A" w:rsidRPr="0081152A" w:rsidRDefault="002E689A" w:rsidP="00754BC1">
      <w:pPr>
        <w:pStyle w:val="DTBulletlevel2Base"/>
        <w:numPr>
          <w:ilvl w:val="0"/>
          <w:numId w:val="0"/>
        </w:numPr>
        <w:spacing w:after="120" w:line="360" w:lineRule="auto"/>
        <w:ind w:left="397" w:firstLine="737"/>
        <w:rPr>
          <w:rFonts w:ascii="Arial" w:hAnsi="Arial" w:cs="Arial"/>
        </w:rPr>
      </w:pPr>
      <w:r w:rsidRPr="0081152A">
        <w:rPr>
          <w:rFonts w:ascii="Arial" w:hAnsi="Arial" w:cs="Arial"/>
        </w:rPr>
        <w:t>The key roles of the guidance producer include:</w:t>
      </w:r>
    </w:p>
    <w:p w14:paraId="22032407" w14:textId="77777777" w:rsidR="002E689A" w:rsidRPr="0081152A" w:rsidRDefault="002E689A" w:rsidP="00754BC1">
      <w:pPr>
        <w:pStyle w:val="DTBulletlevel2Base"/>
        <w:tabs>
          <w:tab w:val="num" w:pos="176"/>
        </w:tabs>
        <w:spacing w:after="120" w:line="360" w:lineRule="auto"/>
        <w:ind w:left="1276" w:hanging="176"/>
        <w:rPr>
          <w:rFonts w:ascii="Arial" w:hAnsi="Arial" w:cs="Arial"/>
        </w:rPr>
      </w:pPr>
      <w:r w:rsidRPr="0081152A">
        <w:rPr>
          <w:rFonts w:ascii="Arial" w:hAnsi="Arial" w:cs="Arial"/>
        </w:rPr>
        <w:t>contributing to a discussion with the accreditation team around 3 years into their term</w:t>
      </w:r>
    </w:p>
    <w:p w14:paraId="6D89E21A" w14:textId="77777777" w:rsidR="002E689A" w:rsidRPr="0081152A" w:rsidRDefault="002E689A" w:rsidP="00754BC1">
      <w:pPr>
        <w:pStyle w:val="DTBulletlevel2Base"/>
        <w:tabs>
          <w:tab w:val="num" w:pos="176"/>
        </w:tabs>
        <w:spacing w:after="120" w:line="360" w:lineRule="auto"/>
        <w:ind w:left="1276" w:hanging="176"/>
        <w:rPr>
          <w:rFonts w:ascii="Arial" w:hAnsi="Arial" w:cs="Arial"/>
        </w:rPr>
      </w:pPr>
      <w:r w:rsidRPr="0081152A">
        <w:rPr>
          <w:rFonts w:ascii="Arial" w:hAnsi="Arial" w:cs="Arial"/>
        </w:rPr>
        <w:t xml:space="preserve">completing the </w:t>
      </w:r>
      <w:r>
        <w:rPr>
          <w:rFonts w:ascii="Arial" w:hAnsi="Arial" w:cs="Arial"/>
        </w:rPr>
        <w:t>PVF</w:t>
      </w:r>
      <w:r w:rsidRPr="0081152A">
        <w:rPr>
          <w:rFonts w:ascii="Arial" w:hAnsi="Arial" w:cs="Arial"/>
        </w:rPr>
        <w:t xml:space="preserve"> </w:t>
      </w:r>
    </w:p>
    <w:p w14:paraId="55DAB941" w14:textId="77777777" w:rsidR="002E689A" w:rsidRDefault="002E689A" w:rsidP="00754BC1">
      <w:pPr>
        <w:pStyle w:val="DTBulletlevel2Base"/>
        <w:tabs>
          <w:tab w:val="num" w:pos="176"/>
        </w:tabs>
        <w:spacing w:after="120" w:line="360" w:lineRule="auto"/>
        <w:ind w:left="1276" w:hanging="176"/>
        <w:rPr>
          <w:rFonts w:ascii="Arial" w:hAnsi="Arial" w:cs="Arial"/>
        </w:rPr>
      </w:pPr>
      <w:r w:rsidRPr="0081152A">
        <w:rPr>
          <w:rFonts w:ascii="Arial" w:hAnsi="Arial" w:cs="Arial"/>
        </w:rPr>
        <w:t xml:space="preserve">providing the information necessary to </w:t>
      </w:r>
      <w:r>
        <w:rPr>
          <w:rFonts w:ascii="Arial" w:hAnsi="Arial" w:cs="Arial"/>
        </w:rPr>
        <w:t>complete a renewal application</w:t>
      </w:r>
      <w:r w:rsidRPr="0081152A">
        <w:rPr>
          <w:rFonts w:ascii="Arial" w:hAnsi="Arial" w:cs="Arial"/>
        </w:rPr>
        <w:t xml:space="preserve"> if they wish to continue accreditation </w:t>
      </w:r>
      <w:proofErr w:type="gramStart"/>
      <w:r w:rsidRPr="0081152A">
        <w:rPr>
          <w:rFonts w:ascii="Arial" w:hAnsi="Arial" w:cs="Arial"/>
        </w:rPr>
        <w:t>status</w:t>
      </w:r>
      <w:proofErr w:type="gramEnd"/>
    </w:p>
    <w:p w14:paraId="0F45824C" w14:textId="0FED7159" w:rsidR="002E689A" w:rsidRDefault="002E689A" w:rsidP="00754BC1">
      <w:pPr>
        <w:pStyle w:val="DTBulletlevel2Base"/>
        <w:tabs>
          <w:tab w:val="num" w:pos="176"/>
        </w:tabs>
        <w:spacing w:after="120" w:line="360" w:lineRule="auto"/>
        <w:ind w:left="1276" w:hanging="176"/>
        <w:rPr>
          <w:rFonts w:ascii="Arial" w:hAnsi="Arial" w:cs="Arial"/>
        </w:rPr>
      </w:pPr>
      <w:r w:rsidRPr="002E689A">
        <w:rPr>
          <w:rFonts w:ascii="Arial" w:hAnsi="Arial" w:cs="Arial"/>
        </w:rPr>
        <w:t>complying with the Terms and Conditions.</w:t>
      </w:r>
    </w:p>
    <w:p w14:paraId="2322116A" w14:textId="25692791" w:rsidR="002E689A" w:rsidRDefault="002E689A" w:rsidP="00754BC1">
      <w:pPr>
        <w:pStyle w:val="DTBulletlevel2Base"/>
        <w:numPr>
          <w:ilvl w:val="0"/>
          <w:numId w:val="0"/>
        </w:numPr>
        <w:spacing w:after="120" w:line="360" w:lineRule="auto"/>
        <w:ind w:left="907" w:hanging="283"/>
        <w:rPr>
          <w:rFonts w:ascii="Arial" w:hAnsi="Arial" w:cs="Arial"/>
        </w:rPr>
      </w:pPr>
    </w:p>
    <w:p w14:paraId="355813DA" w14:textId="44D03136" w:rsidR="002E689A" w:rsidRPr="002E689A" w:rsidRDefault="002E689A" w:rsidP="00754BC1">
      <w:pPr>
        <w:pStyle w:val="Numberedlevel3text"/>
        <w:rPr>
          <w:rFonts w:cs="Arial"/>
          <w:b/>
          <w:bCs w:val="0"/>
        </w:rPr>
      </w:pPr>
      <w:r w:rsidRPr="002E689A">
        <w:rPr>
          <w:b/>
          <w:bCs w:val="0"/>
        </w:rPr>
        <w:t>System Engagement programme</w:t>
      </w:r>
    </w:p>
    <w:p w14:paraId="52CAEEEF" w14:textId="77777777" w:rsidR="002E689A" w:rsidRPr="0081152A" w:rsidRDefault="002E689A" w:rsidP="00754BC1">
      <w:pPr>
        <w:pStyle w:val="DTBulletlevel2Base"/>
        <w:numPr>
          <w:ilvl w:val="0"/>
          <w:numId w:val="0"/>
        </w:numPr>
        <w:spacing w:after="200" w:line="360" w:lineRule="auto"/>
        <w:ind w:left="1134"/>
        <w:rPr>
          <w:rFonts w:ascii="Arial" w:hAnsi="Arial" w:cs="Arial"/>
        </w:rPr>
      </w:pPr>
      <w:r w:rsidRPr="0081152A">
        <w:rPr>
          <w:rFonts w:ascii="Arial" w:hAnsi="Arial" w:cs="Arial"/>
        </w:rPr>
        <w:t xml:space="preserve">The accreditation </w:t>
      </w:r>
      <w:r>
        <w:rPr>
          <w:rFonts w:ascii="Arial" w:hAnsi="Arial" w:cs="Arial"/>
        </w:rPr>
        <w:t>programme is managed by</w:t>
      </w:r>
      <w:r w:rsidRPr="0081152A">
        <w:rPr>
          <w:rFonts w:ascii="Arial" w:hAnsi="Arial" w:cs="Arial"/>
        </w:rPr>
        <w:t xml:space="preserve"> the System Engagement programme and is accountable to the Director of Health and Social Care.</w:t>
      </w:r>
    </w:p>
    <w:p w14:paraId="4E3D1606" w14:textId="77777777" w:rsidR="002E689A" w:rsidRPr="0081152A" w:rsidRDefault="002E689A" w:rsidP="00754BC1">
      <w:pPr>
        <w:pStyle w:val="DTBulletlevel2Base"/>
        <w:numPr>
          <w:ilvl w:val="0"/>
          <w:numId w:val="0"/>
        </w:numPr>
        <w:spacing w:after="120" w:line="360" w:lineRule="auto"/>
        <w:ind w:left="397" w:firstLine="737"/>
        <w:rPr>
          <w:rFonts w:ascii="Arial" w:hAnsi="Arial" w:cs="Arial"/>
        </w:rPr>
      </w:pPr>
      <w:r w:rsidRPr="0081152A">
        <w:rPr>
          <w:rFonts w:ascii="Arial" w:hAnsi="Arial" w:cs="Arial"/>
        </w:rPr>
        <w:t xml:space="preserve">Key roles of the </w:t>
      </w:r>
      <w:r>
        <w:rPr>
          <w:rFonts w:ascii="Arial" w:hAnsi="Arial" w:cs="Arial"/>
        </w:rPr>
        <w:t>programme</w:t>
      </w:r>
      <w:r w:rsidRPr="0081152A">
        <w:rPr>
          <w:rFonts w:ascii="Arial" w:hAnsi="Arial" w:cs="Arial"/>
        </w:rPr>
        <w:t xml:space="preserve"> include:</w:t>
      </w:r>
    </w:p>
    <w:p w14:paraId="1882BDCC" w14:textId="77777777" w:rsidR="002E689A" w:rsidRPr="0081152A" w:rsidRDefault="002E689A" w:rsidP="00754BC1">
      <w:pPr>
        <w:pStyle w:val="DTBulletlevel2Base"/>
        <w:tabs>
          <w:tab w:val="num" w:pos="176"/>
        </w:tabs>
        <w:spacing w:after="120" w:line="360" w:lineRule="auto"/>
        <w:ind w:left="1276" w:hanging="176"/>
        <w:rPr>
          <w:rFonts w:ascii="Arial" w:hAnsi="Arial" w:cs="Arial"/>
        </w:rPr>
      </w:pPr>
      <w:r w:rsidRPr="0081152A">
        <w:rPr>
          <w:rFonts w:ascii="Arial" w:hAnsi="Arial" w:cs="Arial"/>
        </w:rPr>
        <w:t>engagement with guidance producers before, during and after the accreditation renewal process</w:t>
      </w:r>
    </w:p>
    <w:p w14:paraId="6AB7F7E0" w14:textId="77777777" w:rsidR="002E689A" w:rsidRPr="0081152A" w:rsidRDefault="002E689A" w:rsidP="00754BC1">
      <w:pPr>
        <w:pStyle w:val="DTBulletlevel2Base"/>
        <w:tabs>
          <w:tab w:val="num" w:pos="176"/>
        </w:tabs>
        <w:spacing w:after="120" w:line="360" w:lineRule="auto"/>
        <w:ind w:left="1276" w:hanging="176"/>
        <w:rPr>
          <w:rFonts w:ascii="Arial" w:hAnsi="Arial" w:cs="Arial"/>
        </w:rPr>
      </w:pPr>
      <w:r w:rsidRPr="0081152A">
        <w:rPr>
          <w:rFonts w:ascii="Arial" w:hAnsi="Arial" w:cs="Arial"/>
        </w:rPr>
        <w:lastRenderedPageBreak/>
        <w:t xml:space="preserve">reviewing and validating the information provided by guidance producers and requesting additional information if </w:t>
      </w:r>
      <w:proofErr w:type="gramStart"/>
      <w:r w:rsidRPr="0081152A">
        <w:rPr>
          <w:rFonts w:ascii="Arial" w:hAnsi="Arial" w:cs="Arial"/>
        </w:rPr>
        <w:t>necessary</w:t>
      </w:r>
      <w:proofErr w:type="gramEnd"/>
    </w:p>
    <w:p w14:paraId="2EAD3221" w14:textId="77777777" w:rsidR="002E689A" w:rsidRPr="0081152A" w:rsidRDefault="002E689A" w:rsidP="00754BC1">
      <w:pPr>
        <w:pStyle w:val="DTBulletlevel2Base"/>
        <w:tabs>
          <w:tab w:val="num" w:pos="176"/>
        </w:tabs>
        <w:spacing w:after="120" w:line="360" w:lineRule="auto"/>
        <w:ind w:left="1276" w:hanging="176"/>
        <w:rPr>
          <w:rFonts w:ascii="Arial" w:hAnsi="Arial" w:cs="Arial"/>
        </w:rPr>
      </w:pPr>
      <w:r w:rsidRPr="0081152A">
        <w:rPr>
          <w:rFonts w:ascii="Arial" w:hAnsi="Arial" w:cs="Arial"/>
        </w:rPr>
        <w:t xml:space="preserve">preparing a report based on the guidance producer’s submission, which provides an analysis of compliance with the </w:t>
      </w:r>
      <w:proofErr w:type="gramStart"/>
      <w:r w:rsidRPr="0081152A">
        <w:rPr>
          <w:rFonts w:ascii="Arial" w:hAnsi="Arial" w:cs="Arial"/>
        </w:rPr>
        <w:t>criteria</w:t>
      </w:r>
      <w:proofErr w:type="gramEnd"/>
    </w:p>
    <w:p w14:paraId="4568E917" w14:textId="18F19B9C" w:rsidR="002E689A" w:rsidRDefault="002E689A" w:rsidP="00754BC1">
      <w:pPr>
        <w:pStyle w:val="DTBulletlevel2Base"/>
        <w:tabs>
          <w:tab w:val="num" w:pos="176"/>
        </w:tabs>
        <w:spacing w:after="120" w:line="360" w:lineRule="auto"/>
        <w:ind w:left="1276" w:hanging="176"/>
        <w:rPr>
          <w:rFonts w:ascii="Arial" w:hAnsi="Arial" w:cs="Arial"/>
        </w:rPr>
      </w:pPr>
      <w:r w:rsidRPr="0081152A">
        <w:rPr>
          <w:rFonts w:ascii="Arial" w:hAnsi="Arial" w:cs="Arial"/>
        </w:rPr>
        <w:t>notifying the guidance producer of the final decision.</w:t>
      </w:r>
    </w:p>
    <w:p w14:paraId="07EB73B6" w14:textId="1450D519" w:rsidR="002E689A" w:rsidRPr="009402E7" w:rsidRDefault="002E689A" w:rsidP="00754BC1">
      <w:pPr>
        <w:pStyle w:val="Numberedlevel3text"/>
        <w:rPr>
          <w:b/>
          <w:bCs w:val="0"/>
        </w:rPr>
      </w:pPr>
      <w:r w:rsidRPr="009402E7">
        <w:rPr>
          <w:b/>
          <w:bCs w:val="0"/>
        </w:rPr>
        <w:t>External advisers</w:t>
      </w:r>
    </w:p>
    <w:p w14:paraId="4B0EDD69" w14:textId="25CBA4DF" w:rsidR="002E689A" w:rsidRDefault="002E689A" w:rsidP="0041767F">
      <w:pPr>
        <w:pStyle w:val="Numberedlevel3text"/>
        <w:numPr>
          <w:ilvl w:val="0"/>
          <w:numId w:val="0"/>
        </w:numPr>
        <w:ind w:left="1134"/>
      </w:pPr>
      <w:r w:rsidRPr="002E689A">
        <w:t>The external advisers are individuals who have expertise and experience in guidance development. They may also have expertise in a specific subject or topic area. Some advisers will have a lay perspective. They</w:t>
      </w:r>
      <w:r w:rsidR="0041767F">
        <w:rPr>
          <w:lang w:val="en-US"/>
        </w:rPr>
        <w:t xml:space="preserve"> </w:t>
      </w:r>
      <w:r w:rsidRPr="002E689A">
        <w:t>review the report and application and provide an independent opinion particularly when the recommendation is not to renew.</w:t>
      </w:r>
    </w:p>
    <w:p w14:paraId="01FCAD3A" w14:textId="491C0464" w:rsidR="002E689A" w:rsidRPr="009402E7" w:rsidRDefault="002E689A" w:rsidP="00754BC1">
      <w:pPr>
        <w:pStyle w:val="Numberedlevel3text"/>
        <w:rPr>
          <w:b/>
          <w:bCs w:val="0"/>
        </w:rPr>
      </w:pPr>
      <w:r w:rsidRPr="009402E7">
        <w:rPr>
          <w:b/>
          <w:bCs w:val="0"/>
        </w:rPr>
        <w:t xml:space="preserve">NICE </w:t>
      </w:r>
      <w:r w:rsidR="009402E7" w:rsidRPr="009402E7">
        <w:rPr>
          <w:b/>
          <w:bCs w:val="0"/>
        </w:rPr>
        <w:t>Publication Executive</w:t>
      </w:r>
    </w:p>
    <w:p w14:paraId="70473DA3" w14:textId="77777777" w:rsidR="0041767F" w:rsidRDefault="009402E7" w:rsidP="0041767F">
      <w:pPr>
        <w:pStyle w:val="Numberedlevel3text"/>
        <w:numPr>
          <w:ilvl w:val="0"/>
          <w:numId w:val="0"/>
        </w:numPr>
        <w:ind w:left="1134"/>
        <w:rPr>
          <w:lang w:val="en-US"/>
        </w:rPr>
      </w:pPr>
      <w:r>
        <w:t>The NICE Publication Executive is an executive committee that acts under delegated authority of the NICE board to review and approve documents</w:t>
      </w:r>
      <w:r w:rsidR="0041767F">
        <w:rPr>
          <w:lang w:val="en-US"/>
        </w:rPr>
        <w:t xml:space="preserve"> </w:t>
      </w:r>
    </w:p>
    <w:p w14:paraId="3BDB1943" w14:textId="58C09CAB" w:rsidR="00754BC1" w:rsidRPr="00754BC1" w:rsidRDefault="00754BC1" w:rsidP="0041767F">
      <w:pPr>
        <w:pStyle w:val="Numberedlevel3text"/>
        <w:numPr>
          <w:ilvl w:val="0"/>
          <w:numId w:val="0"/>
        </w:numPr>
        <w:ind w:left="1134"/>
        <w:rPr>
          <w:lang w:val="en-US"/>
        </w:rPr>
      </w:pPr>
      <w:r w:rsidRPr="00754BC1">
        <w:rPr>
          <w:lang w:val="en-US"/>
        </w:rPr>
        <w:t>for publication and ensure the accreditation renewal process has been followed.</w:t>
      </w:r>
    </w:p>
    <w:p w14:paraId="4993E098" w14:textId="5F65041E" w:rsidR="009402E7" w:rsidRPr="002E689A" w:rsidRDefault="00754BC1" w:rsidP="00754BC1">
      <w:pPr>
        <w:pStyle w:val="Numberedlevel3text"/>
        <w:numPr>
          <w:ilvl w:val="0"/>
          <w:numId w:val="0"/>
        </w:numPr>
        <w:ind w:left="1134"/>
      </w:pPr>
      <w:r w:rsidRPr="00754BC1">
        <w:rPr>
          <w:lang w:val="en-US"/>
        </w:rPr>
        <w:t>The key role of the NICE Publication Executive is to review and approve any borderline decisions and consider any decisions to revoke accreditation status.</w:t>
      </w:r>
    </w:p>
    <w:p w14:paraId="449EC089" w14:textId="77777777" w:rsidR="0041767F" w:rsidRDefault="0041767F" w:rsidP="00374983">
      <w:pPr>
        <w:pStyle w:val="Heading1"/>
      </w:pPr>
      <w:bookmarkStart w:id="70" w:name="_Toc238628354"/>
      <w:bookmarkStart w:id="71" w:name="_Toc284927814"/>
      <w:bookmarkStart w:id="72" w:name="_Toc306372178"/>
      <w:bookmarkStart w:id="73" w:name="_Toc314656257"/>
      <w:bookmarkStart w:id="74" w:name="_Toc405187220"/>
      <w:bookmarkStart w:id="75" w:name="_Toc57704135"/>
      <w:bookmarkStart w:id="76" w:name="_Toc63584656"/>
      <w:bookmarkStart w:id="77" w:name="_Toc216775785"/>
      <w:bookmarkStart w:id="78" w:name="_Toc219101977"/>
      <w:bookmarkStart w:id="79" w:name="_Toc219115681"/>
      <w:bookmarkStart w:id="80" w:name="_Toc219166965"/>
      <w:bookmarkStart w:id="81" w:name="_Toc220392397"/>
      <w:bookmarkStart w:id="82" w:name="_Toc220396530"/>
      <w:bookmarkStart w:id="83" w:name="_Toc221000555"/>
      <w:bookmarkStart w:id="84" w:name="_Toc238628352"/>
      <w:bookmarkStart w:id="85" w:name="_Toc238628353"/>
      <w:bookmarkStart w:id="86" w:name="_Toc238628977"/>
      <w:bookmarkStart w:id="87" w:name="_Toc242866191"/>
      <w:bookmarkStart w:id="88" w:name="_Toc404338526"/>
    </w:p>
    <w:p w14:paraId="78DBFD67" w14:textId="291C6B9E" w:rsidR="00374983" w:rsidRDefault="00374983" w:rsidP="00374983">
      <w:pPr>
        <w:pStyle w:val="Heading1"/>
      </w:pPr>
      <w:r>
        <w:t xml:space="preserve">Appendix A: Criteria for the accreditation </w:t>
      </w:r>
      <w:bookmarkEnd w:id="70"/>
      <w:bookmarkEnd w:id="71"/>
      <w:r>
        <w:t>programme</w:t>
      </w:r>
      <w:bookmarkEnd w:id="72"/>
      <w:bookmarkEnd w:id="73"/>
      <w:bookmarkEnd w:id="74"/>
    </w:p>
    <w:p w14:paraId="2A955999" w14:textId="77777777" w:rsidR="00374983" w:rsidRPr="007B0B26" w:rsidRDefault="00374983" w:rsidP="00374983">
      <w:pPr>
        <w:pStyle w:val="NICEnormal"/>
      </w:pPr>
      <w:r w:rsidRPr="007B0B26">
        <w:t>The accreditation criteria provide a framework for asses</w:t>
      </w:r>
      <w:r>
        <w:t>sment by the accreditation team of</w:t>
      </w:r>
      <w:r w:rsidRPr="007B0B26">
        <w:t xml:space="preserve"> the quality </w:t>
      </w:r>
      <w:r>
        <w:t xml:space="preserve">and rigour </w:t>
      </w:r>
      <w:r w:rsidRPr="007B0B26">
        <w:t xml:space="preserve">of the </w:t>
      </w:r>
      <w:r w:rsidRPr="00910140">
        <w:rPr>
          <w:iCs/>
        </w:rPr>
        <w:t>process</w:t>
      </w:r>
      <w:r w:rsidRPr="00910140">
        <w:t xml:space="preserve"> used</w:t>
      </w:r>
      <w:r w:rsidRPr="007B0B26">
        <w:t xml:space="preserve"> by </w:t>
      </w:r>
      <w:r>
        <w:t>guidance</w:t>
      </w:r>
      <w:r w:rsidRPr="007B0B26">
        <w:t xml:space="preserve"> producers to develop </w:t>
      </w:r>
      <w:r>
        <w:lastRenderedPageBreak/>
        <w:t xml:space="preserve">guidance. These criteria are based on </w:t>
      </w:r>
      <w:r w:rsidRPr="007B0B26">
        <w:t>the AGREE Instrument</w:t>
      </w:r>
      <w:r>
        <w:rPr>
          <w:rStyle w:val="FootnoteReference"/>
        </w:rPr>
        <w:footnoteReference w:id="1"/>
      </w:r>
      <w:r w:rsidRPr="007B0B26">
        <w:t xml:space="preserve">. </w:t>
      </w:r>
      <w:r w:rsidR="00E50F2D">
        <w:t>The</w:t>
      </w:r>
      <w:r w:rsidR="00E50F2D" w:rsidRPr="00031B51">
        <w:t xml:space="preserve"> </w:t>
      </w:r>
      <w:r w:rsidR="00E50F2D">
        <w:t>NICE accreditation team</w:t>
      </w:r>
      <w:r w:rsidR="00E50F2D" w:rsidRPr="00031B51">
        <w:t xml:space="preserve"> has adapted the instrument to cover a wider range of </w:t>
      </w:r>
      <w:r w:rsidR="00E50F2D">
        <w:t>guidance</w:t>
      </w:r>
      <w:r w:rsidR="00E50F2D" w:rsidRPr="00031B51">
        <w:t xml:space="preserve">, and to focus on development processes. </w:t>
      </w:r>
      <w:r>
        <w:t xml:space="preserve">The criteria focus on </w:t>
      </w:r>
      <w:r w:rsidRPr="007B0B26">
        <w:t xml:space="preserve">the </w:t>
      </w:r>
      <w:r>
        <w:t>process</w:t>
      </w:r>
      <w:r w:rsidRPr="007B0B26">
        <w:t xml:space="preserve"> used for </w:t>
      </w:r>
      <w:r>
        <w:t xml:space="preserve">developing guidance rather than the content of individual guidance or products. </w:t>
      </w:r>
      <w:r w:rsidR="00E50F2D" w:rsidRPr="00031B51">
        <w:t xml:space="preserve">Please note that this is a guide only and each application is considered on its own merits according to the type of </w:t>
      </w:r>
      <w:r w:rsidR="00E50F2D">
        <w:t>guidance</w:t>
      </w:r>
      <w:r w:rsidR="00E50F2D" w:rsidRPr="00031B51">
        <w:t xml:space="preserve">, </w:t>
      </w:r>
      <w:proofErr w:type="gramStart"/>
      <w:r w:rsidR="00E50F2D" w:rsidRPr="00031B51">
        <w:t>audience</w:t>
      </w:r>
      <w:proofErr w:type="gramEnd"/>
      <w:r w:rsidR="00E50F2D" w:rsidRPr="00031B51">
        <w:t xml:space="preserve"> and organisation.</w:t>
      </w:r>
    </w:p>
    <w:p w14:paraId="3E9AFBC1" w14:textId="77777777" w:rsidR="00374983" w:rsidRDefault="00374983" w:rsidP="00374983">
      <w:pPr>
        <w:pStyle w:val="NICEnormal"/>
      </w:pPr>
      <w:r>
        <w:t>There are 25 </w:t>
      </w:r>
      <w:r w:rsidRPr="007B0B26">
        <w:t xml:space="preserve">assessment criteria, organised in </w:t>
      </w:r>
      <w:r>
        <w:t>6 </w:t>
      </w:r>
      <w:r w:rsidRPr="007B0B26">
        <w:t xml:space="preserve">domains. Each domain is intended to capture a separate dimension of the quality of the </w:t>
      </w:r>
      <w:r w:rsidRPr="0065434B">
        <w:t>process</w:t>
      </w:r>
      <w:r w:rsidRPr="007B0B26">
        <w:t xml:space="preserve"> </w:t>
      </w:r>
      <w:r>
        <w:t xml:space="preserve">used to develop guidance. Table 2 </w:t>
      </w:r>
      <w:r w:rsidRPr="0042166E">
        <w:t xml:space="preserve">describes each of the </w:t>
      </w:r>
      <w:r>
        <w:t>6 </w:t>
      </w:r>
      <w:r w:rsidRPr="0042166E">
        <w:t>accreditation domains and the</w:t>
      </w:r>
      <w:r>
        <w:t>ir</w:t>
      </w:r>
      <w:r w:rsidRPr="0042166E">
        <w:t xml:space="preserve"> associated assessment </w:t>
      </w:r>
      <w:r>
        <w:t>criteria</w:t>
      </w:r>
      <w:r w:rsidRPr="0042166E">
        <w:t>.</w:t>
      </w:r>
      <w:r>
        <w:t xml:space="preserve"> Guidance producers are assessed to review the extent to which their </w:t>
      </w:r>
      <w:r w:rsidRPr="00E93D2F">
        <w:rPr>
          <w:iCs/>
        </w:rPr>
        <w:t>process</w:t>
      </w:r>
      <w:r w:rsidRPr="0049256E">
        <w:t xml:space="preserve"> </w:t>
      </w:r>
      <w:r>
        <w:t>for developing guidance meets these criteria. In addition, the accreditation technical analysts evaluate an arbitrarily selected sample of guidance to ensure that the guidance producer’s processes are implemented consistently.</w:t>
      </w:r>
    </w:p>
    <w:p w14:paraId="02414158" w14:textId="0F1DE47E" w:rsidR="00374983" w:rsidRDefault="00374983" w:rsidP="009402E7">
      <w:pPr>
        <w:pStyle w:val="Numberedheading2"/>
        <w:numPr>
          <w:ilvl w:val="0"/>
          <w:numId w:val="0"/>
        </w:numPr>
        <w:rPr>
          <w:bCs w:val="0"/>
        </w:rPr>
      </w:pPr>
      <w:r w:rsidRPr="009402E7">
        <w:rPr>
          <w:bCs w:val="0"/>
        </w:rPr>
        <w:t>Accreditation domains and criteria</w:t>
      </w:r>
    </w:p>
    <w:p w14:paraId="08D380C8" w14:textId="1E697244" w:rsidR="009402E7" w:rsidRPr="00334236" w:rsidRDefault="009402E7" w:rsidP="0041767F">
      <w:pPr>
        <w:pStyle w:val="NICEnormal"/>
      </w:pPr>
      <w:r w:rsidRPr="00334236">
        <w:rPr>
          <w:b/>
          <w:bCs/>
        </w:rPr>
        <w:t>Domain 1.</w:t>
      </w:r>
      <w:r w:rsidRPr="00334236">
        <w:t xml:space="preserve"> </w:t>
      </w:r>
      <w:r w:rsidRPr="00334236">
        <w:rPr>
          <w:b/>
        </w:rPr>
        <w:t xml:space="preserve">Scope and purpose </w:t>
      </w:r>
      <w:proofErr w:type="gramStart"/>
      <w:r w:rsidRPr="00334236">
        <w:t>is</w:t>
      </w:r>
      <w:proofErr w:type="gramEnd"/>
      <w:r w:rsidRPr="00334236">
        <w:t xml:space="preserve"> concerned with the overall aim of the guidance, the specific health questions and the target population.</w:t>
      </w:r>
    </w:p>
    <w:p w14:paraId="3413514B" w14:textId="3611BB54" w:rsidR="009402E7" w:rsidRPr="00334236" w:rsidRDefault="009402E7" w:rsidP="0041767F">
      <w:pPr>
        <w:pStyle w:val="NICEnormal"/>
        <w:rPr>
          <w:b/>
          <w:bCs/>
        </w:rPr>
      </w:pPr>
      <w:r w:rsidRPr="00334236">
        <w:rPr>
          <w:b/>
          <w:bCs/>
        </w:rPr>
        <w:t xml:space="preserve">Domain 1 </w:t>
      </w:r>
      <w:r w:rsidR="00334236" w:rsidRPr="00334236">
        <w:rPr>
          <w:b/>
          <w:bCs/>
        </w:rPr>
        <w:t>c</w:t>
      </w:r>
      <w:r w:rsidRPr="00334236">
        <w:rPr>
          <w:b/>
          <w:bCs/>
        </w:rPr>
        <w:t>riteria</w:t>
      </w:r>
      <w:r w:rsidR="00334236" w:rsidRPr="00334236">
        <w:rPr>
          <w:b/>
          <w:bCs/>
        </w:rPr>
        <w:t>:</w:t>
      </w:r>
    </w:p>
    <w:p w14:paraId="455E0BB3" w14:textId="77777777" w:rsidR="009402E7" w:rsidRPr="00334236" w:rsidRDefault="009402E7" w:rsidP="0041767F">
      <w:pPr>
        <w:spacing w:after="0"/>
        <w:ind w:left="34"/>
      </w:pPr>
      <w:r w:rsidRPr="00334236">
        <w:t>These criteria consider whether the guidance producer has a policy in place and adhered to that requires them to explicitly detail:</w:t>
      </w:r>
    </w:p>
    <w:p w14:paraId="43F3B05D" w14:textId="77777777" w:rsidR="009402E7" w:rsidRPr="00334236" w:rsidRDefault="009402E7" w:rsidP="0041767F">
      <w:pPr>
        <w:numPr>
          <w:ilvl w:val="1"/>
          <w:numId w:val="32"/>
        </w:numPr>
        <w:tabs>
          <w:tab w:val="clear" w:pos="1080"/>
          <w:tab w:val="num" w:pos="884"/>
        </w:tabs>
        <w:spacing w:before="100" w:after="0"/>
        <w:ind w:left="885" w:hanging="567"/>
      </w:pPr>
      <w:r w:rsidRPr="00334236">
        <w:t>The overall objective of the guidance</w:t>
      </w:r>
    </w:p>
    <w:p w14:paraId="76C1AD8F" w14:textId="77777777" w:rsidR="009402E7" w:rsidRPr="00334236" w:rsidRDefault="009402E7" w:rsidP="0041767F">
      <w:pPr>
        <w:numPr>
          <w:ilvl w:val="1"/>
          <w:numId w:val="32"/>
        </w:numPr>
        <w:tabs>
          <w:tab w:val="clear" w:pos="1080"/>
          <w:tab w:val="num" w:pos="884"/>
        </w:tabs>
        <w:spacing w:before="100" w:after="0"/>
        <w:ind w:left="885" w:hanging="567"/>
      </w:pPr>
      <w:r w:rsidRPr="00334236">
        <w:t xml:space="preserve">The clinical, healthcare or social questions covered by the </w:t>
      </w:r>
      <w:proofErr w:type="gramStart"/>
      <w:r w:rsidRPr="00334236">
        <w:t>guidance</w:t>
      </w:r>
      <w:proofErr w:type="gramEnd"/>
    </w:p>
    <w:p w14:paraId="01E058F8" w14:textId="77777777" w:rsidR="009402E7" w:rsidRPr="00334236" w:rsidRDefault="009402E7" w:rsidP="0041767F">
      <w:pPr>
        <w:numPr>
          <w:ilvl w:val="1"/>
          <w:numId w:val="32"/>
        </w:numPr>
        <w:tabs>
          <w:tab w:val="clear" w:pos="1080"/>
          <w:tab w:val="num" w:pos="884"/>
        </w:tabs>
        <w:spacing w:before="100" w:after="0"/>
        <w:ind w:left="885" w:hanging="567"/>
      </w:pPr>
      <w:r w:rsidRPr="00334236">
        <w:t xml:space="preserve">The population and/or target audience to whom the guidance </w:t>
      </w:r>
      <w:proofErr w:type="gramStart"/>
      <w:r w:rsidRPr="00334236">
        <w:t>applies</w:t>
      </w:r>
      <w:proofErr w:type="gramEnd"/>
    </w:p>
    <w:p w14:paraId="74CBB14F" w14:textId="16C1D293" w:rsidR="009402E7" w:rsidRPr="00334236" w:rsidRDefault="009402E7" w:rsidP="0041767F">
      <w:pPr>
        <w:numPr>
          <w:ilvl w:val="1"/>
          <w:numId w:val="32"/>
        </w:numPr>
        <w:tabs>
          <w:tab w:val="clear" w:pos="1080"/>
          <w:tab w:val="num" w:pos="884"/>
        </w:tabs>
        <w:spacing w:before="100" w:after="0"/>
        <w:ind w:left="885" w:hanging="567"/>
      </w:pPr>
      <w:r w:rsidRPr="00334236">
        <w:lastRenderedPageBreak/>
        <w:t xml:space="preserve">That the producer ensures guidance includes clear recommendations in reference to specific clinical, healthcare or social </w:t>
      </w:r>
      <w:proofErr w:type="gramStart"/>
      <w:r w:rsidRPr="00334236">
        <w:t>circumstances</w:t>
      </w:r>
      <w:proofErr w:type="gramEnd"/>
    </w:p>
    <w:p w14:paraId="24B818E3" w14:textId="483D2CD2" w:rsidR="009402E7" w:rsidRPr="00334236" w:rsidRDefault="009402E7" w:rsidP="0041767F">
      <w:pPr>
        <w:spacing w:before="100" w:after="0"/>
        <w:ind w:left="0"/>
      </w:pPr>
      <w:r w:rsidRPr="00334236">
        <w:rPr>
          <w:b/>
          <w:bCs/>
        </w:rPr>
        <w:t xml:space="preserve">Domain 2. Stakeholder involvement </w:t>
      </w:r>
      <w:r w:rsidRPr="00334236">
        <w:t>focuses on the extent to which the guidance represents the views of its intended users and those affected by the guidance (patients and service users).</w:t>
      </w:r>
    </w:p>
    <w:p w14:paraId="6DED5D90" w14:textId="1B08BB59" w:rsidR="00334236" w:rsidRPr="00334236" w:rsidRDefault="00334236" w:rsidP="0041767F">
      <w:pPr>
        <w:spacing w:before="100" w:after="0"/>
        <w:ind w:left="0"/>
        <w:rPr>
          <w:b/>
          <w:bCs/>
        </w:rPr>
      </w:pPr>
      <w:r w:rsidRPr="00334236">
        <w:rPr>
          <w:b/>
          <w:bCs/>
        </w:rPr>
        <w:t>Domain 2 criteria:</w:t>
      </w:r>
    </w:p>
    <w:p w14:paraId="3907F656" w14:textId="77777777" w:rsidR="00334236" w:rsidRPr="00334236" w:rsidRDefault="00334236" w:rsidP="0041767F">
      <w:pPr>
        <w:spacing w:before="100" w:after="0"/>
        <w:ind w:left="0"/>
      </w:pPr>
    </w:p>
    <w:p w14:paraId="765CAD79" w14:textId="77777777" w:rsidR="00334236" w:rsidRPr="00334236" w:rsidRDefault="00334236" w:rsidP="0041767F">
      <w:pPr>
        <w:spacing w:after="0"/>
        <w:ind w:left="34"/>
      </w:pPr>
      <w:r w:rsidRPr="00334236">
        <w:t>These criteria consider whether the guidance producer</w:t>
      </w:r>
      <w:r w:rsidRPr="00334236" w:rsidDel="00CD5C92">
        <w:t xml:space="preserve"> </w:t>
      </w:r>
      <w:r w:rsidRPr="00334236">
        <w:t>has a policy in place and adhered to that means it includes:</w:t>
      </w:r>
    </w:p>
    <w:p w14:paraId="5C77E08F" w14:textId="77777777" w:rsidR="00334236" w:rsidRPr="00334236" w:rsidRDefault="00334236" w:rsidP="0041767F">
      <w:pPr>
        <w:numPr>
          <w:ilvl w:val="1"/>
          <w:numId w:val="33"/>
        </w:numPr>
        <w:tabs>
          <w:tab w:val="clear" w:pos="720"/>
          <w:tab w:val="num" w:pos="884"/>
        </w:tabs>
        <w:spacing w:before="100" w:after="0"/>
        <w:ind w:left="885" w:hanging="567"/>
      </w:pPr>
      <w:r w:rsidRPr="00334236">
        <w:t xml:space="preserve">Individuals from all relevant stakeholder groups including patients’ groups in developing </w:t>
      </w:r>
      <w:proofErr w:type="gramStart"/>
      <w:r w:rsidRPr="00334236">
        <w:t>guidance</w:t>
      </w:r>
      <w:proofErr w:type="gramEnd"/>
    </w:p>
    <w:p w14:paraId="52C265DC" w14:textId="77777777" w:rsidR="00334236" w:rsidRPr="00334236" w:rsidRDefault="00334236" w:rsidP="0041767F">
      <w:pPr>
        <w:numPr>
          <w:ilvl w:val="1"/>
          <w:numId w:val="33"/>
        </w:numPr>
        <w:tabs>
          <w:tab w:val="clear" w:pos="720"/>
          <w:tab w:val="num" w:pos="884"/>
        </w:tabs>
        <w:spacing w:before="100" w:after="0"/>
        <w:ind w:left="885" w:hanging="567"/>
      </w:pPr>
      <w:r w:rsidRPr="00334236">
        <w:t xml:space="preserve">Patient and service user representatives and seeks patients’ views and preferences in developing </w:t>
      </w:r>
      <w:proofErr w:type="gramStart"/>
      <w:r w:rsidRPr="00334236">
        <w:t>guidance</w:t>
      </w:r>
      <w:proofErr w:type="gramEnd"/>
    </w:p>
    <w:p w14:paraId="449CBD5B" w14:textId="70CBBA99" w:rsidR="009402E7" w:rsidRPr="00334236" w:rsidRDefault="00334236" w:rsidP="0041767F">
      <w:pPr>
        <w:numPr>
          <w:ilvl w:val="1"/>
          <w:numId w:val="33"/>
        </w:numPr>
        <w:tabs>
          <w:tab w:val="clear" w:pos="720"/>
          <w:tab w:val="num" w:pos="884"/>
        </w:tabs>
        <w:spacing w:before="100" w:after="0"/>
        <w:ind w:left="885" w:hanging="567"/>
      </w:pPr>
      <w:r w:rsidRPr="00334236">
        <w:t>Representative intended users in developing guidance</w:t>
      </w:r>
    </w:p>
    <w:p w14:paraId="70F13DCB" w14:textId="7ECDADD1" w:rsidR="009402E7" w:rsidRPr="00334236" w:rsidRDefault="009402E7" w:rsidP="0041767F">
      <w:pPr>
        <w:spacing w:before="100" w:after="0"/>
        <w:ind w:left="0"/>
      </w:pPr>
    </w:p>
    <w:p w14:paraId="339229EE" w14:textId="33B4925C" w:rsidR="00334236" w:rsidRPr="00334236" w:rsidRDefault="00334236" w:rsidP="0041767F">
      <w:pPr>
        <w:spacing w:before="100" w:after="0"/>
        <w:ind w:left="0"/>
        <w:rPr>
          <w:bCs/>
        </w:rPr>
      </w:pPr>
      <w:r w:rsidRPr="00334236">
        <w:rPr>
          <w:b/>
          <w:bCs/>
        </w:rPr>
        <w:t xml:space="preserve">Domain 3. Rigour of development </w:t>
      </w:r>
      <w:r w:rsidRPr="00334236">
        <w:rPr>
          <w:bCs/>
        </w:rPr>
        <w:t xml:space="preserve">relates to the process used to gather and </w:t>
      </w:r>
      <w:r w:rsidRPr="00334236">
        <w:rPr>
          <w:rStyle w:val="NICE-TableNumberL1Char"/>
        </w:rPr>
        <w:t>s</w:t>
      </w:r>
      <w:r w:rsidRPr="00334236">
        <w:rPr>
          <w:bCs/>
        </w:rPr>
        <w:t>ynthesise information and the methods used to formulate recommendations and update them.</w:t>
      </w:r>
    </w:p>
    <w:p w14:paraId="315FB521" w14:textId="3CDC955F" w:rsidR="00334236" w:rsidRPr="00334236" w:rsidRDefault="00334236" w:rsidP="0041767F">
      <w:pPr>
        <w:spacing w:before="100" w:after="0"/>
        <w:ind w:left="0"/>
        <w:rPr>
          <w:b/>
        </w:rPr>
      </w:pPr>
      <w:r w:rsidRPr="00334236">
        <w:rPr>
          <w:b/>
        </w:rPr>
        <w:t>Domain 3 criteria:</w:t>
      </w:r>
    </w:p>
    <w:p w14:paraId="755B1FF8" w14:textId="43E671B8" w:rsidR="00334236" w:rsidRPr="00334236" w:rsidRDefault="00334236" w:rsidP="0041767F">
      <w:pPr>
        <w:spacing w:before="100" w:after="0"/>
        <w:ind w:left="0"/>
        <w:rPr>
          <w:bCs/>
        </w:rPr>
      </w:pPr>
    </w:p>
    <w:p w14:paraId="6DDB65BD" w14:textId="77777777" w:rsidR="00334236" w:rsidRPr="00334236" w:rsidRDefault="00334236" w:rsidP="0041767F">
      <w:pPr>
        <w:spacing w:after="0"/>
        <w:ind w:left="34"/>
      </w:pPr>
      <w:r w:rsidRPr="00334236">
        <w:rPr>
          <w:lang w:eastAsia="en-GB"/>
        </w:rPr>
        <w:t xml:space="preserve">These criteria consider whether the </w:t>
      </w:r>
      <w:r w:rsidRPr="00334236">
        <w:t>guidance producer</w:t>
      </w:r>
      <w:r w:rsidRPr="00334236">
        <w:rPr>
          <w:lang w:eastAsia="en-GB"/>
        </w:rPr>
        <w:t xml:space="preserve"> has a clear policy in place </w:t>
      </w:r>
      <w:r w:rsidRPr="00334236">
        <w:t xml:space="preserve">and adhered to </w:t>
      </w:r>
      <w:r w:rsidRPr="00334236">
        <w:rPr>
          <w:lang w:eastAsia="en-GB"/>
        </w:rPr>
        <w:t>that:</w:t>
      </w:r>
    </w:p>
    <w:p w14:paraId="14DB0211" w14:textId="77777777" w:rsidR="00334236" w:rsidRPr="00334236" w:rsidRDefault="00334236" w:rsidP="0041767F">
      <w:pPr>
        <w:numPr>
          <w:ilvl w:val="1"/>
          <w:numId w:val="34"/>
        </w:numPr>
        <w:tabs>
          <w:tab w:val="clear" w:pos="720"/>
          <w:tab w:val="num" w:pos="884"/>
        </w:tabs>
        <w:spacing w:before="100" w:after="0"/>
        <w:ind w:left="885" w:hanging="567"/>
        <w:rPr>
          <w:lang w:eastAsia="en-GB"/>
        </w:rPr>
      </w:pPr>
      <w:r w:rsidRPr="00334236">
        <w:rPr>
          <w:lang w:eastAsia="en-GB"/>
        </w:rPr>
        <w:t xml:space="preserve">Requires the guidance producer to use systematic methods to search for evidence and provide details of the search </w:t>
      </w:r>
      <w:proofErr w:type="gramStart"/>
      <w:r w:rsidRPr="00334236">
        <w:rPr>
          <w:lang w:eastAsia="en-GB"/>
        </w:rPr>
        <w:t>strategy</w:t>
      </w:r>
      <w:proofErr w:type="gramEnd"/>
    </w:p>
    <w:p w14:paraId="30EB0A23" w14:textId="77777777" w:rsidR="00334236" w:rsidRPr="00334236" w:rsidRDefault="00334236" w:rsidP="0041767F">
      <w:pPr>
        <w:numPr>
          <w:ilvl w:val="1"/>
          <w:numId w:val="34"/>
        </w:numPr>
        <w:tabs>
          <w:tab w:val="clear" w:pos="720"/>
          <w:tab w:val="num" w:pos="884"/>
        </w:tabs>
        <w:spacing w:before="100" w:after="0"/>
        <w:ind w:left="885" w:hanging="567"/>
        <w:rPr>
          <w:lang w:eastAsia="en-GB"/>
        </w:rPr>
      </w:pPr>
      <w:r w:rsidRPr="00334236">
        <w:rPr>
          <w:lang w:eastAsia="en-GB"/>
        </w:rPr>
        <w:t xml:space="preserve">Requires the guidance producer to state the criteria and reasons for inclusion or exclusion of evidence identified by the evidence </w:t>
      </w:r>
      <w:proofErr w:type="gramStart"/>
      <w:r w:rsidRPr="00334236">
        <w:rPr>
          <w:lang w:eastAsia="en-GB"/>
        </w:rPr>
        <w:t>review</w:t>
      </w:r>
      <w:proofErr w:type="gramEnd"/>
      <w:r w:rsidRPr="00334236">
        <w:rPr>
          <w:lang w:eastAsia="en-GB"/>
        </w:rPr>
        <w:t xml:space="preserve"> </w:t>
      </w:r>
    </w:p>
    <w:p w14:paraId="43F0B0E3" w14:textId="77777777" w:rsidR="00334236" w:rsidRPr="00334236" w:rsidRDefault="00334236" w:rsidP="0041767F">
      <w:pPr>
        <w:numPr>
          <w:ilvl w:val="1"/>
          <w:numId w:val="34"/>
        </w:numPr>
        <w:tabs>
          <w:tab w:val="clear" w:pos="720"/>
          <w:tab w:val="num" w:pos="884"/>
        </w:tabs>
        <w:spacing w:before="100" w:after="0"/>
        <w:ind w:left="885" w:hanging="567"/>
        <w:rPr>
          <w:lang w:eastAsia="en-GB"/>
        </w:rPr>
      </w:pPr>
      <w:r w:rsidRPr="00334236">
        <w:rPr>
          <w:lang w:eastAsia="en-GB"/>
        </w:rPr>
        <w:t xml:space="preserve">Describes the strengths and limitations of the body of evidence and acknowledges any areas of </w:t>
      </w:r>
      <w:proofErr w:type="gramStart"/>
      <w:r w:rsidRPr="00334236">
        <w:rPr>
          <w:lang w:eastAsia="en-GB"/>
        </w:rPr>
        <w:t>uncertainty</w:t>
      </w:r>
      <w:proofErr w:type="gramEnd"/>
    </w:p>
    <w:p w14:paraId="03BEDBF2" w14:textId="77777777" w:rsidR="00334236" w:rsidRPr="00334236" w:rsidRDefault="00334236" w:rsidP="0041767F">
      <w:pPr>
        <w:numPr>
          <w:ilvl w:val="1"/>
          <w:numId w:val="34"/>
        </w:numPr>
        <w:tabs>
          <w:tab w:val="clear" w:pos="720"/>
          <w:tab w:val="num" w:pos="884"/>
        </w:tabs>
        <w:spacing w:before="100" w:after="0"/>
        <w:ind w:left="885" w:hanging="567"/>
        <w:rPr>
          <w:lang w:eastAsia="en-GB"/>
        </w:rPr>
      </w:pPr>
      <w:r w:rsidRPr="00334236">
        <w:rPr>
          <w:lang w:eastAsia="en-GB"/>
        </w:rPr>
        <w:lastRenderedPageBreak/>
        <w:t xml:space="preserve">Describes the method used to arrive at </w:t>
      </w:r>
      <w:proofErr w:type="gramStart"/>
      <w:r w:rsidRPr="00334236">
        <w:rPr>
          <w:lang w:eastAsia="en-GB"/>
        </w:rPr>
        <w:t>recommendations</w:t>
      </w:r>
      <w:proofErr w:type="gramEnd"/>
    </w:p>
    <w:p w14:paraId="4C088078" w14:textId="77777777" w:rsidR="00334236" w:rsidRPr="00334236" w:rsidRDefault="00334236" w:rsidP="0041767F">
      <w:pPr>
        <w:numPr>
          <w:ilvl w:val="1"/>
          <w:numId w:val="34"/>
        </w:numPr>
        <w:tabs>
          <w:tab w:val="clear" w:pos="720"/>
          <w:tab w:val="num" w:pos="884"/>
        </w:tabs>
        <w:spacing w:before="100" w:after="0"/>
        <w:ind w:left="885" w:hanging="567"/>
        <w:rPr>
          <w:lang w:eastAsia="en-GB"/>
        </w:rPr>
      </w:pPr>
      <w:r w:rsidRPr="00334236">
        <w:rPr>
          <w:lang w:eastAsia="en-GB"/>
        </w:rPr>
        <w:t xml:space="preserve">Requires the guidance producer to consider the health benefits, side effects and risks in formulating </w:t>
      </w:r>
      <w:proofErr w:type="gramStart"/>
      <w:r w:rsidRPr="00334236">
        <w:rPr>
          <w:lang w:eastAsia="en-GB"/>
        </w:rPr>
        <w:t>recommendations</w:t>
      </w:r>
      <w:proofErr w:type="gramEnd"/>
    </w:p>
    <w:p w14:paraId="7FC79564" w14:textId="77777777" w:rsidR="00334236" w:rsidRPr="00334236" w:rsidRDefault="00334236" w:rsidP="0041767F">
      <w:pPr>
        <w:numPr>
          <w:ilvl w:val="1"/>
          <w:numId w:val="34"/>
        </w:numPr>
        <w:tabs>
          <w:tab w:val="clear" w:pos="720"/>
          <w:tab w:val="num" w:pos="884"/>
        </w:tabs>
        <w:spacing w:before="100" w:after="0"/>
        <w:ind w:left="885" w:hanging="567"/>
        <w:rPr>
          <w:lang w:eastAsia="en-GB"/>
        </w:rPr>
      </w:pPr>
      <w:r w:rsidRPr="00334236">
        <w:rPr>
          <w:lang w:eastAsia="en-GB"/>
        </w:rPr>
        <w:t xml:space="preserve">Describes the processes of external peer </w:t>
      </w:r>
      <w:proofErr w:type="gramStart"/>
      <w:r w:rsidRPr="00334236">
        <w:rPr>
          <w:lang w:eastAsia="en-GB"/>
        </w:rPr>
        <w:t>review</w:t>
      </w:r>
      <w:proofErr w:type="gramEnd"/>
    </w:p>
    <w:p w14:paraId="7AA566CC" w14:textId="3911A282" w:rsidR="00334236" w:rsidRPr="00334236" w:rsidRDefault="00334236" w:rsidP="0041767F">
      <w:pPr>
        <w:numPr>
          <w:ilvl w:val="1"/>
          <w:numId w:val="34"/>
        </w:numPr>
        <w:tabs>
          <w:tab w:val="clear" w:pos="720"/>
          <w:tab w:val="num" w:pos="884"/>
        </w:tabs>
        <w:spacing w:before="100" w:after="0"/>
        <w:ind w:left="885" w:hanging="567"/>
        <w:rPr>
          <w:lang w:eastAsia="en-GB"/>
        </w:rPr>
      </w:pPr>
      <w:r w:rsidRPr="00334236">
        <w:rPr>
          <w:lang w:eastAsia="en-GB"/>
        </w:rPr>
        <w:t xml:space="preserve">Describes the process of updating guidance and maintaining and improving guidance </w:t>
      </w:r>
      <w:proofErr w:type="gramStart"/>
      <w:r w:rsidRPr="00334236">
        <w:rPr>
          <w:lang w:eastAsia="en-GB"/>
        </w:rPr>
        <w:t>quality</w:t>
      </w:r>
      <w:proofErr w:type="gramEnd"/>
    </w:p>
    <w:p w14:paraId="749439A1" w14:textId="77777777" w:rsidR="00334236" w:rsidRPr="00334236" w:rsidRDefault="00334236" w:rsidP="0041767F">
      <w:pPr>
        <w:spacing w:before="100" w:after="0"/>
        <w:ind w:left="885"/>
        <w:rPr>
          <w:lang w:eastAsia="en-GB"/>
        </w:rPr>
      </w:pPr>
    </w:p>
    <w:p w14:paraId="7429538F" w14:textId="0769F4BE" w:rsidR="00334236" w:rsidRPr="00334236" w:rsidRDefault="00334236" w:rsidP="0041767F">
      <w:pPr>
        <w:spacing w:before="100" w:after="0"/>
        <w:ind w:left="0"/>
      </w:pPr>
      <w:r w:rsidRPr="00334236">
        <w:rPr>
          <w:b/>
          <w:bCs/>
          <w:lang w:eastAsia="en-GB"/>
        </w:rPr>
        <w:t>Domain 4.</w:t>
      </w:r>
      <w:r w:rsidRPr="00334236">
        <w:rPr>
          <w:lang w:eastAsia="en-GB"/>
        </w:rPr>
        <w:t xml:space="preserve"> </w:t>
      </w:r>
      <w:r w:rsidRPr="00334236">
        <w:rPr>
          <w:b/>
        </w:rPr>
        <w:t xml:space="preserve">Clarity and presentation </w:t>
      </w:r>
      <w:r w:rsidRPr="00334236">
        <w:t>deals with the language and format of the guidance.</w:t>
      </w:r>
    </w:p>
    <w:p w14:paraId="06DECFC1" w14:textId="3988E955" w:rsidR="00334236" w:rsidRPr="00334236" w:rsidRDefault="00334236" w:rsidP="0041767F">
      <w:pPr>
        <w:spacing w:before="100" w:after="0"/>
        <w:ind w:left="0"/>
        <w:rPr>
          <w:b/>
          <w:bCs/>
        </w:rPr>
      </w:pPr>
      <w:r w:rsidRPr="00334236">
        <w:rPr>
          <w:b/>
          <w:bCs/>
        </w:rPr>
        <w:t>Domain 4 criteria:</w:t>
      </w:r>
    </w:p>
    <w:p w14:paraId="68A8E1BF" w14:textId="77777777" w:rsidR="00334236" w:rsidRPr="00334236" w:rsidRDefault="00334236" w:rsidP="0041767F">
      <w:pPr>
        <w:spacing w:after="0"/>
        <w:ind w:left="0"/>
        <w:rPr>
          <w:lang w:eastAsia="en-GB"/>
        </w:rPr>
      </w:pPr>
    </w:p>
    <w:p w14:paraId="59D0D557" w14:textId="60599B54" w:rsidR="00334236" w:rsidRPr="00334236" w:rsidRDefault="00334236" w:rsidP="0041767F">
      <w:pPr>
        <w:spacing w:after="0"/>
        <w:ind w:left="0"/>
        <w:rPr>
          <w:lang w:eastAsia="en-GB"/>
        </w:rPr>
      </w:pPr>
      <w:r w:rsidRPr="00334236">
        <w:rPr>
          <w:lang w:eastAsia="en-GB"/>
        </w:rPr>
        <w:t xml:space="preserve">These criteria consider whether the </w:t>
      </w:r>
      <w:r w:rsidRPr="00334236">
        <w:t xml:space="preserve">guidance producer </w:t>
      </w:r>
      <w:r w:rsidRPr="00334236">
        <w:rPr>
          <w:lang w:eastAsia="en-GB"/>
        </w:rPr>
        <w:t>ensures that:</w:t>
      </w:r>
    </w:p>
    <w:p w14:paraId="3B95566E" w14:textId="77777777" w:rsidR="00334236" w:rsidRPr="00334236" w:rsidRDefault="00334236" w:rsidP="0041767F">
      <w:pPr>
        <w:numPr>
          <w:ilvl w:val="1"/>
          <w:numId w:val="35"/>
        </w:numPr>
        <w:tabs>
          <w:tab w:val="clear" w:pos="720"/>
          <w:tab w:val="num" w:pos="884"/>
        </w:tabs>
        <w:spacing w:before="100" w:after="0"/>
        <w:ind w:left="885" w:hanging="567"/>
        <w:rPr>
          <w:lang w:eastAsia="en-GB"/>
        </w:rPr>
      </w:pPr>
      <w:r w:rsidRPr="00334236">
        <w:rPr>
          <w:lang w:eastAsia="en-GB"/>
        </w:rPr>
        <w:t xml:space="preserve">The recommendations are specific, unambiguous and clearly </w:t>
      </w:r>
      <w:proofErr w:type="gramStart"/>
      <w:r w:rsidRPr="00334236">
        <w:rPr>
          <w:lang w:eastAsia="en-GB"/>
        </w:rPr>
        <w:t>identifiable</w:t>
      </w:r>
      <w:proofErr w:type="gramEnd"/>
    </w:p>
    <w:p w14:paraId="6B217C0C" w14:textId="77777777" w:rsidR="00334236" w:rsidRPr="00334236" w:rsidRDefault="00334236" w:rsidP="0041767F">
      <w:pPr>
        <w:numPr>
          <w:ilvl w:val="1"/>
          <w:numId w:val="35"/>
        </w:numPr>
        <w:tabs>
          <w:tab w:val="clear" w:pos="720"/>
          <w:tab w:val="num" w:pos="884"/>
        </w:tabs>
        <w:spacing w:before="100" w:after="0"/>
        <w:ind w:left="885" w:hanging="567"/>
        <w:rPr>
          <w:lang w:eastAsia="en-GB"/>
        </w:rPr>
      </w:pPr>
      <w:r w:rsidRPr="00334236">
        <w:rPr>
          <w:lang w:eastAsia="en-GB"/>
        </w:rPr>
        <w:t xml:space="preserve">The different options for management of the condition or options for intervention are clearly </w:t>
      </w:r>
      <w:proofErr w:type="gramStart"/>
      <w:r w:rsidRPr="00334236">
        <w:rPr>
          <w:lang w:eastAsia="en-GB"/>
        </w:rPr>
        <w:t>presented</w:t>
      </w:r>
      <w:proofErr w:type="gramEnd"/>
    </w:p>
    <w:p w14:paraId="7EA0BA23" w14:textId="77777777" w:rsidR="00334236" w:rsidRPr="00334236" w:rsidRDefault="00334236" w:rsidP="0041767F">
      <w:pPr>
        <w:numPr>
          <w:ilvl w:val="1"/>
          <w:numId w:val="35"/>
        </w:numPr>
        <w:tabs>
          <w:tab w:val="clear" w:pos="720"/>
          <w:tab w:val="num" w:pos="884"/>
        </w:tabs>
        <w:spacing w:before="100" w:after="0"/>
        <w:ind w:left="885" w:hanging="567"/>
        <w:rPr>
          <w:lang w:eastAsia="en-GB"/>
        </w:rPr>
      </w:pPr>
      <w:r w:rsidRPr="00334236">
        <w:rPr>
          <w:lang w:eastAsia="en-GB"/>
        </w:rPr>
        <w:t xml:space="preserve">The date of search, the date of publication or last update and the proposed date for review are clearly </w:t>
      </w:r>
      <w:proofErr w:type="gramStart"/>
      <w:r w:rsidRPr="00334236">
        <w:rPr>
          <w:lang w:eastAsia="en-GB"/>
        </w:rPr>
        <w:t>stated</w:t>
      </w:r>
      <w:proofErr w:type="gramEnd"/>
    </w:p>
    <w:p w14:paraId="546C302E" w14:textId="31E93C5F" w:rsidR="00334236" w:rsidRPr="00334236" w:rsidRDefault="00334236" w:rsidP="0041767F">
      <w:pPr>
        <w:spacing w:before="100" w:after="0"/>
        <w:ind w:left="0"/>
        <w:rPr>
          <w:lang w:eastAsia="en-GB"/>
        </w:rPr>
      </w:pPr>
      <w:r w:rsidRPr="00334236">
        <w:rPr>
          <w:lang w:eastAsia="en-GB"/>
        </w:rPr>
        <w:t xml:space="preserve">The content and style of the guidance is suitable for the specified target audience; if the public, patients or service users are part of this audience, the language should be </w:t>
      </w:r>
      <w:proofErr w:type="gramStart"/>
      <w:r w:rsidRPr="00334236">
        <w:rPr>
          <w:lang w:eastAsia="en-GB"/>
        </w:rPr>
        <w:t>appropriate</w:t>
      </w:r>
      <w:proofErr w:type="gramEnd"/>
    </w:p>
    <w:p w14:paraId="5BBDD623" w14:textId="1CCCDD73" w:rsidR="00334236" w:rsidRPr="00334236" w:rsidRDefault="00334236" w:rsidP="0041767F">
      <w:pPr>
        <w:spacing w:before="100" w:after="0"/>
        <w:ind w:left="0"/>
        <w:rPr>
          <w:lang w:eastAsia="en-GB"/>
        </w:rPr>
      </w:pPr>
    </w:p>
    <w:p w14:paraId="7A584B5B" w14:textId="68D98DCA" w:rsidR="00334236" w:rsidRPr="00334236" w:rsidRDefault="00334236" w:rsidP="0041767F">
      <w:pPr>
        <w:spacing w:before="100" w:after="0"/>
        <w:ind w:left="0"/>
      </w:pPr>
      <w:r w:rsidRPr="00334236">
        <w:rPr>
          <w:b/>
          <w:bCs/>
          <w:lang w:eastAsia="en-GB"/>
        </w:rPr>
        <w:t>Domain 5.</w:t>
      </w:r>
      <w:r w:rsidRPr="00334236">
        <w:rPr>
          <w:lang w:eastAsia="en-GB"/>
        </w:rPr>
        <w:t xml:space="preserve"> </w:t>
      </w:r>
      <w:r w:rsidRPr="00334236">
        <w:rPr>
          <w:b/>
        </w:rPr>
        <w:t xml:space="preserve">Applicability </w:t>
      </w:r>
      <w:r w:rsidRPr="00334236">
        <w:t xml:space="preserve">deals with the likely organisational, </w:t>
      </w:r>
      <w:proofErr w:type="gramStart"/>
      <w:r w:rsidRPr="00334236">
        <w:t>behavioural</w:t>
      </w:r>
      <w:proofErr w:type="gramEnd"/>
      <w:r w:rsidRPr="00334236">
        <w:t xml:space="preserve"> and cost implications of applying the guidance.</w:t>
      </w:r>
    </w:p>
    <w:p w14:paraId="7D215B37" w14:textId="48806703" w:rsidR="00334236" w:rsidRPr="00334236" w:rsidRDefault="00334236" w:rsidP="0041767F">
      <w:pPr>
        <w:spacing w:before="100" w:after="0"/>
        <w:ind w:left="0"/>
        <w:rPr>
          <w:b/>
          <w:bCs/>
        </w:rPr>
      </w:pPr>
      <w:r w:rsidRPr="00334236">
        <w:rPr>
          <w:b/>
          <w:bCs/>
        </w:rPr>
        <w:t>Domain 5 criteria:</w:t>
      </w:r>
    </w:p>
    <w:p w14:paraId="1F14904F" w14:textId="77777777" w:rsidR="00334236" w:rsidRPr="00334236" w:rsidRDefault="00334236" w:rsidP="0041767F">
      <w:pPr>
        <w:spacing w:after="0"/>
        <w:ind w:left="34"/>
        <w:rPr>
          <w:lang w:eastAsia="en-GB"/>
        </w:rPr>
      </w:pPr>
    </w:p>
    <w:p w14:paraId="0073D84C" w14:textId="025557C3" w:rsidR="00334236" w:rsidRPr="00334236" w:rsidRDefault="00334236" w:rsidP="0041767F">
      <w:pPr>
        <w:spacing w:after="0"/>
        <w:ind w:left="34"/>
        <w:rPr>
          <w:lang w:eastAsia="en-GB"/>
        </w:rPr>
      </w:pPr>
      <w:r w:rsidRPr="00334236">
        <w:rPr>
          <w:lang w:eastAsia="en-GB"/>
        </w:rPr>
        <w:t xml:space="preserve">These criteria consider whether the </w:t>
      </w:r>
      <w:r w:rsidRPr="00334236">
        <w:t>guidance producer</w:t>
      </w:r>
      <w:r w:rsidRPr="00334236">
        <w:rPr>
          <w:lang w:eastAsia="en-GB"/>
        </w:rPr>
        <w:t xml:space="preserve"> routinely considers:</w:t>
      </w:r>
    </w:p>
    <w:p w14:paraId="773D8AE3" w14:textId="77777777" w:rsidR="00334236" w:rsidRPr="00334236" w:rsidRDefault="00334236" w:rsidP="0041767F">
      <w:pPr>
        <w:numPr>
          <w:ilvl w:val="1"/>
          <w:numId w:val="37"/>
        </w:numPr>
        <w:tabs>
          <w:tab w:val="clear" w:pos="720"/>
          <w:tab w:val="num" w:pos="884"/>
        </w:tabs>
        <w:spacing w:before="100" w:after="0"/>
        <w:ind w:left="885" w:hanging="567"/>
        <w:rPr>
          <w:rFonts w:cs="Arial"/>
          <w:lang w:eastAsia="en-GB"/>
        </w:rPr>
      </w:pPr>
      <w:r w:rsidRPr="00334236">
        <w:rPr>
          <w:rFonts w:cs="Arial"/>
          <w:lang w:eastAsia="en-GB"/>
        </w:rPr>
        <w:t xml:space="preserve">Publishing support tools to aid implementation of </w:t>
      </w:r>
      <w:proofErr w:type="gramStart"/>
      <w:r w:rsidRPr="00334236">
        <w:rPr>
          <w:rFonts w:cs="Arial"/>
          <w:lang w:eastAsia="en-GB"/>
        </w:rPr>
        <w:t>guidance</w:t>
      </w:r>
      <w:proofErr w:type="gramEnd"/>
    </w:p>
    <w:p w14:paraId="0F0617E9" w14:textId="77777777" w:rsidR="00334236" w:rsidRPr="00334236" w:rsidRDefault="00334236" w:rsidP="0041767F">
      <w:pPr>
        <w:numPr>
          <w:ilvl w:val="1"/>
          <w:numId w:val="37"/>
        </w:numPr>
        <w:tabs>
          <w:tab w:val="clear" w:pos="720"/>
          <w:tab w:val="num" w:pos="884"/>
        </w:tabs>
        <w:spacing w:before="100" w:after="0"/>
        <w:ind w:left="885" w:hanging="567"/>
        <w:rPr>
          <w:lang w:eastAsia="en-GB"/>
        </w:rPr>
      </w:pPr>
      <w:r w:rsidRPr="00334236">
        <w:rPr>
          <w:rFonts w:cs="Arial"/>
          <w:lang w:eastAsia="en-GB"/>
        </w:rPr>
        <w:lastRenderedPageBreak/>
        <w:t xml:space="preserve">Discussion of potential organisational and financial barriers in applying its </w:t>
      </w:r>
      <w:proofErr w:type="gramStart"/>
      <w:r w:rsidRPr="00334236">
        <w:rPr>
          <w:rFonts w:cs="Arial"/>
          <w:lang w:eastAsia="en-GB"/>
        </w:rPr>
        <w:t>recommendations</w:t>
      </w:r>
      <w:proofErr w:type="gramEnd"/>
    </w:p>
    <w:p w14:paraId="00FCAD71" w14:textId="72F0F094" w:rsidR="00334236" w:rsidRPr="00334236" w:rsidRDefault="00334236" w:rsidP="0041767F">
      <w:pPr>
        <w:spacing w:before="100" w:after="0"/>
        <w:ind w:left="0"/>
        <w:rPr>
          <w:rFonts w:cs="Arial"/>
          <w:lang w:eastAsia="en-GB"/>
        </w:rPr>
      </w:pPr>
      <w:r w:rsidRPr="00334236">
        <w:rPr>
          <w:rFonts w:cs="Arial"/>
          <w:lang w:eastAsia="en-GB"/>
        </w:rPr>
        <w:t>Reviewing criteria for monitoring and/or audit purposes within each product</w:t>
      </w:r>
    </w:p>
    <w:p w14:paraId="46FE4F8A" w14:textId="624FDB76" w:rsidR="00334236" w:rsidRPr="00334236" w:rsidRDefault="00334236" w:rsidP="0041767F">
      <w:pPr>
        <w:spacing w:before="100" w:after="0"/>
        <w:ind w:left="0"/>
        <w:rPr>
          <w:bCs/>
        </w:rPr>
      </w:pPr>
      <w:r w:rsidRPr="00334236">
        <w:rPr>
          <w:rFonts w:cs="Arial"/>
          <w:b/>
          <w:bCs/>
          <w:lang w:eastAsia="en-GB"/>
        </w:rPr>
        <w:t>Domain 6.</w:t>
      </w:r>
      <w:r w:rsidRPr="00334236">
        <w:rPr>
          <w:rFonts w:cs="Arial"/>
          <w:lang w:eastAsia="en-GB"/>
        </w:rPr>
        <w:t xml:space="preserve"> </w:t>
      </w:r>
      <w:r w:rsidRPr="00334236">
        <w:rPr>
          <w:b/>
          <w:bCs/>
        </w:rPr>
        <w:t xml:space="preserve">Editorial independence </w:t>
      </w:r>
      <w:r w:rsidRPr="00334236">
        <w:rPr>
          <w:bCs/>
        </w:rPr>
        <w:t xml:space="preserve">is concerned with the independence of the recommendations, acknowledgement of possible conflicts of interest, the credibility of the guidance in general and their </w:t>
      </w:r>
      <w:proofErr w:type="gramStart"/>
      <w:r w:rsidRPr="00334236">
        <w:rPr>
          <w:bCs/>
        </w:rPr>
        <w:t>recommendations in particular</w:t>
      </w:r>
      <w:proofErr w:type="gramEnd"/>
      <w:r w:rsidRPr="00334236">
        <w:rPr>
          <w:bCs/>
        </w:rPr>
        <w:t>.</w:t>
      </w:r>
    </w:p>
    <w:p w14:paraId="06DE3BCC" w14:textId="0CE71C49" w:rsidR="00334236" w:rsidRPr="00334236" w:rsidRDefault="00334236" w:rsidP="0041767F">
      <w:pPr>
        <w:spacing w:before="100" w:after="0"/>
        <w:ind w:left="0"/>
        <w:rPr>
          <w:b/>
        </w:rPr>
      </w:pPr>
      <w:r w:rsidRPr="00334236">
        <w:rPr>
          <w:b/>
        </w:rPr>
        <w:t>Domain 6 criteria:</w:t>
      </w:r>
    </w:p>
    <w:p w14:paraId="1934C2BC" w14:textId="181F7234" w:rsidR="00334236" w:rsidRPr="00334236" w:rsidRDefault="00334236" w:rsidP="0041767F">
      <w:pPr>
        <w:spacing w:before="100" w:after="0"/>
        <w:ind w:left="0"/>
        <w:rPr>
          <w:bCs/>
        </w:rPr>
      </w:pPr>
    </w:p>
    <w:p w14:paraId="43A3EC0A" w14:textId="77777777" w:rsidR="00334236" w:rsidRPr="00334236" w:rsidRDefault="00334236" w:rsidP="0041767F">
      <w:pPr>
        <w:spacing w:after="0"/>
        <w:ind w:left="0"/>
        <w:rPr>
          <w:lang w:eastAsia="en-GB"/>
        </w:rPr>
      </w:pPr>
      <w:r w:rsidRPr="00334236">
        <w:rPr>
          <w:lang w:eastAsia="en-GB"/>
        </w:rPr>
        <w:t xml:space="preserve">These criteria consider whether the </w:t>
      </w:r>
      <w:r w:rsidRPr="00334236">
        <w:t>guidance producer</w:t>
      </w:r>
      <w:r w:rsidRPr="00334236">
        <w:rPr>
          <w:lang w:eastAsia="en-GB"/>
        </w:rPr>
        <w:t>:</w:t>
      </w:r>
    </w:p>
    <w:p w14:paraId="02A31D58" w14:textId="77777777" w:rsidR="00334236" w:rsidRPr="00334236" w:rsidRDefault="00334236" w:rsidP="0041767F">
      <w:pPr>
        <w:numPr>
          <w:ilvl w:val="1"/>
          <w:numId w:val="36"/>
        </w:numPr>
        <w:tabs>
          <w:tab w:val="clear" w:pos="720"/>
          <w:tab w:val="left" w:pos="884"/>
        </w:tabs>
        <w:spacing w:before="100" w:after="0"/>
        <w:ind w:left="885" w:hanging="567"/>
        <w:rPr>
          <w:lang w:eastAsia="en-GB"/>
        </w:rPr>
      </w:pPr>
      <w:r w:rsidRPr="00334236">
        <w:rPr>
          <w:lang w:eastAsia="en-GB"/>
        </w:rPr>
        <w:t xml:space="preserve">Ensures editorial independence from the funding </w:t>
      </w:r>
      <w:proofErr w:type="gramStart"/>
      <w:r w:rsidRPr="00334236">
        <w:rPr>
          <w:lang w:eastAsia="en-GB"/>
        </w:rPr>
        <w:t>body</w:t>
      </w:r>
      <w:proofErr w:type="gramEnd"/>
    </w:p>
    <w:p w14:paraId="46A9670D" w14:textId="77777777" w:rsidR="00334236" w:rsidRPr="00334236" w:rsidRDefault="00334236" w:rsidP="0041767F">
      <w:pPr>
        <w:numPr>
          <w:ilvl w:val="1"/>
          <w:numId w:val="36"/>
        </w:numPr>
        <w:tabs>
          <w:tab w:val="clear" w:pos="720"/>
          <w:tab w:val="left" w:pos="884"/>
        </w:tabs>
        <w:spacing w:before="100" w:after="0"/>
        <w:ind w:left="885" w:hanging="567"/>
        <w:rPr>
          <w:lang w:eastAsia="en-GB"/>
        </w:rPr>
      </w:pPr>
      <w:r w:rsidRPr="00334236">
        <w:rPr>
          <w:lang w:eastAsia="en-GB"/>
        </w:rPr>
        <w:t xml:space="preserve">Is transparent about the funding mechanisms for its </w:t>
      </w:r>
      <w:proofErr w:type="gramStart"/>
      <w:r w:rsidRPr="00334236">
        <w:rPr>
          <w:lang w:eastAsia="en-GB"/>
        </w:rPr>
        <w:t>guidance</w:t>
      </w:r>
      <w:proofErr w:type="gramEnd"/>
    </w:p>
    <w:p w14:paraId="75A5FB6E" w14:textId="77777777" w:rsidR="00334236" w:rsidRDefault="00334236" w:rsidP="0041767F">
      <w:pPr>
        <w:numPr>
          <w:ilvl w:val="1"/>
          <w:numId w:val="36"/>
        </w:numPr>
        <w:tabs>
          <w:tab w:val="clear" w:pos="720"/>
          <w:tab w:val="left" w:pos="884"/>
        </w:tabs>
        <w:spacing w:before="100" w:after="0"/>
        <w:ind w:left="885" w:hanging="567"/>
        <w:rPr>
          <w:lang w:eastAsia="en-GB"/>
        </w:rPr>
      </w:pPr>
      <w:r w:rsidRPr="00334236">
        <w:rPr>
          <w:lang w:eastAsia="en-GB"/>
        </w:rPr>
        <w:t xml:space="preserve">Records and states any potential conflicts of interest of individuals involved in developing the </w:t>
      </w:r>
      <w:proofErr w:type="gramStart"/>
      <w:r w:rsidRPr="00334236">
        <w:rPr>
          <w:lang w:eastAsia="en-GB"/>
        </w:rPr>
        <w:t>recommendations</w:t>
      </w:r>
      <w:proofErr w:type="gramEnd"/>
    </w:p>
    <w:p w14:paraId="096CE872" w14:textId="36690307" w:rsidR="00334236" w:rsidRPr="00334236" w:rsidRDefault="00334236" w:rsidP="0041767F">
      <w:pPr>
        <w:numPr>
          <w:ilvl w:val="1"/>
          <w:numId w:val="36"/>
        </w:numPr>
        <w:tabs>
          <w:tab w:val="clear" w:pos="720"/>
          <w:tab w:val="left" w:pos="884"/>
        </w:tabs>
        <w:spacing w:before="100" w:after="0"/>
        <w:ind w:left="885" w:hanging="567"/>
        <w:rPr>
          <w:lang w:eastAsia="en-GB"/>
        </w:rPr>
      </w:pPr>
      <w:r w:rsidRPr="00334236">
        <w:rPr>
          <w:lang w:eastAsia="en-GB"/>
        </w:rPr>
        <w:t xml:space="preserve">Takes account of any potential for bias in the conclusions or recommendations of the </w:t>
      </w:r>
      <w:proofErr w:type="gramStart"/>
      <w:r w:rsidRPr="00334236">
        <w:rPr>
          <w:lang w:eastAsia="en-GB"/>
        </w:rPr>
        <w:t>guidance</w:t>
      </w:r>
      <w:proofErr w:type="gramEnd"/>
    </w:p>
    <w:p w14:paraId="5EEE0E18" w14:textId="64275386" w:rsidR="009D1213" w:rsidRPr="00002B48" w:rsidRDefault="009D1213" w:rsidP="00AE1C3A">
      <w:pPr>
        <w:pStyle w:val="Heading1"/>
      </w:pPr>
      <w:r w:rsidRPr="00002B48">
        <w:t>Appendix</w:t>
      </w:r>
      <w:r>
        <w:t xml:space="preserve"> B</w:t>
      </w:r>
      <w:r w:rsidRPr="00002B48">
        <w:t xml:space="preserve">: </w:t>
      </w:r>
      <w:r w:rsidRPr="00AE1C3A">
        <w:t>Glossary</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D9F9179" w14:textId="77777777" w:rsidR="009D1213" w:rsidRDefault="009D1213" w:rsidP="00AE1C3A">
      <w:pPr>
        <w:pStyle w:val="Heading3"/>
      </w:pPr>
      <w:r w:rsidRPr="00AE1C3A">
        <w:t>Accreditation</w:t>
      </w:r>
    </w:p>
    <w:p w14:paraId="1D9CB83C" w14:textId="77777777" w:rsidR="009D1213" w:rsidRDefault="009D1213" w:rsidP="00AE1C3A">
      <w:pPr>
        <w:pStyle w:val="NICEnormal"/>
        <w:rPr>
          <w:lang w:val="en-US"/>
        </w:rPr>
      </w:pPr>
      <w:r w:rsidRPr="006D5A03">
        <w:rPr>
          <w:lang w:val="en-US"/>
        </w:rPr>
        <w:t xml:space="preserve">The process by which credibility, authority and competence </w:t>
      </w:r>
      <w:r w:rsidR="003D31EF">
        <w:rPr>
          <w:lang w:val="en-US"/>
        </w:rPr>
        <w:t>are</w:t>
      </w:r>
      <w:r w:rsidRPr="006D5A03">
        <w:rPr>
          <w:lang w:val="en-US"/>
        </w:rPr>
        <w:t xml:space="preserve"> certified</w:t>
      </w:r>
      <w:r w:rsidR="003D31EF">
        <w:rPr>
          <w:lang w:val="en-US"/>
        </w:rPr>
        <w:t>,</w:t>
      </w:r>
      <w:r>
        <w:rPr>
          <w:lang w:val="en-US"/>
        </w:rPr>
        <w:t xml:space="preserve"> </w:t>
      </w:r>
      <w:r w:rsidR="003D31EF">
        <w:rPr>
          <w:lang w:val="en-US"/>
        </w:rPr>
        <w:t xml:space="preserve">and </w:t>
      </w:r>
      <w:r w:rsidR="00A46C19">
        <w:rPr>
          <w:lang w:val="en-US"/>
        </w:rPr>
        <w:t xml:space="preserve">processes used by a producer of </w:t>
      </w:r>
      <w:r w:rsidR="00E60104">
        <w:rPr>
          <w:lang w:val="en-US"/>
        </w:rPr>
        <w:t>guidance</w:t>
      </w:r>
      <w:r w:rsidR="003D31EF">
        <w:rPr>
          <w:lang w:val="en-US"/>
        </w:rPr>
        <w:t xml:space="preserve"> are recognised by NICE as</w:t>
      </w:r>
      <w:r>
        <w:rPr>
          <w:lang w:val="en-US"/>
        </w:rPr>
        <w:t xml:space="preserve"> meet</w:t>
      </w:r>
      <w:r w:rsidR="003D31EF">
        <w:rPr>
          <w:lang w:val="en-US"/>
        </w:rPr>
        <w:t>ing</w:t>
      </w:r>
      <w:r>
        <w:rPr>
          <w:lang w:val="en-US"/>
        </w:rPr>
        <w:t xml:space="preserve"> the accreditation criteria.</w:t>
      </w:r>
    </w:p>
    <w:p w14:paraId="20549138" w14:textId="77777777" w:rsidR="009D1213" w:rsidRPr="00E320F0" w:rsidRDefault="009D1213" w:rsidP="00AE1C3A">
      <w:pPr>
        <w:pStyle w:val="Heading3"/>
        <w:rPr>
          <w:lang w:val="en-US"/>
        </w:rPr>
      </w:pPr>
      <w:r w:rsidRPr="00E320F0">
        <w:rPr>
          <w:lang w:val="en-US"/>
        </w:rPr>
        <w:t>Accreditation criteria</w:t>
      </w:r>
    </w:p>
    <w:p w14:paraId="6753C664" w14:textId="77777777" w:rsidR="009D1213" w:rsidRPr="00E320F0" w:rsidRDefault="009D1213" w:rsidP="00486595">
      <w:pPr>
        <w:pStyle w:val="NICEnormal"/>
        <w:rPr>
          <w:lang w:val="en-US"/>
        </w:rPr>
      </w:pPr>
      <w:r w:rsidRPr="00E320F0">
        <w:t xml:space="preserve">The criteria developed by </w:t>
      </w:r>
      <w:r w:rsidR="00E620EF">
        <w:t xml:space="preserve">the </w:t>
      </w:r>
      <w:r w:rsidR="00EE4B2D">
        <w:t xml:space="preserve">NICE </w:t>
      </w:r>
      <w:r w:rsidR="00E620EF">
        <w:t>a</w:t>
      </w:r>
      <w:r w:rsidR="000C738A">
        <w:t>ccreditation</w:t>
      </w:r>
      <w:r w:rsidR="00E620EF">
        <w:t xml:space="preserve"> team</w:t>
      </w:r>
      <w:r w:rsidRPr="00E320F0">
        <w:t xml:space="preserve"> that </w:t>
      </w:r>
      <w:r w:rsidR="00EB17B1">
        <w:t>g</w:t>
      </w:r>
      <w:r w:rsidR="00EF109C">
        <w:t>uidance producers</w:t>
      </w:r>
      <w:r w:rsidRPr="00E320F0">
        <w:t xml:space="preserve"> must meet if they are to be accredited. The </w:t>
      </w:r>
      <w:proofErr w:type="gramStart"/>
      <w:r w:rsidRPr="00E320F0">
        <w:t>particular set</w:t>
      </w:r>
      <w:proofErr w:type="gramEnd"/>
      <w:r w:rsidRPr="00E320F0">
        <w:t xml:space="preserve"> of criteria that must be met depends on the type of </w:t>
      </w:r>
      <w:r w:rsidR="00E50F2D">
        <w:t xml:space="preserve">product </w:t>
      </w:r>
      <w:r>
        <w:t xml:space="preserve">that the </w:t>
      </w:r>
      <w:r w:rsidR="00F312E5">
        <w:t>guidance producer</w:t>
      </w:r>
      <w:r w:rsidRPr="00E320F0">
        <w:t xml:space="preserve"> develops. Different criteria apply to different types of </w:t>
      </w:r>
      <w:r w:rsidR="00E50F2D">
        <w:t>product</w:t>
      </w:r>
      <w:r>
        <w:t>.</w:t>
      </w:r>
    </w:p>
    <w:p w14:paraId="13EEDB40" w14:textId="77777777" w:rsidR="009D1213" w:rsidRPr="00E320F0" w:rsidRDefault="009D1213" w:rsidP="00AE1C3A">
      <w:pPr>
        <w:pStyle w:val="Heading3"/>
      </w:pPr>
      <w:r>
        <w:lastRenderedPageBreak/>
        <w:t xml:space="preserve">Accreditation </w:t>
      </w:r>
      <w:r w:rsidRPr="00E320F0">
        <w:t>Mark</w:t>
      </w:r>
    </w:p>
    <w:p w14:paraId="4D5DCF76" w14:textId="77777777" w:rsidR="009D1213" w:rsidRDefault="009D1213" w:rsidP="00486595">
      <w:pPr>
        <w:pStyle w:val="NICEnormal"/>
      </w:pPr>
      <w:r w:rsidRPr="00E320F0">
        <w:t xml:space="preserve">The graphic that </w:t>
      </w:r>
      <w:r w:rsidR="00A46C19">
        <w:t xml:space="preserve">can be displayed by </w:t>
      </w:r>
      <w:r w:rsidR="00F312E5">
        <w:t xml:space="preserve">guidance producers </w:t>
      </w:r>
      <w:r w:rsidR="00A46C19">
        <w:t>on guidance produced via the accredited</w:t>
      </w:r>
      <w:r w:rsidR="00A46C19" w:rsidRPr="00E320F0">
        <w:t xml:space="preserve"> </w:t>
      </w:r>
      <w:r w:rsidR="00A46C19">
        <w:t xml:space="preserve">process </w:t>
      </w:r>
      <w:r w:rsidRPr="00E320F0">
        <w:t xml:space="preserve">in accordance with the </w:t>
      </w:r>
      <w:r w:rsidR="002F6250">
        <w:t>terms and conditions</w:t>
      </w:r>
      <w:r>
        <w:t>.</w:t>
      </w:r>
    </w:p>
    <w:p w14:paraId="22ECB7F6" w14:textId="77777777" w:rsidR="00F20103" w:rsidRPr="00F20103" w:rsidRDefault="00F20103" w:rsidP="00486595">
      <w:pPr>
        <w:pStyle w:val="NICEnormal"/>
        <w:rPr>
          <w:b/>
          <w:bCs/>
        </w:rPr>
      </w:pPr>
      <w:r w:rsidRPr="00F20103">
        <w:rPr>
          <w:b/>
          <w:bCs/>
        </w:rPr>
        <w:t>Associate Director (AD)</w:t>
      </w:r>
    </w:p>
    <w:p w14:paraId="6E5A26E4" w14:textId="77777777" w:rsidR="00F20103" w:rsidRDefault="00F20103" w:rsidP="00486595">
      <w:pPr>
        <w:pStyle w:val="NICEnormal"/>
      </w:pPr>
      <w:r>
        <w:t>The Associate Director – System Engagement has overall responsibility for the operation and delivery of NICE Accreditation renewals programme.</w:t>
      </w:r>
    </w:p>
    <w:p w14:paraId="1392E075" w14:textId="77777777" w:rsidR="00AE1C3A" w:rsidRDefault="00E60104" w:rsidP="00AE1C3A">
      <w:pPr>
        <w:pStyle w:val="Heading3"/>
        <w:rPr>
          <w:lang w:eastAsia="ja-JP"/>
        </w:rPr>
      </w:pPr>
      <w:r>
        <w:rPr>
          <w:lang w:eastAsia="ja-JP"/>
        </w:rPr>
        <w:t>Guidance</w:t>
      </w:r>
      <w:r w:rsidR="009D1213">
        <w:rPr>
          <w:lang w:eastAsia="ja-JP"/>
        </w:rPr>
        <w:t xml:space="preserve"> </w:t>
      </w:r>
    </w:p>
    <w:p w14:paraId="04B9A413" w14:textId="77777777" w:rsidR="009D1213" w:rsidRDefault="009D1213" w:rsidP="00486595">
      <w:pPr>
        <w:pStyle w:val="NICEnormal"/>
        <w:rPr>
          <w:lang w:eastAsia="ja-JP"/>
        </w:rPr>
      </w:pPr>
      <w:r>
        <w:rPr>
          <w:lang w:eastAsia="ja-JP"/>
        </w:rPr>
        <w:t>S</w:t>
      </w:r>
      <w:r w:rsidRPr="005C509C">
        <w:rPr>
          <w:bCs/>
          <w:lang w:eastAsia="ja-JP"/>
        </w:rPr>
        <w:t>ystematically developed statements to guide decisions about appropriate health and social care to improve individual and p</w:t>
      </w:r>
      <w:r>
        <w:rPr>
          <w:bCs/>
          <w:lang w:eastAsia="ja-JP"/>
        </w:rPr>
        <w:t>opulation health and wellbeing.</w:t>
      </w:r>
    </w:p>
    <w:p w14:paraId="60D82FE3" w14:textId="77777777" w:rsidR="009D1213" w:rsidRDefault="009D1213" w:rsidP="00AE1C3A">
      <w:pPr>
        <w:pStyle w:val="Heading3"/>
      </w:pPr>
      <w:r>
        <w:t xml:space="preserve">Guidance </w:t>
      </w:r>
      <w:r w:rsidR="009962E1" w:rsidRPr="00AE1C3A">
        <w:t>producer</w:t>
      </w:r>
    </w:p>
    <w:p w14:paraId="60B20023" w14:textId="77777777" w:rsidR="009D1213" w:rsidRDefault="009D1213" w:rsidP="00486595">
      <w:pPr>
        <w:pStyle w:val="NICEnormal"/>
        <w:rPr>
          <w:lang w:val="en-US"/>
        </w:rPr>
      </w:pPr>
      <w:r>
        <w:rPr>
          <w:lang w:val="en-US"/>
        </w:rPr>
        <w:t>An o</w:t>
      </w:r>
      <w:r w:rsidRPr="006D5A03">
        <w:rPr>
          <w:lang w:val="en-US"/>
        </w:rPr>
        <w:t xml:space="preserve">rganisation </w:t>
      </w:r>
      <w:r w:rsidR="000E3E91">
        <w:rPr>
          <w:lang w:val="en-US"/>
        </w:rPr>
        <w:t xml:space="preserve">(or organisations in the case of jointly produced processes and guidance) </w:t>
      </w:r>
      <w:r w:rsidRPr="006D5A03">
        <w:rPr>
          <w:lang w:val="en-US"/>
        </w:rPr>
        <w:t>that</w:t>
      </w:r>
      <w:r w:rsidR="001A0385">
        <w:rPr>
          <w:lang w:val="en-US"/>
        </w:rPr>
        <w:t xml:space="preserve"> owns the process used to</w:t>
      </w:r>
      <w:r w:rsidRPr="006D5A03">
        <w:rPr>
          <w:lang w:val="en-US"/>
        </w:rPr>
        <w:t xml:space="preserve"> produce </w:t>
      </w:r>
      <w:r w:rsidR="00E60104">
        <w:rPr>
          <w:lang w:val="en-US"/>
        </w:rPr>
        <w:t>guidance</w:t>
      </w:r>
      <w:r w:rsidRPr="006D5A03">
        <w:rPr>
          <w:lang w:val="en-US"/>
        </w:rPr>
        <w:t xml:space="preserve"> and recommendations for practice</w:t>
      </w:r>
      <w:r>
        <w:rPr>
          <w:lang w:val="en-US"/>
        </w:rPr>
        <w:t>.</w:t>
      </w:r>
    </w:p>
    <w:p w14:paraId="27BC3567" w14:textId="77777777" w:rsidR="009D1213" w:rsidRDefault="001A0385" w:rsidP="00AE1C3A">
      <w:pPr>
        <w:pStyle w:val="Heading3"/>
        <w:rPr>
          <w:lang w:val="en-US"/>
        </w:rPr>
      </w:pPr>
      <w:r>
        <w:rPr>
          <w:lang w:val="en-US"/>
        </w:rPr>
        <w:t xml:space="preserve">NICE </w:t>
      </w:r>
      <w:r w:rsidR="009D1213">
        <w:rPr>
          <w:lang w:val="en-US"/>
        </w:rPr>
        <w:t>Publication Executive</w:t>
      </w:r>
      <w:r w:rsidR="00F20103">
        <w:rPr>
          <w:lang w:val="en-US"/>
        </w:rPr>
        <w:t xml:space="preserve"> (PE)</w:t>
      </w:r>
    </w:p>
    <w:p w14:paraId="7A597F77" w14:textId="77777777" w:rsidR="00A46C19" w:rsidRPr="00A46C19" w:rsidRDefault="009D1213" w:rsidP="00486595">
      <w:pPr>
        <w:pStyle w:val="NICEnormal"/>
        <w:rPr>
          <w:lang w:val="en-US"/>
        </w:rPr>
      </w:pPr>
      <w:r>
        <w:rPr>
          <w:lang w:val="en-US"/>
        </w:rPr>
        <w:t xml:space="preserve">An executive committee that acts under delegated authority of the NICE board to review and </w:t>
      </w:r>
      <w:r w:rsidRPr="00082E94">
        <w:rPr>
          <w:lang w:val="en-US"/>
        </w:rPr>
        <w:t xml:space="preserve">approve </w:t>
      </w:r>
      <w:r>
        <w:rPr>
          <w:lang w:val="en-US"/>
        </w:rPr>
        <w:t>documents for publication and ensure the accreditation process has been followed</w:t>
      </w:r>
      <w:r w:rsidR="00A46C19">
        <w:rPr>
          <w:lang w:val="en-US"/>
        </w:rPr>
        <w:t>.</w:t>
      </w:r>
    </w:p>
    <w:p w14:paraId="567BEA45" w14:textId="77777777" w:rsidR="00C61487" w:rsidRDefault="00BD3741" w:rsidP="0075189F">
      <w:pPr>
        <w:pStyle w:val="Heading3"/>
        <w:rPr>
          <w:lang w:val="en-US"/>
        </w:rPr>
      </w:pPr>
      <w:r>
        <w:rPr>
          <w:lang w:val="en-US"/>
        </w:rPr>
        <w:t>Process Validation Form</w:t>
      </w:r>
      <w:r w:rsidR="00C61487">
        <w:rPr>
          <w:lang w:val="en-US"/>
        </w:rPr>
        <w:t xml:space="preserve"> (</w:t>
      </w:r>
      <w:r>
        <w:rPr>
          <w:lang w:val="en-US"/>
        </w:rPr>
        <w:t>PVF</w:t>
      </w:r>
      <w:r w:rsidR="00C61487">
        <w:rPr>
          <w:lang w:val="en-US"/>
        </w:rPr>
        <w:t>)</w:t>
      </w:r>
    </w:p>
    <w:p w14:paraId="6AD74496" w14:textId="77777777" w:rsidR="002822BE" w:rsidRPr="002822BE" w:rsidRDefault="002822BE" w:rsidP="00486595">
      <w:pPr>
        <w:pStyle w:val="NICEnormal"/>
        <w:rPr>
          <w:lang w:val="en-US"/>
        </w:rPr>
      </w:pPr>
      <w:r>
        <w:rPr>
          <w:lang w:val="en-US"/>
        </w:rPr>
        <w:t xml:space="preserve">Assessment by the producer of how they meet the </w:t>
      </w:r>
      <w:r w:rsidR="005B7DDA">
        <w:rPr>
          <w:lang w:val="en-US"/>
        </w:rPr>
        <w:t xml:space="preserve">accreditation </w:t>
      </w:r>
      <w:r>
        <w:rPr>
          <w:lang w:val="en-US"/>
        </w:rPr>
        <w:t>criteria</w:t>
      </w:r>
      <w:r w:rsidR="005B7DDA">
        <w:rPr>
          <w:lang w:val="en-US"/>
        </w:rPr>
        <w:t xml:space="preserve"> to enable identification of any improvements required</w:t>
      </w:r>
      <w:r>
        <w:rPr>
          <w:lang w:val="en-US"/>
        </w:rPr>
        <w:t>.</w:t>
      </w:r>
    </w:p>
    <w:p w14:paraId="5F6F216E" w14:textId="77777777" w:rsidR="009D1213" w:rsidRPr="0075189F" w:rsidRDefault="009D1213" w:rsidP="0075189F">
      <w:pPr>
        <w:pStyle w:val="Heading3"/>
      </w:pPr>
      <w:r w:rsidRPr="0075189F">
        <w:t xml:space="preserve">Stakeholder </w:t>
      </w:r>
    </w:p>
    <w:p w14:paraId="45626B60" w14:textId="77777777" w:rsidR="009D1213" w:rsidRDefault="009D1213" w:rsidP="00496B25">
      <w:pPr>
        <w:pStyle w:val="NICEnormal"/>
      </w:pPr>
      <w:r w:rsidRPr="00425D5D">
        <w:rPr>
          <w:lang w:eastAsia="ja-JP"/>
        </w:rPr>
        <w:t xml:space="preserve">An organisation </w:t>
      </w:r>
      <w:r w:rsidR="00350793">
        <w:rPr>
          <w:lang w:eastAsia="ja-JP"/>
        </w:rPr>
        <w:t xml:space="preserve">or individual </w:t>
      </w:r>
      <w:r w:rsidRPr="00425D5D">
        <w:rPr>
          <w:lang w:eastAsia="ja-JP"/>
        </w:rPr>
        <w:t xml:space="preserve">with an interest in </w:t>
      </w:r>
      <w:r w:rsidR="00645724">
        <w:rPr>
          <w:lang w:eastAsia="ja-JP"/>
        </w:rPr>
        <w:t>the accredited guidance producer</w:t>
      </w:r>
      <w:r w:rsidRPr="00425D5D">
        <w:rPr>
          <w:lang w:eastAsia="ja-JP"/>
        </w:rPr>
        <w:t xml:space="preserve">. Stakeholders may </w:t>
      </w:r>
      <w:r w:rsidR="00645724">
        <w:rPr>
          <w:lang w:eastAsia="ja-JP"/>
        </w:rPr>
        <w:t xml:space="preserve">include </w:t>
      </w:r>
      <w:r w:rsidRPr="00425D5D">
        <w:t>organisations representing health</w:t>
      </w:r>
      <w:r w:rsidR="00A91FFE">
        <w:t xml:space="preserve"> and social </w:t>
      </w:r>
      <w:r w:rsidRPr="00425D5D">
        <w:t>care professionals</w:t>
      </w:r>
      <w:r w:rsidR="00645724">
        <w:t xml:space="preserve">, </w:t>
      </w:r>
      <w:r w:rsidRPr="00425D5D">
        <w:t>NHS organisations</w:t>
      </w:r>
      <w:r w:rsidR="00496B25">
        <w:t xml:space="preserve">, </w:t>
      </w:r>
      <w:r w:rsidR="00A91FFE">
        <w:t>local authorities</w:t>
      </w:r>
      <w:r w:rsidR="00496B25">
        <w:t xml:space="preserve">, </w:t>
      </w:r>
      <w:r w:rsidRPr="00425D5D">
        <w:t>national patient and carer organisations</w:t>
      </w:r>
      <w:r w:rsidR="00496B25">
        <w:t xml:space="preserve"> or </w:t>
      </w:r>
      <w:r w:rsidRPr="00425D5D">
        <w:t>manufacturers of drugs or equipment</w:t>
      </w:r>
      <w:r w:rsidR="00F126D4">
        <w:t>.</w:t>
      </w:r>
    </w:p>
    <w:p w14:paraId="6BBE29B9" w14:textId="77777777" w:rsidR="00F20103" w:rsidRDefault="00F20103" w:rsidP="0075189F">
      <w:pPr>
        <w:pStyle w:val="Heading3"/>
      </w:pPr>
      <w:bookmarkStart w:id="89" w:name="_Toc404338527"/>
      <w:r>
        <w:lastRenderedPageBreak/>
        <w:t>Technical analyst (TA)</w:t>
      </w:r>
    </w:p>
    <w:p w14:paraId="795394F7" w14:textId="77777777" w:rsidR="00F20103" w:rsidRPr="00F20103" w:rsidRDefault="00F20103" w:rsidP="00F20103">
      <w:pPr>
        <w:pStyle w:val="NICEnormal"/>
      </w:pPr>
      <w:r>
        <w:t xml:space="preserve">The NICE Technical Analyst leads on the technical assessment of new accreditation renewal applications and liaises with the guidance producer as this application progresses through the process. </w:t>
      </w:r>
    </w:p>
    <w:p w14:paraId="1686C430" w14:textId="77777777" w:rsidR="009D1213" w:rsidRPr="002F6250" w:rsidRDefault="002F6250" w:rsidP="0075189F">
      <w:pPr>
        <w:pStyle w:val="Heading3"/>
      </w:pPr>
      <w:r w:rsidRPr="002F6250">
        <w:t>Terms and conditions</w:t>
      </w:r>
      <w:bookmarkEnd w:id="89"/>
    </w:p>
    <w:p w14:paraId="4B213409" w14:textId="77777777" w:rsidR="002F6250" w:rsidRPr="002F6250" w:rsidRDefault="002F6250" w:rsidP="00486595">
      <w:pPr>
        <w:pStyle w:val="NICEnormal"/>
      </w:pPr>
      <w:r>
        <w:t xml:space="preserve">The terms and conditions of accreditation </w:t>
      </w:r>
      <w:r w:rsidRPr="00E320F0">
        <w:t xml:space="preserve">set out the rules that </w:t>
      </w:r>
      <w:r>
        <w:t>guidance producers</w:t>
      </w:r>
      <w:r w:rsidRPr="00E320F0">
        <w:t xml:space="preserve"> must comply with when displaying the </w:t>
      </w:r>
      <w:r>
        <w:t>Accreditation M</w:t>
      </w:r>
      <w:r w:rsidRPr="00E320F0">
        <w:t>ark</w:t>
      </w:r>
      <w:r>
        <w:t>.</w:t>
      </w:r>
    </w:p>
    <w:sectPr w:rsidR="002F6250" w:rsidRPr="002F6250" w:rsidSect="00E2690B">
      <w:type w:val="continuous"/>
      <w:pgSz w:w="11906" w:h="16838" w:code="9"/>
      <w:pgMar w:top="1797" w:right="1440" w:bottom="1797" w:left="1440" w:header="709"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81F4D7" w14:textId="77777777" w:rsidR="00B57EE5" w:rsidRDefault="00B57EE5">
      <w:r>
        <w:separator/>
      </w:r>
    </w:p>
  </w:endnote>
  <w:endnote w:type="continuationSeparator" w:id="0">
    <w:p w14:paraId="02B5FCED" w14:textId="77777777" w:rsidR="00B57EE5" w:rsidRDefault="00B5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FC7ED" w14:textId="77777777" w:rsidR="005158F6" w:rsidRDefault="005158F6" w:rsidP="00C16D5E">
    <w:pPr>
      <w:pStyle w:val="Footer"/>
      <w:tabs>
        <w:tab w:val="clear" w:pos="4153"/>
        <w:tab w:val="clear" w:pos="8306"/>
        <w:tab w:val="right" w:pos="9000"/>
      </w:tabs>
      <w:ind w:left="0"/>
      <w:rPr>
        <w:sz w:val="20"/>
        <w:szCs w:val="20"/>
      </w:rPr>
    </w:pPr>
    <w:r>
      <w:rPr>
        <w:sz w:val="20"/>
        <w:szCs w:val="20"/>
      </w:rPr>
      <w:t xml:space="preserve">Accreditation </w:t>
    </w:r>
    <w:r w:rsidR="006F7BAB">
      <w:rPr>
        <w:sz w:val="20"/>
        <w:szCs w:val="20"/>
      </w:rPr>
      <w:t xml:space="preserve">Renewal </w:t>
    </w:r>
    <w:r>
      <w:rPr>
        <w:sz w:val="20"/>
        <w:szCs w:val="20"/>
      </w:rPr>
      <w:t>Process M</w:t>
    </w:r>
    <w:r w:rsidR="006F7BAB">
      <w:rPr>
        <w:sz w:val="20"/>
        <w:szCs w:val="20"/>
      </w:rPr>
      <w:t>anual</w:t>
    </w:r>
  </w:p>
  <w:p w14:paraId="41F5A1BE" w14:textId="77777777" w:rsidR="005158F6" w:rsidRPr="005F1EC5" w:rsidRDefault="005158F6" w:rsidP="00C16D5E">
    <w:pPr>
      <w:pStyle w:val="Footer"/>
      <w:tabs>
        <w:tab w:val="clear" w:pos="4153"/>
        <w:tab w:val="clear" w:pos="8306"/>
        <w:tab w:val="right" w:pos="9000"/>
      </w:tabs>
      <w:ind w:left="0"/>
      <w:rPr>
        <w:sz w:val="20"/>
        <w:szCs w:val="20"/>
      </w:rPr>
    </w:pPr>
    <w:r w:rsidRPr="00D266F0">
      <w:rPr>
        <w:sz w:val="20"/>
        <w:szCs w:val="20"/>
      </w:rPr>
      <w:t>©</w:t>
    </w:r>
    <w:r>
      <w:rPr>
        <w:sz w:val="20"/>
        <w:szCs w:val="20"/>
      </w:rPr>
      <w:t xml:space="preserve"> National Institute for Health and Care Excellence</w:t>
    </w:r>
    <w:r w:rsidR="00A0270C">
      <w:rPr>
        <w:sz w:val="20"/>
        <w:szCs w:val="20"/>
      </w:rPr>
      <w:t xml:space="preserve"> 202</w:t>
    </w:r>
    <w:r w:rsidR="00023765">
      <w:rPr>
        <w:sz w:val="20"/>
        <w:szCs w:val="20"/>
      </w:rPr>
      <w:t>1</w:t>
    </w:r>
    <w:r w:rsidRPr="005F1EC5">
      <w:rPr>
        <w:sz w:val="20"/>
        <w:szCs w:val="20"/>
      </w:rPr>
      <w:tab/>
    </w:r>
  </w:p>
  <w:p w14:paraId="074ADD47" w14:textId="77777777" w:rsidR="005158F6" w:rsidRPr="005F1EC5" w:rsidRDefault="005158F6" w:rsidP="005F1EC5">
    <w:pPr>
      <w:pStyle w:val="Footer"/>
      <w:tabs>
        <w:tab w:val="clear" w:pos="4153"/>
        <w:tab w:val="clear" w:pos="8306"/>
        <w:tab w:val="right" w:pos="9000"/>
      </w:tabs>
      <w:ind w:left="0"/>
      <w:jc w:val="right"/>
      <w:rPr>
        <w:sz w:val="20"/>
        <w:szCs w:val="20"/>
      </w:rPr>
    </w:pPr>
    <w:r w:rsidRPr="005F1EC5">
      <w:rPr>
        <w:sz w:val="20"/>
        <w:szCs w:val="20"/>
        <w:lang w:val="en-US"/>
      </w:rPr>
      <w:t xml:space="preserve">Page </w:t>
    </w:r>
    <w:r w:rsidRPr="005F1EC5">
      <w:rPr>
        <w:sz w:val="20"/>
        <w:szCs w:val="20"/>
        <w:lang w:val="en-US"/>
      </w:rPr>
      <w:fldChar w:fldCharType="begin"/>
    </w:r>
    <w:r w:rsidRPr="005F1EC5">
      <w:rPr>
        <w:sz w:val="20"/>
        <w:szCs w:val="20"/>
        <w:lang w:val="en-US"/>
      </w:rPr>
      <w:instrText xml:space="preserve"> PAGE </w:instrText>
    </w:r>
    <w:r w:rsidRPr="005F1EC5">
      <w:rPr>
        <w:sz w:val="20"/>
        <w:szCs w:val="20"/>
        <w:lang w:val="en-US"/>
      </w:rPr>
      <w:fldChar w:fldCharType="separate"/>
    </w:r>
    <w:r w:rsidR="00941B29">
      <w:rPr>
        <w:noProof/>
        <w:sz w:val="20"/>
        <w:szCs w:val="20"/>
        <w:lang w:val="en-US"/>
      </w:rPr>
      <w:t>5</w:t>
    </w:r>
    <w:r w:rsidRPr="005F1EC5">
      <w:rPr>
        <w:sz w:val="20"/>
        <w:szCs w:val="20"/>
        <w:lang w:val="en-US"/>
      </w:rPr>
      <w:fldChar w:fldCharType="end"/>
    </w:r>
    <w:r w:rsidRPr="005F1EC5">
      <w:rPr>
        <w:sz w:val="20"/>
        <w:szCs w:val="20"/>
        <w:lang w:val="en-US"/>
      </w:rPr>
      <w:t xml:space="preserve"> of </w:t>
    </w:r>
    <w:r w:rsidRPr="005F1EC5">
      <w:rPr>
        <w:sz w:val="20"/>
        <w:szCs w:val="20"/>
        <w:lang w:val="en-US"/>
      </w:rPr>
      <w:fldChar w:fldCharType="begin"/>
    </w:r>
    <w:r w:rsidRPr="005F1EC5">
      <w:rPr>
        <w:sz w:val="20"/>
        <w:szCs w:val="20"/>
        <w:lang w:val="en-US"/>
      </w:rPr>
      <w:instrText xml:space="preserve"> NUMPAGES </w:instrText>
    </w:r>
    <w:r w:rsidRPr="005F1EC5">
      <w:rPr>
        <w:sz w:val="20"/>
        <w:szCs w:val="20"/>
        <w:lang w:val="en-US"/>
      </w:rPr>
      <w:fldChar w:fldCharType="separate"/>
    </w:r>
    <w:r w:rsidR="00941B29">
      <w:rPr>
        <w:noProof/>
        <w:sz w:val="20"/>
        <w:szCs w:val="20"/>
        <w:lang w:val="en-US"/>
      </w:rPr>
      <w:t>20</w:t>
    </w:r>
    <w:r w:rsidRPr="005F1EC5">
      <w:rPr>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0F192" w14:textId="77777777" w:rsidR="00B57EE5" w:rsidRDefault="00B57EE5">
      <w:r>
        <w:separator/>
      </w:r>
    </w:p>
  </w:footnote>
  <w:footnote w:type="continuationSeparator" w:id="0">
    <w:p w14:paraId="72F279C4" w14:textId="77777777" w:rsidR="00B57EE5" w:rsidRDefault="00B57EE5">
      <w:r>
        <w:continuationSeparator/>
      </w:r>
    </w:p>
  </w:footnote>
  <w:footnote w:id="1">
    <w:p w14:paraId="6A8B0736" w14:textId="77777777" w:rsidR="00374983" w:rsidRDefault="00374983" w:rsidP="00374983">
      <w:pPr>
        <w:pStyle w:val="FootnoteText"/>
      </w:pPr>
      <w:r>
        <w:rPr>
          <w:rStyle w:val="FootnoteReference"/>
        </w:rPr>
        <w:footnoteRef/>
      </w:r>
      <w:r>
        <w:t xml:space="preserve"> </w:t>
      </w:r>
      <w:r w:rsidRPr="00254D99">
        <w:t xml:space="preserve">The AGREE Collaboration. </w:t>
      </w:r>
      <w:r>
        <w:rPr>
          <w:lang w:val="en"/>
        </w:rPr>
        <w:t xml:space="preserve">Brouwers M, Kho ME, Browman GP, Burgers JS, Cluzeau F, Feder G, et al for the AGREE Next Steps Consortium (2010) AGREE II: Advancing guideline development, reporting and evaluation in healthcare. </w:t>
      </w:r>
      <w:r w:rsidRPr="00D34420">
        <w:rPr>
          <w:i/>
          <w:lang w:val="en"/>
        </w:rPr>
        <w:t>Can</w:t>
      </w:r>
      <w:r>
        <w:rPr>
          <w:i/>
          <w:lang w:val="en"/>
        </w:rPr>
        <w:t>adian</w:t>
      </w:r>
      <w:r w:rsidRPr="00D34420">
        <w:rPr>
          <w:i/>
          <w:lang w:val="en"/>
        </w:rPr>
        <w:t xml:space="preserve"> Med</w:t>
      </w:r>
      <w:r>
        <w:rPr>
          <w:i/>
          <w:lang w:val="en"/>
        </w:rPr>
        <w:t>ical</w:t>
      </w:r>
      <w:r w:rsidRPr="00D34420">
        <w:rPr>
          <w:i/>
          <w:lang w:val="en"/>
        </w:rPr>
        <w:t xml:space="preserve"> Assoc</w:t>
      </w:r>
      <w:r>
        <w:rPr>
          <w:i/>
          <w:lang w:val="en"/>
        </w:rPr>
        <w:t>iation</w:t>
      </w:r>
      <w:r w:rsidRPr="00D34420">
        <w:rPr>
          <w:i/>
          <w:lang w:val="en"/>
        </w:rPr>
        <w:t xml:space="preserve"> J</w:t>
      </w:r>
      <w:r>
        <w:rPr>
          <w:i/>
          <w:lang w:val="en"/>
        </w:rPr>
        <w:t>ournal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27F65" w14:textId="77777777" w:rsidR="005158F6" w:rsidRDefault="005158F6" w:rsidP="00AA440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BF2427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CB8149D"/>
    <w:multiLevelType w:val="hybridMultilevel"/>
    <w:tmpl w:val="DF92871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DBB7BCB"/>
    <w:multiLevelType w:val="hybridMultilevel"/>
    <w:tmpl w:val="3A6A5A36"/>
    <w:lvl w:ilvl="0" w:tplc="53EE5F4A">
      <w:start w:val="1"/>
      <w:numFmt w:val="bullet"/>
      <w:lvlText w:val=""/>
      <w:lvlJc w:val="left"/>
      <w:pPr>
        <w:tabs>
          <w:tab w:val="num" w:pos="720"/>
        </w:tabs>
        <w:ind w:left="720" w:hanging="360"/>
      </w:pPr>
      <w:rPr>
        <w:rFonts w:ascii="Symbol" w:hAnsi="Symbol" w:hint="default"/>
      </w:rPr>
    </w:lvl>
    <w:lvl w:ilvl="1" w:tplc="2E664DF4">
      <w:start w:val="1"/>
      <w:numFmt w:val="decimal"/>
      <w:lvlText w:val="%2"/>
      <w:lvlJc w:val="left"/>
      <w:pPr>
        <w:tabs>
          <w:tab w:val="num" w:pos="1815"/>
        </w:tabs>
        <w:ind w:left="1815" w:hanging="735"/>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 w15:restartNumberingAfterBreak="0">
    <w:nsid w:val="15017405"/>
    <w:multiLevelType w:val="multilevel"/>
    <w:tmpl w:val="08063AC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pStyle w:val="NICEnormalindented"/>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5242F16"/>
    <w:multiLevelType w:val="hybridMultilevel"/>
    <w:tmpl w:val="994C79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A7422"/>
    <w:multiLevelType w:val="multilevel"/>
    <w:tmpl w:val="798C5510"/>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A0C6FC9"/>
    <w:multiLevelType w:val="multilevel"/>
    <w:tmpl w:val="BB94CA6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844"/>
        </w:tabs>
        <w:ind w:left="2411"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4A5E4C"/>
    <w:multiLevelType w:val="hybridMultilevel"/>
    <w:tmpl w:val="386867C4"/>
    <w:lvl w:ilvl="0" w:tplc="3FD07F08">
      <w:start w:val="1"/>
      <w:numFmt w:val="decimal"/>
      <w:lvlText w:val="%1)"/>
      <w:lvlJc w:val="left"/>
      <w:pPr>
        <w:ind w:left="1097" w:hanging="360"/>
      </w:pPr>
      <w:rPr>
        <w:rFonts w:ascii="Arial" w:eastAsia="Times New Roman" w:hAnsi="Arial" w:cs="Times New Roman"/>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1" w15:restartNumberingAfterBreak="0">
    <w:nsid w:val="20DA74C5"/>
    <w:multiLevelType w:val="hybridMultilevel"/>
    <w:tmpl w:val="10061774"/>
    <w:lvl w:ilvl="0" w:tplc="04F0C6D8">
      <w:start w:val="1"/>
      <w:numFmt w:val="bullet"/>
      <w:lvlText w:val=""/>
      <w:lvlJc w:val="left"/>
      <w:pPr>
        <w:tabs>
          <w:tab w:val="num" w:pos="567"/>
        </w:tabs>
        <w:ind w:left="567" w:hanging="567"/>
      </w:pPr>
      <w:rPr>
        <w:rFonts w:ascii="Symbol" w:hAnsi="Symbol" w:hint="default"/>
      </w:rPr>
    </w:lvl>
    <w:lvl w:ilvl="1" w:tplc="8AB22FAA">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C22BA8"/>
    <w:multiLevelType w:val="hybridMultilevel"/>
    <w:tmpl w:val="0FA0EB3E"/>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B38EC762">
      <w:numFmt w:val="bullet"/>
      <w:lvlText w:val="•"/>
      <w:lvlJc w:val="left"/>
      <w:pPr>
        <w:ind w:left="1490" w:hanging="41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CC3584"/>
    <w:multiLevelType w:val="multilevel"/>
    <w:tmpl w:val="EF786582"/>
    <w:lvl w:ilvl="0">
      <w:start w:val="2"/>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0" w:firstLine="0"/>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B260EA3"/>
    <w:multiLevelType w:val="multilevel"/>
    <w:tmpl w:val="93BAC182"/>
    <w:name w:val="numbered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C934304"/>
    <w:multiLevelType w:val="multilevel"/>
    <w:tmpl w:val="D578F90A"/>
    <w:lvl w:ilvl="0">
      <w:start w:val="1"/>
      <w:numFmt w:val="upperLetter"/>
      <w:lvlText w:val="%1"/>
      <w:lvlJc w:val="left"/>
      <w:pPr>
        <w:tabs>
          <w:tab w:val="num" w:pos="648"/>
        </w:tabs>
        <w:ind w:left="648" w:hanging="648"/>
      </w:pPr>
      <w:rPr>
        <w:rFonts w:hint="default"/>
        <w:b w:val="0"/>
        <w:i w:val="0"/>
      </w:rPr>
    </w:lvl>
    <w:lvl w:ilvl="1">
      <w:start w:val="1"/>
      <w:numFmt w:val="upperRoman"/>
      <w:lvlText w:val="%2"/>
      <w:lvlJc w:val="left"/>
      <w:pPr>
        <w:tabs>
          <w:tab w:val="num" w:pos="1224"/>
        </w:tabs>
        <w:ind w:left="1224" w:hanging="504"/>
      </w:pPr>
      <w:rPr>
        <w:rFonts w:hint="default"/>
      </w:rPr>
    </w:lvl>
    <w:lvl w:ilvl="2">
      <w:start w:val="1"/>
      <w:numFmt w:val="bullet"/>
      <w:lvlText w:val=""/>
      <w:lvlJc w:val="left"/>
      <w:pPr>
        <w:tabs>
          <w:tab w:val="num" w:pos="1656"/>
        </w:tabs>
        <w:ind w:left="1656" w:hanging="576"/>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29D79E6"/>
    <w:multiLevelType w:val="multilevel"/>
    <w:tmpl w:val="C26C6198"/>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360"/>
      </w:pPr>
      <w:rPr>
        <w:rFonts w:cs="Arial" w:hint="default"/>
      </w:rPr>
    </w:lvl>
    <w:lvl w:ilvl="2">
      <w:start w:val="1"/>
      <w:numFmt w:val="decimal"/>
      <w:lvlText w:val="%1.%2.%3"/>
      <w:lvlJc w:val="left"/>
      <w:pPr>
        <w:tabs>
          <w:tab w:val="num" w:pos="1440"/>
        </w:tabs>
        <w:ind w:left="1440" w:hanging="720"/>
      </w:pPr>
      <w:rPr>
        <w:rFonts w:cs="Arial" w:hint="default"/>
      </w:rPr>
    </w:lvl>
    <w:lvl w:ilvl="3">
      <w:start w:val="1"/>
      <w:numFmt w:val="decimal"/>
      <w:lvlText w:val="%1.%2.%3.%4"/>
      <w:lvlJc w:val="left"/>
      <w:pPr>
        <w:tabs>
          <w:tab w:val="num" w:pos="1800"/>
        </w:tabs>
        <w:ind w:left="1800" w:hanging="720"/>
      </w:pPr>
      <w:rPr>
        <w:rFonts w:cs="Arial" w:hint="default"/>
      </w:rPr>
    </w:lvl>
    <w:lvl w:ilvl="4">
      <w:start w:val="1"/>
      <w:numFmt w:val="decimal"/>
      <w:lvlText w:val="%1.%2.%3.%4.%5"/>
      <w:lvlJc w:val="left"/>
      <w:pPr>
        <w:tabs>
          <w:tab w:val="num" w:pos="2520"/>
        </w:tabs>
        <w:ind w:left="2520" w:hanging="1080"/>
      </w:pPr>
      <w:rPr>
        <w:rFonts w:cs="Arial" w:hint="default"/>
      </w:rPr>
    </w:lvl>
    <w:lvl w:ilvl="5">
      <w:start w:val="1"/>
      <w:numFmt w:val="decimal"/>
      <w:lvlText w:val="%1.%2.%3.%4.%5.%6"/>
      <w:lvlJc w:val="left"/>
      <w:pPr>
        <w:tabs>
          <w:tab w:val="num" w:pos="2880"/>
        </w:tabs>
        <w:ind w:left="2880" w:hanging="1080"/>
      </w:pPr>
      <w:rPr>
        <w:rFonts w:cs="Arial" w:hint="default"/>
      </w:rPr>
    </w:lvl>
    <w:lvl w:ilvl="6">
      <w:start w:val="1"/>
      <w:numFmt w:val="decimal"/>
      <w:lvlText w:val="%1.%2.%3.%4.%5.%6.%7"/>
      <w:lvlJc w:val="left"/>
      <w:pPr>
        <w:tabs>
          <w:tab w:val="num" w:pos="3600"/>
        </w:tabs>
        <w:ind w:left="3600" w:hanging="1440"/>
      </w:pPr>
      <w:rPr>
        <w:rFonts w:cs="Arial" w:hint="default"/>
      </w:rPr>
    </w:lvl>
    <w:lvl w:ilvl="7">
      <w:start w:val="1"/>
      <w:numFmt w:val="decimal"/>
      <w:lvlText w:val="%1.%2.%3.%4.%5.%6.%7.%8"/>
      <w:lvlJc w:val="left"/>
      <w:pPr>
        <w:tabs>
          <w:tab w:val="num" w:pos="3960"/>
        </w:tabs>
        <w:ind w:left="3960" w:hanging="1440"/>
      </w:pPr>
      <w:rPr>
        <w:rFonts w:cs="Arial" w:hint="default"/>
      </w:rPr>
    </w:lvl>
    <w:lvl w:ilvl="8">
      <w:start w:val="1"/>
      <w:numFmt w:val="decimal"/>
      <w:lvlText w:val="%1.%2.%3.%4.%5.%6.%7.%8.%9"/>
      <w:lvlJc w:val="left"/>
      <w:pPr>
        <w:tabs>
          <w:tab w:val="num" w:pos="4680"/>
        </w:tabs>
        <w:ind w:left="4680" w:hanging="1800"/>
      </w:pPr>
      <w:rPr>
        <w:rFonts w:cs="Arial" w:hint="default"/>
      </w:rPr>
    </w:lvl>
  </w:abstractNum>
  <w:abstractNum w:abstractNumId="17" w15:restartNumberingAfterBreak="0">
    <w:nsid w:val="33806D2C"/>
    <w:multiLevelType w:val="hybridMultilevel"/>
    <w:tmpl w:val="FCCCD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326936"/>
    <w:multiLevelType w:val="multilevel"/>
    <w:tmpl w:val="04FCB400"/>
    <w:lvl w:ilvl="0">
      <w:start w:val="1"/>
      <w:numFmt w:val="decimal"/>
      <w:pStyle w:val="NICE-TableNumberL1"/>
      <w:suff w:val="space"/>
      <w:lvlText w:val="%1."/>
      <w:lvlJc w:val="left"/>
      <w:pPr>
        <w:ind w:left="360" w:hanging="360"/>
      </w:pPr>
      <w:rPr>
        <w:rFonts w:hint="default"/>
        <w:b/>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F47418A"/>
    <w:multiLevelType w:val="multilevel"/>
    <w:tmpl w:val="1C12556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1580E47"/>
    <w:multiLevelType w:val="hybridMultilevel"/>
    <w:tmpl w:val="D64CADE4"/>
    <w:lvl w:ilvl="0" w:tplc="4A30880C">
      <w:start w:val="1"/>
      <w:numFmt w:val="decimal"/>
      <w:lvlText w:val="%1"/>
      <w:lvlJc w:val="left"/>
      <w:pPr>
        <w:ind w:left="1095" w:hanging="7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915790"/>
    <w:multiLevelType w:val="hybridMultilevel"/>
    <w:tmpl w:val="A03A58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58E0902"/>
    <w:multiLevelType w:val="multilevel"/>
    <w:tmpl w:val="C422EB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FFFFFFFF">
      <w:start w:val="1"/>
      <w:numFmt w:val="upperRoman"/>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1934907"/>
    <w:multiLevelType w:val="hybridMultilevel"/>
    <w:tmpl w:val="A37EA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7220213"/>
    <w:multiLevelType w:val="multilevel"/>
    <w:tmpl w:val="BB94CA6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844"/>
        </w:tabs>
        <w:ind w:left="2411"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912F54"/>
    <w:multiLevelType w:val="multilevel"/>
    <w:tmpl w:val="EB4A3A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583B0C29"/>
    <w:multiLevelType w:val="multilevel"/>
    <w:tmpl w:val="4218F95A"/>
    <w:lvl w:ilvl="0">
      <w:start w:val="1"/>
      <w:numFmt w:val="decimal"/>
      <w:lvlText w:val="%1"/>
      <w:lvlJc w:val="left"/>
      <w:pPr>
        <w:ind w:left="432" w:hanging="432"/>
      </w:pPr>
      <w:rPr>
        <w:rFonts w:hint="default"/>
      </w:rPr>
    </w:lvl>
    <w:lvl w:ilvl="1">
      <w:start w:val="2"/>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592F2E34"/>
    <w:multiLevelType w:val="hybridMultilevel"/>
    <w:tmpl w:val="77709EEC"/>
    <w:lvl w:ilvl="0" w:tplc="B38EC762">
      <w:numFmt w:val="bullet"/>
      <w:lvlText w:val="•"/>
      <w:lvlJc w:val="left"/>
      <w:pPr>
        <w:tabs>
          <w:tab w:val="num" w:pos="1418"/>
        </w:tabs>
        <w:ind w:left="1418" w:hanging="284"/>
      </w:pPr>
      <w:rPr>
        <w:rFonts w:ascii="Arial" w:eastAsia="Times New Roman" w:hAnsi="Arial" w:cs="Arial" w:hint="default"/>
        <w:color w:val="auto"/>
        <w:sz w:val="24"/>
        <w:szCs w:val="24"/>
      </w:rPr>
    </w:lvl>
    <w:lvl w:ilvl="1" w:tplc="B38EC762">
      <w:numFmt w:val="bullet"/>
      <w:lvlText w:val="•"/>
      <w:lvlJc w:val="left"/>
      <w:pPr>
        <w:ind w:left="1490" w:hanging="41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3B244C"/>
    <w:multiLevelType w:val="hybridMultilevel"/>
    <w:tmpl w:val="13505AD0"/>
    <w:lvl w:ilvl="0" w:tplc="F4226C0A">
      <w:start w:val="1"/>
      <w:numFmt w:val="bullet"/>
      <w:lvlText w:val=""/>
      <w:lvlJc w:val="left"/>
      <w:pPr>
        <w:tabs>
          <w:tab w:val="num" w:pos="567"/>
        </w:tabs>
        <w:ind w:left="567" w:hanging="567"/>
      </w:pPr>
      <w:rPr>
        <w:rFonts w:ascii="Symbol" w:hAnsi="Symbol" w:hint="default"/>
      </w:rPr>
    </w:lvl>
    <w:lvl w:ilvl="1" w:tplc="41885A4A" w:tentative="1">
      <w:start w:val="1"/>
      <w:numFmt w:val="bullet"/>
      <w:lvlText w:val="o"/>
      <w:lvlJc w:val="left"/>
      <w:pPr>
        <w:tabs>
          <w:tab w:val="num" w:pos="1440"/>
        </w:tabs>
        <w:ind w:left="1440" w:hanging="360"/>
      </w:pPr>
      <w:rPr>
        <w:rFonts w:ascii="Courier New" w:hAnsi="Courier New" w:hint="default"/>
      </w:rPr>
    </w:lvl>
    <w:lvl w:ilvl="2" w:tplc="479CBD1E" w:tentative="1">
      <w:start w:val="1"/>
      <w:numFmt w:val="bullet"/>
      <w:lvlText w:val=""/>
      <w:lvlJc w:val="left"/>
      <w:pPr>
        <w:tabs>
          <w:tab w:val="num" w:pos="2160"/>
        </w:tabs>
        <w:ind w:left="2160" w:hanging="360"/>
      </w:pPr>
      <w:rPr>
        <w:rFonts w:ascii="Wingdings" w:hAnsi="Wingdings" w:hint="default"/>
      </w:rPr>
    </w:lvl>
    <w:lvl w:ilvl="3" w:tplc="A74CB7EA" w:tentative="1">
      <w:start w:val="1"/>
      <w:numFmt w:val="bullet"/>
      <w:lvlText w:val=""/>
      <w:lvlJc w:val="left"/>
      <w:pPr>
        <w:tabs>
          <w:tab w:val="num" w:pos="2880"/>
        </w:tabs>
        <w:ind w:left="2880" w:hanging="360"/>
      </w:pPr>
      <w:rPr>
        <w:rFonts w:ascii="Symbol" w:hAnsi="Symbol" w:hint="default"/>
      </w:rPr>
    </w:lvl>
    <w:lvl w:ilvl="4" w:tplc="FA5AF3B2" w:tentative="1">
      <w:start w:val="1"/>
      <w:numFmt w:val="bullet"/>
      <w:lvlText w:val="o"/>
      <w:lvlJc w:val="left"/>
      <w:pPr>
        <w:tabs>
          <w:tab w:val="num" w:pos="3600"/>
        </w:tabs>
        <w:ind w:left="3600" w:hanging="360"/>
      </w:pPr>
      <w:rPr>
        <w:rFonts w:ascii="Courier New" w:hAnsi="Courier New" w:hint="default"/>
      </w:rPr>
    </w:lvl>
    <w:lvl w:ilvl="5" w:tplc="974CC2FC" w:tentative="1">
      <w:start w:val="1"/>
      <w:numFmt w:val="bullet"/>
      <w:lvlText w:val=""/>
      <w:lvlJc w:val="left"/>
      <w:pPr>
        <w:tabs>
          <w:tab w:val="num" w:pos="4320"/>
        </w:tabs>
        <w:ind w:left="4320" w:hanging="360"/>
      </w:pPr>
      <w:rPr>
        <w:rFonts w:ascii="Wingdings" w:hAnsi="Wingdings" w:hint="default"/>
      </w:rPr>
    </w:lvl>
    <w:lvl w:ilvl="6" w:tplc="B888D47A" w:tentative="1">
      <w:start w:val="1"/>
      <w:numFmt w:val="bullet"/>
      <w:lvlText w:val=""/>
      <w:lvlJc w:val="left"/>
      <w:pPr>
        <w:tabs>
          <w:tab w:val="num" w:pos="5040"/>
        </w:tabs>
        <w:ind w:left="5040" w:hanging="360"/>
      </w:pPr>
      <w:rPr>
        <w:rFonts w:ascii="Symbol" w:hAnsi="Symbol" w:hint="default"/>
      </w:rPr>
    </w:lvl>
    <w:lvl w:ilvl="7" w:tplc="C4D6D0A2" w:tentative="1">
      <w:start w:val="1"/>
      <w:numFmt w:val="bullet"/>
      <w:lvlText w:val="o"/>
      <w:lvlJc w:val="left"/>
      <w:pPr>
        <w:tabs>
          <w:tab w:val="num" w:pos="5760"/>
        </w:tabs>
        <w:ind w:left="5760" w:hanging="360"/>
      </w:pPr>
      <w:rPr>
        <w:rFonts w:ascii="Courier New" w:hAnsi="Courier New" w:hint="default"/>
      </w:rPr>
    </w:lvl>
    <w:lvl w:ilvl="8" w:tplc="77EAA6E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6F76F3"/>
    <w:multiLevelType w:val="multilevel"/>
    <w:tmpl w:val="11BCCC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B90545B"/>
    <w:multiLevelType w:val="hybridMultilevel"/>
    <w:tmpl w:val="B65469D4"/>
    <w:lvl w:ilvl="0" w:tplc="0409000F">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E422BED"/>
    <w:multiLevelType w:val="hybridMultilevel"/>
    <w:tmpl w:val="B09A7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5A1595"/>
    <w:multiLevelType w:val="hybridMultilevel"/>
    <w:tmpl w:val="404C2CDC"/>
    <w:lvl w:ilvl="0" w:tplc="DD3CCBE8">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7677C"/>
    <w:multiLevelType w:val="multilevel"/>
    <w:tmpl w:val="939E7B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754116A7"/>
    <w:multiLevelType w:val="hybridMultilevel"/>
    <w:tmpl w:val="70AAB950"/>
    <w:lvl w:ilvl="0" w:tplc="9A4CD086">
      <w:start w:val="1"/>
      <w:numFmt w:val="bullet"/>
      <w:pStyle w:val="DTBulletlevel2Base"/>
      <w:lvlText w:val=""/>
      <w:lvlJc w:val="left"/>
      <w:pPr>
        <w:tabs>
          <w:tab w:val="num" w:pos="907"/>
        </w:tabs>
        <w:ind w:left="907" w:hanging="283"/>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41" w15:restartNumberingAfterBreak="0">
    <w:nsid w:val="7B774645"/>
    <w:multiLevelType w:val="multilevel"/>
    <w:tmpl w:val="EB8E57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7DEB6B73"/>
    <w:multiLevelType w:val="hybridMultilevel"/>
    <w:tmpl w:val="8CB0E206"/>
    <w:lvl w:ilvl="0" w:tplc="DB3E91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11"/>
  </w:num>
  <w:num w:numId="3">
    <w:abstractNumId w:val="38"/>
  </w:num>
  <w:num w:numId="4">
    <w:abstractNumId w:val="33"/>
  </w:num>
  <w:num w:numId="5">
    <w:abstractNumId w:val="0"/>
  </w:num>
  <w:num w:numId="6">
    <w:abstractNumId w:val="14"/>
  </w:num>
  <w:num w:numId="7">
    <w:abstractNumId w:val="15"/>
  </w:num>
  <w:num w:numId="8">
    <w:abstractNumId w:val="4"/>
  </w:num>
  <w:num w:numId="9">
    <w:abstractNumId w:val="24"/>
  </w:num>
  <w:num w:numId="10">
    <w:abstractNumId w:val="7"/>
  </w:num>
  <w:num w:numId="11">
    <w:abstractNumId w:val="26"/>
  </w:num>
  <w:num w:numId="12">
    <w:abstractNumId w:val="19"/>
  </w:num>
  <w:num w:numId="13">
    <w:abstractNumId w:val="40"/>
  </w:num>
  <w:num w:numId="14">
    <w:abstractNumId w:val="1"/>
  </w:num>
  <w:num w:numId="15">
    <w:abstractNumId w:val="12"/>
  </w:num>
  <w:num w:numId="16">
    <w:abstractNumId w:val="23"/>
  </w:num>
  <w:num w:numId="17">
    <w:abstractNumId w:val="25"/>
  </w:num>
  <w:num w:numId="18">
    <w:abstractNumId w:val="5"/>
  </w:num>
  <w:num w:numId="19">
    <w:abstractNumId w:val="9"/>
  </w:num>
  <w:num w:numId="20">
    <w:abstractNumId w:val="2"/>
  </w:num>
  <w:num w:numId="21">
    <w:abstractNumId w:val="35"/>
  </w:num>
  <w:num w:numId="22">
    <w:abstractNumId w:val="13"/>
  </w:num>
  <w:num w:numId="23">
    <w:abstractNumId w:val="30"/>
  </w:num>
  <w:num w:numId="24">
    <w:abstractNumId w:val="18"/>
  </w:num>
  <w:num w:numId="25">
    <w:abstractNumId w:val="32"/>
  </w:num>
  <w:num w:numId="26">
    <w:abstractNumId w:val="22"/>
  </w:num>
  <w:num w:numId="27">
    <w:abstractNumId w:val="42"/>
  </w:num>
  <w:num w:numId="28">
    <w:abstractNumId w:val="13"/>
  </w:num>
  <w:num w:numId="29">
    <w:abstractNumId w:val="13"/>
    <w:lvlOverride w:ilvl="0">
      <w:startOverride w:val="2"/>
    </w:lvlOverride>
    <w:lvlOverride w:ilvl="1">
      <w:startOverride w:val="4"/>
    </w:lvlOverride>
  </w:num>
  <w:num w:numId="30">
    <w:abstractNumId w:val="6"/>
  </w:num>
  <w:num w:numId="31">
    <w:abstractNumId w:val="21"/>
  </w:num>
  <w:num w:numId="32">
    <w:abstractNumId w:val="41"/>
  </w:num>
  <w:num w:numId="33">
    <w:abstractNumId w:val="34"/>
  </w:num>
  <w:num w:numId="34">
    <w:abstractNumId w:val="39"/>
  </w:num>
  <w:num w:numId="35">
    <w:abstractNumId w:val="29"/>
  </w:num>
  <w:num w:numId="36">
    <w:abstractNumId w:val="20"/>
  </w:num>
  <w:num w:numId="37">
    <w:abstractNumId w:val="16"/>
  </w:num>
  <w:num w:numId="38">
    <w:abstractNumId w:val="28"/>
  </w:num>
  <w:num w:numId="39">
    <w:abstractNumId w:val="10"/>
  </w:num>
  <w:num w:numId="40">
    <w:abstractNumId w:val="8"/>
  </w:num>
  <w:num w:numId="41">
    <w:abstractNumId w:val="3"/>
  </w:num>
  <w:num w:numId="42">
    <w:abstractNumId w:val="27"/>
  </w:num>
  <w:num w:numId="43">
    <w:abstractNumId w:val="37"/>
  </w:num>
  <w:num w:numId="44">
    <w:abstractNumId w:val="17"/>
  </w:num>
  <w:num w:numId="45">
    <w:abstractNumId w:val="31"/>
  </w:num>
  <w:num w:numId="46">
    <w:abstractNumId w:val="28"/>
    <w:lvlOverride w:ilvl="0">
      <w:startOverride w:val="5"/>
    </w:lvlOverride>
    <w:lvlOverride w:ilvl="1">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37"/>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1AF"/>
    <w:rsid w:val="000010F3"/>
    <w:rsid w:val="00001376"/>
    <w:rsid w:val="000016B9"/>
    <w:rsid w:val="00002B48"/>
    <w:rsid w:val="0000489F"/>
    <w:rsid w:val="00004B3A"/>
    <w:rsid w:val="000051BD"/>
    <w:rsid w:val="00005B70"/>
    <w:rsid w:val="00006119"/>
    <w:rsid w:val="000065D2"/>
    <w:rsid w:val="00006721"/>
    <w:rsid w:val="00006879"/>
    <w:rsid w:val="00006B0F"/>
    <w:rsid w:val="00007570"/>
    <w:rsid w:val="00007651"/>
    <w:rsid w:val="00007BC5"/>
    <w:rsid w:val="00010049"/>
    <w:rsid w:val="00010ED5"/>
    <w:rsid w:val="0001210A"/>
    <w:rsid w:val="00012D14"/>
    <w:rsid w:val="000135C7"/>
    <w:rsid w:val="00013A4A"/>
    <w:rsid w:val="00013AE2"/>
    <w:rsid w:val="000144B6"/>
    <w:rsid w:val="000144CD"/>
    <w:rsid w:val="00015000"/>
    <w:rsid w:val="00015169"/>
    <w:rsid w:val="00015308"/>
    <w:rsid w:val="00015DFE"/>
    <w:rsid w:val="00016547"/>
    <w:rsid w:val="000173A4"/>
    <w:rsid w:val="00017C31"/>
    <w:rsid w:val="00020536"/>
    <w:rsid w:val="00020C49"/>
    <w:rsid w:val="000216A9"/>
    <w:rsid w:val="00021909"/>
    <w:rsid w:val="000235BB"/>
    <w:rsid w:val="00023765"/>
    <w:rsid w:val="0002377C"/>
    <w:rsid w:val="00023D87"/>
    <w:rsid w:val="00023DCE"/>
    <w:rsid w:val="000241B2"/>
    <w:rsid w:val="00024789"/>
    <w:rsid w:val="00025099"/>
    <w:rsid w:val="00030286"/>
    <w:rsid w:val="00030CB5"/>
    <w:rsid w:val="00031B51"/>
    <w:rsid w:val="00031D7B"/>
    <w:rsid w:val="000322A1"/>
    <w:rsid w:val="000326E7"/>
    <w:rsid w:val="00033089"/>
    <w:rsid w:val="00033153"/>
    <w:rsid w:val="0003351C"/>
    <w:rsid w:val="00033776"/>
    <w:rsid w:val="00033B04"/>
    <w:rsid w:val="00033C57"/>
    <w:rsid w:val="00034440"/>
    <w:rsid w:val="00035A51"/>
    <w:rsid w:val="00036D0F"/>
    <w:rsid w:val="00041FAF"/>
    <w:rsid w:val="00042269"/>
    <w:rsid w:val="00042C9C"/>
    <w:rsid w:val="000432D4"/>
    <w:rsid w:val="00043598"/>
    <w:rsid w:val="00043F61"/>
    <w:rsid w:val="000444EF"/>
    <w:rsid w:val="000452D5"/>
    <w:rsid w:val="00045D4F"/>
    <w:rsid w:val="00045F26"/>
    <w:rsid w:val="000467AF"/>
    <w:rsid w:val="00046EB8"/>
    <w:rsid w:val="00047A60"/>
    <w:rsid w:val="000508FB"/>
    <w:rsid w:val="00050D80"/>
    <w:rsid w:val="00051EA8"/>
    <w:rsid w:val="000520AE"/>
    <w:rsid w:val="00052822"/>
    <w:rsid w:val="00052A3F"/>
    <w:rsid w:val="00053862"/>
    <w:rsid w:val="0005416D"/>
    <w:rsid w:val="00054D19"/>
    <w:rsid w:val="00054E81"/>
    <w:rsid w:val="00055A4A"/>
    <w:rsid w:val="00057806"/>
    <w:rsid w:val="00057AB2"/>
    <w:rsid w:val="00057D7B"/>
    <w:rsid w:val="00061AEC"/>
    <w:rsid w:val="000622F2"/>
    <w:rsid w:val="00062EE9"/>
    <w:rsid w:val="000632B0"/>
    <w:rsid w:val="00063A9F"/>
    <w:rsid w:val="000653E0"/>
    <w:rsid w:val="000655B0"/>
    <w:rsid w:val="00065932"/>
    <w:rsid w:val="00065EEE"/>
    <w:rsid w:val="0006705D"/>
    <w:rsid w:val="000678C2"/>
    <w:rsid w:val="00070EE2"/>
    <w:rsid w:val="000710CA"/>
    <w:rsid w:val="00071DB2"/>
    <w:rsid w:val="0007257D"/>
    <w:rsid w:val="00072A02"/>
    <w:rsid w:val="00072DB9"/>
    <w:rsid w:val="00073F6A"/>
    <w:rsid w:val="0007405F"/>
    <w:rsid w:val="000748B7"/>
    <w:rsid w:val="00074998"/>
    <w:rsid w:val="0007515F"/>
    <w:rsid w:val="00075369"/>
    <w:rsid w:val="000756F1"/>
    <w:rsid w:val="00075AF1"/>
    <w:rsid w:val="0007659B"/>
    <w:rsid w:val="00076FB2"/>
    <w:rsid w:val="0007726D"/>
    <w:rsid w:val="00077390"/>
    <w:rsid w:val="0007762E"/>
    <w:rsid w:val="00077EF2"/>
    <w:rsid w:val="0008198D"/>
    <w:rsid w:val="00081AEE"/>
    <w:rsid w:val="00081E2E"/>
    <w:rsid w:val="00082303"/>
    <w:rsid w:val="00082896"/>
    <w:rsid w:val="00082E1F"/>
    <w:rsid w:val="00082E94"/>
    <w:rsid w:val="00083136"/>
    <w:rsid w:val="00084424"/>
    <w:rsid w:val="00084432"/>
    <w:rsid w:val="0008512C"/>
    <w:rsid w:val="00085A27"/>
    <w:rsid w:val="000860DE"/>
    <w:rsid w:val="0008636F"/>
    <w:rsid w:val="000868BA"/>
    <w:rsid w:val="00086E34"/>
    <w:rsid w:val="00087644"/>
    <w:rsid w:val="00090EC7"/>
    <w:rsid w:val="000914B1"/>
    <w:rsid w:val="000919D5"/>
    <w:rsid w:val="000926D5"/>
    <w:rsid w:val="00092813"/>
    <w:rsid w:val="000948DC"/>
    <w:rsid w:val="000950B0"/>
    <w:rsid w:val="0009531C"/>
    <w:rsid w:val="0009644A"/>
    <w:rsid w:val="00097ABF"/>
    <w:rsid w:val="00097CEC"/>
    <w:rsid w:val="000A0DE1"/>
    <w:rsid w:val="000A18DD"/>
    <w:rsid w:val="000A1AEF"/>
    <w:rsid w:val="000A242F"/>
    <w:rsid w:val="000A2829"/>
    <w:rsid w:val="000A29D6"/>
    <w:rsid w:val="000A4E76"/>
    <w:rsid w:val="000A6631"/>
    <w:rsid w:val="000A6C9D"/>
    <w:rsid w:val="000A777D"/>
    <w:rsid w:val="000B0153"/>
    <w:rsid w:val="000B0A65"/>
    <w:rsid w:val="000B0E2F"/>
    <w:rsid w:val="000B1235"/>
    <w:rsid w:val="000B1885"/>
    <w:rsid w:val="000B28A0"/>
    <w:rsid w:val="000B4721"/>
    <w:rsid w:val="000B4E30"/>
    <w:rsid w:val="000B6834"/>
    <w:rsid w:val="000B7A2F"/>
    <w:rsid w:val="000B7C29"/>
    <w:rsid w:val="000B7C30"/>
    <w:rsid w:val="000C0852"/>
    <w:rsid w:val="000C1389"/>
    <w:rsid w:val="000C201B"/>
    <w:rsid w:val="000C3B51"/>
    <w:rsid w:val="000C3D7B"/>
    <w:rsid w:val="000C4445"/>
    <w:rsid w:val="000C4741"/>
    <w:rsid w:val="000C4C68"/>
    <w:rsid w:val="000C60E3"/>
    <w:rsid w:val="000C64D1"/>
    <w:rsid w:val="000C6A00"/>
    <w:rsid w:val="000C738A"/>
    <w:rsid w:val="000C7FA9"/>
    <w:rsid w:val="000D0E1C"/>
    <w:rsid w:val="000D1FB9"/>
    <w:rsid w:val="000D31CD"/>
    <w:rsid w:val="000D44E9"/>
    <w:rsid w:val="000D5626"/>
    <w:rsid w:val="000D5F0B"/>
    <w:rsid w:val="000D652D"/>
    <w:rsid w:val="000D6FDD"/>
    <w:rsid w:val="000D743E"/>
    <w:rsid w:val="000E0AA2"/>
    <w:rsid w:val="000E1C4F"/>
    <w:rsid w:val="000E2630"/>
    <w:rsid w:val="000E2A32"/>
    <w:rsid w:val="000E3910"/>
    <w:rsid w:val="000E3E91"/>
    <w:rsid w:val="000E4798"/>
    <w:rsid w:val="000E682D"/>
    <w:rsid w:val="000E74F3"/>
    <w:rsid w:val="000E77B2"/>
    <w:rsid w:val="000E78D4"/>
    <w:rsid w:val="000E7C7B"/>
    <w:rsid w:val="000E7F36"/>
    <w:rsid w:val="000F101A"/>
    <w:rsid w:val="000F10BC"/>
    <w:rsid w:val="000F12DC"/>
    <w:rsid w:val="000F1D5B"/>
    <w:rsid w:val="000F2263"/>
    <w:rsid w:val="000F28AD"/>
    <w:rsid w:val="000F3614"/>
    <w:rsid w:val="000F3DD0"/>
    <w:rsid w:val="000F40E8"/>
    <w:rsid w:val="000F4737"/>
    <w:rsid w:val="000F4E1C"/>
    <w:rsid w:val="000F53E0"/>
    <w:rsid w:val="000F53FF"/>
    <w:rsid w:val="000F5FA9"/>
    <w:rsid w:val="000F61CE"/>
    <w:rsid w:val="000F6BF2"/>
    <w:rsid w:val="00100E1D"/>
    <w:rsid w:val="00101C1D"/>
    <w:rsid w:val="00101E5A"/>
    <w:rsid w:val="001040ED"/>
    <w:rsid w:val="001044C7"/>
    <w:rsid w:val="00105459"/>
    <w:rsid w:val="00105D17"/>
    <w:rsid w:val="00106014"/>
    <w:rsid w:val="001060CA"/>
    <w:rsid w:val="0010639B"/>
    <w:rsid w:val="001063AF"/>
    <w:rsid w:val="001068E0"/>
    <w:rsid w:val="00106AE7"/>
    <w:rsid w:val="00106C69"/>
    <w:rsid w:val="00107F5B"/>
    <w:rsid w:val="001101FB"/>
    <w:rsid w:val="0011072D"/>
    <w:rsid w:val="00110D59"/>
    <w:rsid w:val="00112945"/>
    <w:rsid w:val="00112FD2"/>
    <w:rsid w:val="001134C5"/>
    <w:rsid w:val="001135DF"/>
    <w:rsid w:val="00113917"/>
    <w:rsid w:val="00113C6F"/>
    <w:rsid w:val="001156D2"/>
    <w:rsid w:val="00115B38"/>
    <w:rsid w:val="00116DE9"/>
    <w:rsid w:val="00117406"/>
    <w:rsid w:val="00117FDA"/>
    <w:rsid w:val="00120159"/>
    <w:rsid w:val="001206EB"/>
    <w:rsid w:val="00121A8F"/>
    <w:rsid w:val="001224AA"/>
    <w:rsid w:val="00122530"/>
    <w:rsid w:val="00122ACB"/>
    <w:rsid w:val="00123012"/>
    <w:rsid w:val="00123551"/>
    <w:rsid w:val="00123C04"/>
    <w:rsid w:val="0012483D"/>
    <w:rsid w:val="00125247"/>
    <w:rsid w:val="001268E9"/>
    <w:rsid w:val="001275D5"/>
    <w:rsid w:val="00127E9C"/>
    <w:rsid w:val="00131E20"/>
    <w:rsid w:val="00131F80"/>
    <w:rsid w:val="001323C2"/>
    <w:rsid w:val="00132748"/>
    <w:rsid w:val="00134D8C"/>
    <w:rsid w:val="00134FBD"/>
    <w:rsid w:val="00136FFB"/>
    <w:rsid w:val="00137ED4"/>
    <w:rsid w:val="00140631"/>
    <w:rsid w:val="00140BDD"/>
    <w:rsid w:val="00141205"/>
    <w:rsid w:val="001415DB"/>
    <w:rsid w:val="00141896"/>
    <w:rsid w:val="00141BB9"/>
    <w:rsid w:val="00142869"/>
    <w:rsid w:val="001430E6"/>
    <w:rsid w:val="001432D6"/>
    <w:rsid w:val="0014411C"/>
    <w:rsid w:val="00145715"/>
    <w:rsid w:val="00145E48"/>
    <w:rsid w:val="00146BEC"/>
    <w:rsid w:val="00147213"/>
    <w:rsid w:val="00147E17"/>
    <w:rsid w:val="001502A1"/>
    <w:rsid w:val="00150A27"/>
    <w:rsid w:val="00150F58"/>
    <w:rsid w:val="001518F0"/>
    <w:rsid w:val="00152F3C"/>
    <w:rsid w:val="00152F5E"/>
    <w:rsid w:val="00153596"/>
    <w:rsid w:val="001538F5"/>
    <w:rsid w:val="00154EBE"/>
    <w:rsid w:val="0015547E"/>
    <w:rsid w:val="00155DCC"/>
    <w:rsid w:val="00155E2E"/>
    <w:rsid w:val="00156135"/>
    <w:rsid w:val="00156CF5"/>
    <w:rsid w:val="00157DED"/>
    <w:rsid w:val="00160077"/>
    <w:rsid w:val="001609A9"/>
    <w:rsid w:val="00161335"/>
    <w:rsid w:val="00162009"/>
    <w:rsid w:val="00163087"/>
    <w:rsid w:val="00163FB4"/>
    <w:rsid w:val="00170D1F"/>
    <w:rsid w:val="00171108"/>
    <w:rsid w:val="001711D7"/>
    <w:rsid w:val="00171BE4"/>
    <w:rsid w:val="0017231F"/>
    <w:rsid w:val="001727AA"/>
    <w:rsid w:val="00172CAA"/>
    <w:rsid w:val="00172FE2"/>
    <w:rsid w:val="00174790"/>
    <w:rsid w:val="00174CD5"/>
    <w:rsid w:val="00174F79"/>
    <w:rsid w:val="0017515D"/>
    <w:rsid w:val="0017611D"/>
    <w:rsid w:val="0017693C"/>
    <w:rsid w:val="00177ABE"/>
    <w:rsid w:val="00177B5F"/>
    <w:rsid w:val="00180823"/>
    <w:rsid w:val="0018085E"/>
    <w:rsid w:val="0018108F"/>
    <w:rsid w:val="001822F4"/>
    <w:rsid w:val="00182325"/>
    <w:rsid w:val="0018385E"/>
    <w:rsid w:val="00184C98"/>
    <w:rsid w:val="00184EB3"/>
    <w:rsid w:val="00185094"/>
    <w:rsid w:val="001853C9"/>
    <w:rsid w:val="0018577A"/>
    <w:rsid w:val="00185D9F"/>
    <w:rsid w:val="00186760"/>
    <w:rsid w:val="001867FE"/>
    <w:rsid w:val="00187379"/>
    <w:rsid w:val="0018745C"/>
    <w:rsid w:val="001908CD"/>
    <w:rsid w:val="00190E27"/>
    <w:rsid w:val="00191278"/>
    <w:rsid w:val="001919BF"/>
    <w:rsid w:val="00191F42"/>
    <w:rsid w:val="001942FB"/>
    <w:rsid w:val="0019456B"/>
    <w:rsid w:val="00194F78"/>
    <w:rsid w:val="001951C9"/>
    <w:rsid w:val="00195279"/>
    <w:rsid w:val="00195B48"/>
    <w:rsid w:val="001972D8"/>
    <w:rsid w:val="001A00AD"/>
    <w:rsid w:val="001A010A"/>
    <w:rsid w:val="001A0385"/>
    <w:rsid w:val="001A316F"/>
    <w:rsid w:val="001A3C0B"/>
    <w:rsid w:val="001A58CD"/>
    <w:rsid w:val="001A58D4"/>
    <w:rsid w:val="001A6105"/>
    <w:rsid w:val="001A662F"/>
    <w:rsid w:val="001A7581"/>
    <w:rsid w:val="001B150B"/>
    <w:rsid w:val="001B1A62"/>
    <w:rsid w:val="001B225D"/>
    <w:rsid w:val="001B25F2"/>
    <w:rsid w:val="001B3C3F"/>
    <w:rsid w:val="001B3CAC"/>
    <w:rsid w:val="001B4B9E"/>
    <w:rsid w:val="001B4FCB"/>
    <w:rsid w:val="001B5023"/>
    <w:rsid w:val="001B565F"/>
    <w:rsid w:val="001B70E8"/>
    <w:rsid w:val="001B7418"/>
    <w:rsid w:val="001B7A0E"/>
    <w:rsid w:val="001B7B04"/>
    <w:rsid w:val="001C148B"/>
    <w:rsid w:val="001C1C48"/>
    <w:rsid w:val="001C279D"/>
    <w:rsid w:val="001C2E03"/>
    <w:rsid w:val="001C3E8E"/>
    <w:rsid w:val="001C6512"/>
    <w:rsid w:val="001C6A8D"/>
    <w:rsid w:val="001C759C"/>
    <w:rsid w:val="001D03BC"/>
    <w:rsid w:val="001D1DD8"/>
    <w:rsid w:val="001D2FA0"/>
    <w:rsid w:val="001D317D"/>
    <w:rsid w:val="001D35D9"/>
    <w:rsid w:val="001D4099"/>
    <w:rsid w:val="001D4A13"/>
    <w:rsid w:val="001D50D9"/>
    <w:rsid w:val="001D628C"/>
    <w:rsid w:val="001D6D51"/>
    <w:rsid w:val="001D78D7"/>
    <w:rsid w:val="001D7C83"/>
    <w:rsid w:val="001E0424"/>
    <w:rsid w:val="001E0A15"/>
    <w:rsid w:val="001E1F89"/>
    <w:rsid w:val="001E2151"/>
    <w:rsid w:val="001E25DA"/>
    <w:rsid w:val="001E3480"/>
    <w:rsid w:val="001E3F1E"/>
    <w:rsid w:val="001E4358"/>
    <w:rsid w:val="001E45C5"/>
    <w:rsid w:val="001E503B"/>
    <w:rsid w:val="001F0E0B"/>
    <w:rsid w:val="001F15CA"/>
    <w:rsid w:val="001F1731"/>
    <w:rsid w:val="001F1E9B"/>
    <w:rsid w:val="001F2855"/>
    <w:rsid w:val="001F392E"/>
    <w:rsid w:val="001F3D58"/>
    <w:rsid w:val="001F4555"/>
    <w:rsid w:val="001F4D9D"/>
    <w:rsid w:val="001F4FE0"/>
    <w:rsid w:val="001F556F"/>
    <w:rsid w:val="001F56D9"/>
    <w:rsid w:val="001F5700"/>
    <w:rsid w:val="001F5F3F"/>
    <w:rsid w:val="001F6AC6"/>
    <w:rsid w:val="001F6EC4"/>
    <w:rsid w:val="001F71BB"/>
    <w:rsid w:val="001F7796"/>
    <w:rsid w:val="0020088A"/>
    <w:rsid w:val="0020212F"/>
    <w:rsid w:val="002024C2"/>
    <w:rsid w:val="002025AB"/>
    <w:rsid w:val="00202BD1"/>
    <w:rsid w:val="00203202"/>
    <w:rsid w:val="00204573"/>
    <w:rsid w:val="00204EEC"/>
    <w:rsid w:val="0020508E"/>
    <w:rsid w:val="00206ECA"/>
    <w:rsid w:val="00207F9E"/>
    <w:rsid w:val="00210076"/>
    <w:rsid w:val="00210752"/>
    <w:rsid w:val="002110E9"/>
    <w:rsid w:val="0021214A"/>
    <w:rsid w:val="00213E8F"/>
    <w:rsid w:val="00214BA7"/>
    <w:rsid w:val="0021532F"/>
    <w:rsid w:val="00216193"/>
    <w:rsid w:val="002163CF"/>
    <w:rsid w:val="002164B3"/>
    <w:rsid w:val="00216AAE"/>
    <w:rsid w:val="00216EA3"/>
    <w:rsid w:val="0022046C"/>
    <w:rsid w:val="002208DF"/>
    <w:rsid w:val="00220EB4"/>
    <w:rsid w:val="002218D5"/>
    <w:rsid w:val="00221A64"/>
    <w:rsid w:val="00222C23"/>
    <w:rsid w:val="00222CAF"/>
    <w:rsid w:val="00223B51"/>
    <w:rsid w:val="00223D0E"/>
    <w:rsid w:val="00224215"/>
    <w:rsid w:val="0022471E"/>
    <w:rsid w:val="0022495A"/>
    <w:rsid w:val="0022499D"/>
    <w:rsid w:val="00224C5C"/>
    <w:rsid w:val="00225A9D"/>
    <w:rsid w:val="002261C2"/>
    <w:rsid w:val="002265E0"/>
    <w:rsid w:val="00226BC5"/>
    <w:rsid w:val="00230336"/>
    <w:rsid w:val="00230B19"/>
    <w:rsid w:val="00231488"/>
    <w:rsid w:val="00231D8A"/>
    <w:rsid w:val="00232133"/>
    <w:rsid w:val="00232690"/>
    <w:rsid w:val="00232D1C"/>
    <w:rsid w:val="002336C2"/>
    <w:rsid w:val="002339FE"/>
    <w:rsid w:val="002342BC"/>
    <w:rsid w:val="00234545"/>
    <w:rsid w:val="00234A0E"/>
    <w:rsid w:val="00234A10"/>
    <w:rsid w:val="00236054"/>
    <w:rsid w:val="002362C0"/>
    <w:rsid w:val="002368A0"/>
    <w:rsid w:val="00236AB0"/>
    <w:rsid w:val="00236C5B"/>
    <w:rsid w:val="00236CBD"/>
    <w:rsid w:val="00237663"/>
    <w:rsid w:val="00237AEA"/>
    <w:rsid w:val="00240223"/>
    <w:rsid w:val="0024027F"/>
    <w:rsid w:val="002415D0"/>
    <w:rsid w:val="00241CD4"/>
    <w:rsid w:val="00241CEB"/>
    <w:rsid w:val="00242DD1"/>
    <w:rsid w:val="002430D1"/>
    <w:rsid w:val="00243D99"/>
    <w:rsid w:val="002452BC"/>
    <w:rsid w:val="00246B19"/>
    <w:rsid w:val="00247326"/>
    <w:rsid w:val="002474C9"/>
    <w:rsid w:val="002504E4"/>
    <w:rsid w:val="0025084B"/>
    <w:rsid w:val="0025138F"/>
    <w:rsid w:val="00252594"/>
    <w:rsid w:val="002539D5"/>
    <w:rsid w:val="00253FFA"/>
    <w:rsid w:val="002557BC"/>
    <w:rsid w:val="00255896"/>
    <w:rsid w:val="00256F80"/>
    <w:rsid w:val="00260536"/>
    <w:rsid w:val="00260763"/>
    <w:rsid w:val="0026175D"/>
    <w:rsid w:val="00263D01"/>
    <w:rsid w:val="00263DB5"/>
    <w:rsid w:val="002640A9"/>
    <w:rsid w:val="002644D1"/>
    <w:rsid w:val="0026463E"/>
    <w:rsid w:val="00264D8D"/>
    <w:rsid w:val="00265011"/>
    <w:rsid w:val="00267DA5"/>
    <w:rsid w:val="00270518"/>
    <w:rsid w:val="00270F27"/>
    <w:rsid w:val="00271395"/>
    <w:rsid w:val="00272757"/>
    <w:rsid w:val="00274521"/>
    <w:rsid w:val="00274CC4"/>
    <w:rsid w:val="00274D05"/>
    <w:rsid w:val="00275760"/>
    <w:rsid w:val="002771EC"/>
    <w:rsid w:val="002774F5"/>
    <w:rsid w:val="002775CB"/>
    <w:rsid w:val="00277730"/>
    <w:rsid w:val="002803F5"/>
    <w:rsid w:val="00280511"/>
    <w:rsid w:val="00280A44"/>
    <w:rsid w:val="00280AA7"/>
    <w:rsid w:val="00280F34"/>
    <w:rsid w:val="00281B21"/>
    <w:rsid w:val="002822BE"/>
    <w:rsid w:val="00283126"/>
    <w:rsid w:val="00283E5A"/>
    <w:rsid w:val="00284416"/>
    <w:rsid w:val="00284665"/>
    <w:rsid w:val="002847F3"/>
    <w:rsid w:val="00284B99"/>
    <w:rsid w:val="0028533B"/>
    <w:rsid w:val="00285E7E"/>
    <w:rsid w:val="00285F2B"/>
    <w:rsid w:val="002870EF"/>
    <w:rsid w:val="0028729B"/>
    <w:rsid w:val="0028756A"/>
    <w:rsid w:val="00287C50"/>
    <w:rsid w:val="00290393"/>
    <w:rsid w:val="00290BEB"/>
    <w:rsid w:val="00291A9B"/>
    <w:rsid w:val="00291B10"/>
    <w:rsid w:val="002926CC"/>
    <w:rsid w:val="002944E3"/>
    <w:rsid w:val="00294F26"/>
    <w:rsid w:val="002958FD"/>
    <w:rsid w:val="002962B1"/>
    <w:rsid w:val="00296706"/>
    <w:rsid w:val="00297B58"/>
    <w:rsid w:val="002A1871"/>
    <w:rsid w:val="002A237D"/>
    <w:rsid w:val="002A27B6"/>
    <w:rsid w:val="002A3A29"/>
    <w:rsid w:val="002A3AD3"/>
    <w:rsid w:val="002A494E"/>
    <w:rsid w:val="002A4CDE"/>
    <w:rsid w:val="002A5857"/>
    <w:rsid w:val="002A6E36"/>
    <w:rsid w:val="002A7EF0"/>
    <w:rsid w:val="002B079E"/>
    <w:rsid w:val="002B0A5F"/>
    <w:rsid w:val="002B0D12"/>
    <w:rsid w:val="002B21A6"/>
    <w:rsid w:val="002B42C3"/>
    <w:rsid w:val="002B4DD8"/>
    <w:rsid w:val="002B5336"/>
    <w:rsid w:val="002B5A4C"/>
    <w:rsid w:val="002B6BA5"/>
    <w:rsid w:val="002C15D2"/>
    <w:rsid w:val="002C1CCD"/>
    <w:rsid w:val="002C1DF2"/>
    <w:rsid w:val="002C2BCA"/>
    <w:rsid w:val="002C34F2"/>
    <w:rsid w:val="002C3DB9"/>
    <w:rsid w:val="002C505E"/>
    <w:rsid w:val="002C51AF"/>
    <w:rsid w:val="002C545D"/>
    <w:rsid w:val="002C5489"/>
    <w:rsid w:val="002C5B3D"/>
    <w:rsid w:val="002C5EB2"/>
    <w:rsid w:val="002C73A8"/>
    <w:rsid w:val="002C77F3"/>
    <w:rsid w:val="002D0444"/>
    <w:rsid w:val="002D0C68"/>
    <w:rsid w:val="002D150F"/>
    <w:rsid w:val="002D266F"/>
    <w:rsid w:val="002D2DC7"/>
    <w:rsid w:val="002D406D"/>
    <w:rsid w:val="002D57CE"/>
    <w:rsid w:val="002D6481"/>
    <w:rsid w:val="002D6503"/>
    <w:rsid w:val="002D7B18"/>
    <w:rsid w:val="002D7FBC"/>
    <w:rsid w:val="002E061D"/>
    <w:rsid w:val="002E0BE2"/>
    <w:rsid w:val="002E18D3"/>
    <w:rsid w:val="002E1B84"/>
    <w:rsid w:val="002E1E9E"/>
    <w:rsid w:val="002E1EF8"/>
    <w:rsid w:val="002E2DCD"/>
    <w:rsid w:val="002E42A8"/>
    <w:rsid w:val="002E49D5"/>
    <w:rsid w:val="002E4F81"/>
    <w:rsid w:val="002E50D4"/>
    <w:rsid w:val="002E5681"/>
    <w:rsid w:val="002E6292"/>
    <w:rsid w:val="002E67EC"/>
    <w:rsid w:val="002E689A"/>
    <w:rsid w:val="002E6CFE"/>
    <w:rsid w:val="002E7835"/>
    <w:rsid w:val="002F1067"/>
    <w:rsid w:val="002F1479"/>
    <w:rsid w:val="002F16BA"/>
    <w:rsid w:val="002F16D2"/>
    <w:rsid w:val="002F1D9C"/>
    <w:rsid w:val="002F1F58"/>
    <w:rsid w:val="002F29F0"/>
    <w:rsid w:val="002F3E7C"/>
    <w:rsid w:val="002F3FB7"/>
    <w:rsid w:val="002F4A5D"/>
    <w:rsid w:val="002F5BFA"/>
    <w:rsid w:val="002F6250"/>
    <w:rsid w:val="002F692B"/>
    <w:rsid w:val="002F77F8"/>
    <w:rsid w:val="003000AB"/>
    <w:rsid w:val="003002B7"/>
    <w:rsid w:val="0030067C"/>
    <w:rsid w:val="003020FF"/>
    <w:rsid w:val="003021B6"/>
    <w:rsid w:val="00303032"/>
    <w:rsid w:val="00303EB3"/>
    <w:rsid w:val="003043DF"/>
    <w:rsid w:val="0030446D"/>
    <w:rsid w:val="00304EE5"/>
    <w:rsid w:val="003060B6"/>
    <w:rsid w:val="003063C3"/>
    <w:rsid w:val="0030658D"/>
    <w:rsid w:val="00306842"/>
    <w:rsid w:val="00306BF2"/>
    <w:rsid w:val="003070B3"/>
    <w:rsid w:val="00307A38"/>
    <w:rsid w:val="00310DD8"/>
    <w:rsid w:val="00313557"/>
    <w:rsid w:val="00313561"/>
    <w:rsid w:val="00313EEF"/>
    <w:rsid w:val="003149B2"/>
    <w:rsid w:val="00314BA8"/>
    <w:rsid w:val="0031526A"/>
    <w:rsid w:val="00315EC0"/>
    <w:rsid w:val="00315FD5"/>
    <w:rsid w:val="00317D11"/>
    <w:rsid w:val="00317EC7"/>
    <w:rsid w:val="003216CE"/>
    <w:rsid w:val="00321FA4"/>
    <w:rsid w:val="003225F2"/>
    <w:rsid w:val="00322691"/>
    <w:rsid w:val="00322BAC"/>
    <w:rsid w:val="00322C78"/>
    <w:rsid w:val="00324266"/>
    <w:rsid w:val="003255F1"/>
    <w:rsid w:val="00326323"/>
    <w:rsid w:val="00326393"/>
    <w:rsid w:val="003275B5"/>
    <w:rsid w:val="0032784C"/>
    <w:rsid w:val="00327E25"/>
    <w:rsid w:val="00330184"/>
    <w:rsid w:val="00330441"/>
    <w:rsid w:val="00331A11"/>
    <w:rsid w:val="00331FA2"/>
    <w:rsid w:val="00332965"/>
    <w:rsid w:val="00332B31"/>
    <w:rsid w:val="00333FBF"/>
    <w:rsid w:val="00334236"/>
    <w:rsid w:val="00334ED1"/>
    <w:rsid w:val="003363E9"/>
    <w:rsid w:val="00340383"/>
    <w:rsid w:val="003409F0"/>
    <w:rsid w:val="00340AC0"/>
    <w:rsid w:val="00340B27"/>
    <w:rsid w:val="00341C79"/>
    <w:rsid w:val="003427E7"/>
    <w:rsid w:val="00342817"/>
    <w:rsid w:val="00342A32"/>
    <w:rsid w:val="00342CBE"/>
    <w:rsid w:val="00342FC3"/>
    <w:rsid w:val="00343CE3"/>
    <w:rsid w:val="00343F2D"/>
    <w:rsid w:val="003444B5"/>
    <w:rsid w:val="00345D66"/>
    <w:rsid w:val="00345D94"/>
    <w:rsid w:val="00345FF9"/>
    <w:rsid w:val="0034605B"/>
    <w:rsid w:val="00346982"/>
    <w:rsid w:val="003471B9"/>
    <w:rsid w:val="00347B05"/>
    <w:rsid w:val="00350793"/>
    <w:rsid w:val="00350AA5"/>
    <w:rsid w:val="0035193F"/>
    <w:rsid w:val="00351E20"/>
    <w:rsid w:val="0035206F"/>
    <w:rsid w:val="0035328F"/>
    <w:rsid w:val="0035336C"/>
    <w:rsid w:val="0035434D"/>
    <w:rsid w:val="0035571C"/>
    <w:rsid w:val="00355B57"/>
    <w:rsid w:val="00356B27"/>
    <w:rsid w:val="00356F8F"/>
    <w:rsid w:val="0036002D"/>
    <w:rsid w:val="00360C09"/>
    <w:rsid w:val="003614F1"/>
    <w:rsid w:val="0036151B"/>
    <w:rsid w:val="00361C3E"/>
    <w:rsid w:val="00362304"/>
    <w:rsid w:val="0036369C"/>
    <w:rsid w:val="00363FE6"/>
    <w:rsid w:val="003645A6"/>
    <w:rsid w:val="003654BD"/>
    <w:rsid w:val="00365BF1"/>
    <w:rsid w:val="00366E38"/>
    <w:rsid w:val="0036720B"/>
    <w:rsid w:val="00370CCE"/>
    <w:rsid w:val="003712C5"/>
    <w:rsid w:val="0037145A"/>
    <w:rsid w:val="00371D81"/>
    <w:rsid w:val="00371E5D"/>
    <w:rsid w:val="003729E3"/>
    <w:rsid w:val="00372D83"/>
    <w:rsid w:val="00373218"/>
    <w:rsid w:val="00373B46"/>
    <w:rsid w:val="00374983"/>
    <w:rsid w:val="00374CFC"/>
    <w:rsid w:val="00375032"/>
    <w:rsid w:val="0037625D"/>
    <w:rsid w:val="00376CF0"/>
    <w:rsid w:val="00377174"/>
    <w:rsid w:val="00380664"/>
    <w:rsid w:val="00380959"/>
    <w:rsid w:val="00382842"/>
    <w:rsid w:val="003830D6"/>
    <w:rsid w:val="0038342A"/>
    <w:rsid w:val="00383BE4"/>
    <w:rsid w:val="0038418D"/>
    <w:rsid w:val="00385BDD"/>
    <w:rsid w:val="0038678F"/>
    <w:rsid w:val="0038707A"/>
    <w:rsid w:val="003871D7"/>
    <w:rsid w:val="003872E8"/>
    <w:rsid w:val="00387A1E"/>
    <w:rsid w:val="00387CC2"/>
    <w:rsid w:val="003901D6"/>
    <w:rsid w:val="0039087B"/>
    <w:rsid w:val="00390DED"/>
    <w:rsid w:val="00392353"/>
    <w:rsid w:val="0039408A"/>
    <w:rsid w:val="00394E1E"/>
    <w:rsid w:val="00396AD8"/>
    <w:rsid w:val="00397702"/>
    <w:rsid w:val="00397F50"/>
    <w:rsid w:val="003A009C"/>
    <w:rsid w:val="003A0A14"/>
    <w:rsid w:val="003A0C50"/>
    <w:rsid w:val="003A0FB4"/>
    <w:rsid w:val="003A3B9C"/>
    <w:rsid w:val="003A4A55"/>
    <w:rsid w:val="003A4E9B"/>
    <w:rsid w:val="003A611C"/>
    <w:rsid w:val="003A73F2"/>
    <w:rsid w:val="003A79A2"/>
    <w:rsid w:val="003B0965"/>
    <w:rsid w:val="003B3C37"/>
    <w:rsid w:val="003B41C7"/>
    <w:rsid w:val="003B4490"/>
    <w:rsid w:val="003B49F9"/>
    <w:rsid w:val="003B506A"/>
    <w:rsid w:val="003B56B0"/>
    <w:rsid w:val="003B5EEF"/>
    <w:rsid w:val="003B60B4"/>
    <w:rsid w:val="003B705E"/>
    <w:rsid w:val="003B7CA6"/>
    <w:rsid w:val="003C0B2F"/>
    <w:rsid w:val="003C0C72"/>
    <w:rsid w:val="003C1536"/>
    <w:rsid w:val="003C1AC1"/>
    <w:rsid w:val="003C2090"/>
    <w:rsid w:val="003C2D45"/>
    <w:rsid w:val="003C37D1"/>
    <w:rsid w:val="003C3EC5"/>
    <w:rsid w:val="003C6073"/>
    <w:rsid w:val="003C6103"/>
    <w:rsid w:val="003C61CB"/>
    <w:rsid w:val="003D1930"/>
    <w:rsid w:val="003D1F18"/>
    <w:rsid w:val="003D31EF"/>
    <w:rsid w:val="003D4AF1"/>
    <w:rsid w:val="003D4CF7"/>
    <w:rsid w:val="003D5041"/>
    <w:rsid w:val="003D62D4"/>
    <w:rsid w:val="003D6BAF"/>
    <w:rsid w:val="003D6BF6"/>
    <w:rsid w:val="003D7E73"/>
    <w:rsid w:val="003E0C07"/>
    <w:rsid w:val="003E1821"/>
    <w:rsid w:val="003E3CDF"/>
    <w:rsid w:val="003E4A73"/>
    <w:rsid w:val="003E4A81"/>
    <w:rsid w:val="003E4DE5"/>
    <w:rsid w:val="003E4F07"/>
    <w:rsid w:val="003E51E4"/>
    <w:rsid w:val="003E5420"/>
    <w:rsid w:val="003E633A"/>
    <w:rsid w:val="003E7890"/>
    <w:rsid w:val="003F11AC"/>
    <w:rsid w:val="003F184E"/>
    <w:rsid w:val="003F1D8A"/>
    <w:rsid w:val="003F1EE7"/>
    <w:rsid w:val="003F2B48"/>
    <w:rsid w:val="003F50A9"/>
    <w:rsid w:val="003F64F3"/>
    <w:rsid w:val="003F7E37"/>
    <w:rsid w:val="004002FD"/>
    <w:rsid w:val="00400481"/>
    <w:rsid w:val="0040053F"/>
    <w:rsid w:val="00401246"/>
    <w:rsid w:val="004020A8"/>
    <w:rsid w:val="00402387"/>
    <w:rsid w:val="00402913"/>
    <w:rsid w:val="00402D68"/>
    <w:rsid w:val="00402F31"/>
    <w:rsid w:val="00403699"/>
    <w:rsid w:val="00404B4D"/>
    <w:rsid w:val="0040621D"/>
    <w:rsid w:val="0040683C"/>
    <w:rsid w:val="00406E7B"/>
    <w:rsid w:val="00407651"/>
    <w:rsid w:val="00411369"/>
    <w:rsid w:val="00412B32"/>
    <w:rsid w:val="00414C8B"/>
    <w:rsid w:val="00415C1A"/>
    <w:rsid w:val="00415C25"/>
    <w:rsid w:val="00415C49"/>
    <w:rsid w:val="004160E4"/>
    <w:rsid w:val="00416B5D"/>
    <w:rsid w:val="0041767F"/>
    <w:rsid w:val="004178B1"/>
    <w:rsid w:val="00417EA6"/>
    <w:rsid w:val="004201E3"/>
    <w:rsid w:val="00420F28"/>
    <w:rsid w:val="00421AFB"/>
    <w:rsid w:val="0042214D"/>
    <w:rsid w:val="00423655"/>
    <w:rsid w:val="00424317"/>
    <w:rsid w:val="004259BB"/>
    <w:rsid w:val="00425D1C"/>
    <w:rsid w:val="004261FA"/>
    <w:rsid w:val="004264E8"/>
    <w:rsid w:val="00427582"/>
    <w:rsid w:val="004305CC"/>
    <w:rsid w:val="00431BBA"/>
    <w:rsid w:val="00432B49"/>
    <w:rsid w:val="00433650"/>
    <w:rsid w:val="00434685"/>
    <w:rsid w:val="0043475F"/>
    <w:rsid w:val="00434C14"/>
    <w:rsid w:val="004354A5"/>
    <w:rsid w:val="00435DC6"/>
    <w:rsid w:val="00435E0E"/>
    <w:rsid w:val="00436121"/>
    <w:rsid w:val="004363CA"/>
    <w:rsid w:val="0043677C"/>
    <w:rsid w:val="004375FB"/>
    <w:rsid w:val="00437697"/>
    <w:rsid w:val="0044026A"/>
    <w:rsid w:val="00440777"/>
    <w:rsid w:val="004407B0"/>
    <w:rsid w:val="00440C38"/>
    <w:rsid w:val="00441278"/>
    <w:rsid w:val="00441F6B"/>
    <w:rsid w:val="00442194"/>
    <w:rsid w:val="0044261F"/>
    <w:rsid w:val="00442BEF"/>
    <w:rsid w:val="00443893"/>
    <w:rsid w:val="0044433D"/>
    <w:rsid w:val="004448A2"/>
    <w:rsid w:val="00444F1E"/>
    <w:rsid w:val="00445088"/>
    <w:rsid w:val="00446673"/>
    <w:rsid w:val="004467A6"/>
    <w:rsid w:val="00446832"/>
    <w:rsid w:val="00446C87"/>
    <w:rsid w:val="00447674"/>
    <w:rsid w:val="00447B28"/>
    <w:rsid w:val="00447B7C"/>
    <w:rsid w:val="004500E3"/>
    <w:rsid w:val="00451131"/>
    <w:rsid w:val="00451A03"/>
    <w:rsid w:val="00451EB1"/>
    <w:rsid w:val="00452D04"/>
    <w:rsid w:val="00452D64"/>
    <w:rsid w:val="00452D96"/>
    <w:rsid w:val="00454417"/>
    <w:rsid w:val="00455A97"/>
    <w:rsid w:val="00455DD4"/>
    <w:rsid w:val="004569D7"/>
    <w:rsid w:val="00456FB6"/>
    <w:rsid w:val="004570DA"/>
    <w:rsid w:val="004608A8"/>
    <w:rsid w:val="00460CA4"/>
    <w:rsid w:val="00461279"/>
    <w:rsid w:val="00462184"/>
    <w:rsid w:val="004628C7"/>
    <w:rsid w:val="00462E08"/>
    <w:rsid w:val="004633D8"/>
    <w:rsid w:val="0046346D"/>
    <w:rsid w:val="00463E9C"/>
    <w:rsid w:val="00463E9F"/>
    <w:rsid w:val="004645D0"/>
    <w:rsid w:val="00464FD5"/>
    <w:rsid w:val="00466A67"/>
    <w:rsid w:val="00466B5D"/>
    <w:rsid w:val="00466EE1"/>
    <w:rsid w:val="0046766B"/>
    <w:rsid w:val="004701A1"/>
    <w:rsid w:val="004704B9"/>
    <w:rsid w:val="00470AF8"/>
    <w:rsid w:val="004710C6"/>
    <w:rsid w:val="00471145"/>
    <w:rsid w:val="004715DD"/>
    <w:rsid w:val="0047294A"/>
    <w:rsid w:val="00473770"/>
    <w:rsid w:val="00473CA3"/>
    <w:rsid w:val="00473DA2"/>
    <w:rsid w:val="0047425F"/>
    <w:rsid w:val="004749BA"/>
    <w:rsid w:val="00475C8A"/>
    <w:rsid w:val="00475E44"/>
    <w:rsid w:val="00476367"/>
    <w:rsid w:val="004767B6"/>
    <w:rsid w:val="00480816"/>
    <w:rsid w:val="00480F45"/>
    <w:rsid w:val="004817A3"/>
    <w:rsid w:val="00481FA9"/>
    <w:rsid w:val="0048211D"/>
    <w:rsid w:val="004821C7"/>
    <w:rsid w:val="00482B46"/>
    <w:rsid w:val="00483122"/>
    <w:rsid w:val="00483B5B"/>
    <w:rsid w:val="004847BC"/>
    <w:rsid w:val="00484B0F"/>
    <w:rsid w:val="00484CA9"/>
    <w:rsid w:val="00484FA9"/>
    <w:rsid w:val="004856D0"/>
    <w:rsid w:val="004859E8"/>
    <w:rsid w:val="00485F7F"/>
    <w:rsid w:val="00486380"/>
    <w:rsid w:val="00486595"/>
    <w:rsid w:val="0048669F"/>
    <w:rsid w:val="00486E58"/>
    <w:rsid w:val="004870DC"/>
    <w:rsid w:val="004872DF"/>
    <w:rsid w:val="0048784D"/>
    <w:rsid w:val="00487B38"/>
    <w:rsid w:val="004911E5"/>
    <w:rsid w:val="0049125B"/>
    <w:rsid w:val="0049154A"/>
    <w:rsid w:val="0049197E"/>
    <w:rsid w:val="0049256E"/>
    <w:rsid w:val="0049266A"/>
    <w:rsid w:val="00492824"/>
    <w:rsid w:val="00492BD0"/>
    <w:rsid w:val="0049337F"/>
    <w:rsid w:val="00493450"/>
    <w:rsid w:val="004943FC"/>
    <w:rsid w:val="00494FAB"/>
    <w:rsid w:val="00495CDD"/>
    <w:rsid w:val="00495D69"/>
    <w:rsid w:val="00496B25"/>
    <w:rsid w:val="00496B97"/>
    <w:rsid w:val="0049738C"/>
    <w:rsid w:val="004976BE"/>
    <w:rsid w:val="00497A3B"/>
    <w:rsid w:val="004A01A1"/>
    <w:rsid w:val="004A0C60"/>
    <w:rsid w:val="004A1E5F"/>
    <w:rsid w:val="004A2246"/>
    <w:rsid w:val="004A2487"/>
    <w:rsid w:val="004A25CB"/>
    <w:rsid w:val="004A25E3"/>
    <w:rsid w:val="004A25FC"/>
    <w:rsid w:val="004A31B8"/>
    <w:rsid w:val="004A40AD"/>
    <w:rsid w:val="004A4455"/>
    <w:rsid w:val="004A4638"/>
    <w:rsid w:val="004A49C6"/>
    <w:rsid w:val="004A5F33"/>
    <w:rsid w:val="004A6011"/>
    <w:rsid w:val="004A66AD"/>
    <w:rsid w:val="004A67FF"/>
    <w:rsid w:val="004A7159"/>
    <w:rsid w:val="004A783D"/>
    <w:rsid w:val="004A7A92"/>
    <w:rsid w:val="004B04EC"/>
    <w:rsid w:val="004B166E"/>
    <w:rsid w:val="004B17A9"/>
    <w:rsid w:val="004B3C8B"/>
    <w:rsid w:val="004B3F0F"/>
    <w:rsid w:val="004B4FD0"/>
    <w:rsid w:val="004B56CF"/>
    <w:rsid w:val="004B5D54"/>
    <w:rsid w:val="004B6628"/>
    <w:rsid w:val="004B76A1"/>
    <w:rsid w:val="004B7E89"/>
    <w:rsid w:val="004C0D9C"/>
    <w:rsid w:val="004C0F44"/>
    <w:rsid w:val="004C2067"/>
    <w:rsid w:val="004C25B0"/>
    <w:rsid w:val="004C2AA3"/>
    <w:rsid w:val="004C314F"/>
    <w:rsid w:val="004C3907"/>
    <w:rsid w:val="004C3E28"/>
    <w:rsid w:val="004C3E5B"/>
    <w:rsid w:val="004C42BE"/>
    <w:rsid w:val="004C518B"/>
    <w:rsid w:val="004C579B"/>
    <w:rsid w:val="004C64CB"/>
    <w:rsid w:val="004C6916"/>
    <w:rsid w:val="004C7FD6"/>
    <w:rsid w:val="004D03A0"/>
    <w:rsid w:val="004D0A1B"/>
    <w:rsid w:val="004D192A"/>
    <w:rsid w:val="004D205E"/>
    <w:rsid w:val="004D2660"/>
    <w:rsid w:val="004D3158"/>
    <w:rsid w:val="004D4867"/>
    <w:rsid w:val="004D57B6"/>
    <w:rsid w:val="004D6796"/>
    <w:rsid w:val="004D6D43"/>
    <w:rsid w:val="004E1EE4"/>
    <w:rsid w:val="004E2E48"/>
    <w:rsid w:val="004E3129"/>
    <w:rsid w:val="004E388A"/>
    <w:rsid w:val="004E3ADC"/>
    <w:rsid w:val="004E4542"/>
    <w:rsid w:val="004E5152"/>
    <w:rsid w:val="004E5169"/>
    <w:rsid w:val="004E5673"/>
    <w:rsid w:val="004E5EC0"/>
    <w:rsid w:val="004E6367"/>
    <w:rsid w:val="004E700A"/>
    <w:rsid w:val="004E7BBF"/>
    <w:rsid w:val="004E7C83"/>
    <w:rsid w:val="004F004C"/>
    <w:rsid w:val="004F0230"/>
    <w:rsid w:val="004F04AF"/>
    <w:rsid w:val="004F04CB"/>
    <w:rsid w:val="004F0529"/>
    <w:rsid w:val="004F076A"/>
    <w:rsid w:val="004F23DF"/>
    <w:rsid w:val="004F2894"/>
    <w:rsid w:val="004F2DB9"/>
    <w:rsid w:val="004F2DC4"/>
    <w:rsid w:val="004F3DEC"/>
    <w:rsid w:val="004F44E4"/>
    <w:rsid w:val="004F606D"/>
    <w:rsid w:val="004F7407"/>
    <w:rsid w:val="004F761D"/>
    <w:rsid w:val="004F7AE7"/>
    <w:rsid w:val="004F7B5D"/>
    <w:rsid w:val="004F7EBE"/>
    <w:rsid w:val="00500B1F"/>
    <w:rsid w:val="00500B60"/>
    <w:rsid w:val="00500CC7"/>
    <w:rsid w:val="0050175E"/>
    <w:rsid w:val="00501F82"/>
    <w:rsid w:val="00501F96"/>
    <w:rsid w:val="005020E8"/>
    <w:rsid w:val="005023E6"/>
    <w:rsid w:val="0050365E"/>
    <w:rsid w:val="005040D7"/>
    <w:rsid w:val="00504492"/>
    <w:rsid w:val="0050550A"/>
    <w:rsid w:val="00505BA8"/>
    <w:rsid w:val="00505C9B"/>
    <w:rsid w:val="00506103"/>
    <w:rsid w:val="00506960"/>
    <w:rsid w:val="00506D6C"/>
    <w:rsid w:val="00507927"/>
    <w:rsid w:val="00507EDE"/>
    <w:rsid w:val="005106C1"/>
    <w:rsid w:val="0051099C"/>
    <w:rsid w:val="00510BA2"/>
    <w:rsid w:val="00511007"/>
    <w:rsid w:val="005117C1"/>
    <w:rsid w:val="005120CD"/>
    <w:rsid w:val="00512842"/>
    <w:rsid w:val="005138D0"/>
    <w:rsid w:val="00513D6C"/>
    <w:rsid w:val="00513D71"/>
    <w:rsid w:val="00514D85"/>
    <w:rsid w:val="005152E7"/>
    <w:rsid w:val="005158F6"/>
    <w:rsid w:val="00515A91"/>
    <w:rsid w:val="00516496"/>
    <w:rsid w:val="00516D0F"/>
    <w:rsid w:val="0051746D"/>
    <w:rsid w:val="005174A2"/>
    <w:rsid w:val="005174D4"/>
    <w:rsid w:val="00517E83"/>
    <w:rsid w:val="005204D6"/>
    <w:rsid w:val="00520D15"/>
    <w:rsid w:val="00521290"/>
    <w:rsid w:val="0052144B"/>
    <w:rsid w:val="00521AFE"/>
    <w:rsid w:val="005226E1"/>
    <w:rsid w:val="00523DE1"/>
    <w:rsid w:val="00523E0F"/>
    <w:rsid w:val="005245EA"/>
    <w:rsid w:val="00524E1D"/>
    <w:rsid w:val="005252BB"/>
    <w:rsid w:val="005258C1"/>
    <w:rsid w:val="005264E8"/>
    <w:rsid w:val="00526F1E"/>
    <w:rsid w:val="00527598"/>
    <w:rsid w:val="00531A0A"/>
    <w:rsid w:val="00531A83"/>
    <w:rsid w:val="005324C7"/>
    <w:rsid w:val="00532AF9"/>
    <w:rsid w:val="00532EB5"/>
    <w:rsid w:val="00533134"/>
    <w:rsid w:val="0053333B"/>
    <w:rsid w:val="00533A6D"/>
    <w:rsid w:val="00533CBF"/>
    <w:rsid w:val="00534403"/>
    <w:rsid w:val="00534BD4"/>
    <w:rsid w:val="00534C39"/>
    <w:rsid w:val="00534CF8"/>
    <w:rsid w:val="00535008"/>
    <w:rsid w:val="00535557"/>
    <w:rsid w:val="0053592B"/>
    <w:rsid w:val="00535930"/>
    <w:rsid w:val="005359CB"/>
    <w:rsid w:val="005362F3"/>
    <w:rsid w:val="005365EF"/>
    <w:rsid w:val="0053682F"/>
    <w:rsid w:val="00537730"/>
    <w:rsid w:val="00542BD3"/>
    <w:rsid w:val="00543147"/>
    <w:rsid w:val="00543588"/>
    <w:rsid w:val="005438C9"/>
    <w:rsid w:val="00543C68"/>
    <w:rsid w:val="00543EFB"/>
    <w:rsid w:val="00545BEF"/>
    <w:rsid w:val="00545C0C"/>
    <w:rsid w:val="0054701A"/>
    <w:rsid w:val="005475B4"/>
    <w:rsid w:val="00547B29"/>
    <w:rsid w:val="00550BF9"/>
    <w:rsid w:val="00551273"/>
    <w:rsid w:val="00552CAA"/>
    <w:rsid w:val="00552D1D"/>
    <w:rsid w:val="00552F51"/>
    <w:rsid w:val="00553F46"/>
    <w:rsid w:val="005555EE"/>
    <w:rsid w:val="0055566E"/>
    <w:rsid w:val="00555EB6"/>
    <w:rsid w:val="00555F1C"/>
    <w:rsid w:val="00556FD8"/>
    <w:rsid w:val="00557220"/>
    <w:rsid w:val="005576F1"/>
    <w:rsid w:val="00560587"/>
    <w:rsid w:val="00561391"/>
    <w:rsid w:val="005619BA"/>
    <w:rsid w:val="00562E43"/>
    <w:rsid w:val="00563E6F"/>
    <w:rsid w:val="005649F1"/>
    <w:rsid w:val="0056508C"/>
    <w:rsid w:val="00565444"/>
    <w:rsid w:val="0056605E"/>
    <w:rsid w:val="00567000"/>
    <w:rsid w:val="005673C1"/>
    <w:rsid w:val="00567822"/>
    <w:rsid w:val="005704AD"/>
    <w:rsid w:val="00571080"/>
    <w:rsid w:val="00571102"/>
    <w:rsid w:val="005711F8"/>
    <w:rsid w:val="0057170D"/>
    <w:rsid w:val="00571C54"/>
    <w:rsid w:val="00571EDD"/>
    <w:rsid w:val="005725B5"/>
    <w:rsid w:val="005730E9"/>
    <w:rsid w:val="005735AF"/>
    <w:rsid w:val="00573AED"/>
    <w:rsid w:val="00574247"/>
    <w:rsid w:val="00574997"/>
    <w:rsid w:val="00575224"/>
    <w:rsid w:val="00575679"/>
    <w:rsid w:val="00576154"/>
    <w:rsid w:val="00576191"/>
    <w:rsid w:val="005761B8"/>
    <w:rsid w:val="00576413"/>
    <w:rsid w:val="00577054"/>
    <w:rsid w:val="00577670"/>
    <w:rsid w:val="00577A97"/>
    <w:rsid w:val="0058082C"/>
    <w:rsid w:val="005816D5"/>
    <w:rsid w:val="00581EE0"/>
    <w:rsid w:val="00582346"/>
    <w:rsid w:val="00582D73"/>
    <w:rsid w:val="005830AB"/>
    <w:rsid w:val="0058409A"/>
    <w:rsid w:val="0058417B"/>
    <w:rsid w:val="005843F8"/>
    <w:rsid w:val="00584C2E"/>
    <w:rsid w:val="005865F3"/>
    <w:rsid w:val="0058713C"/>
    <w:rsid w:val="00587B17"/>
    <w:rsid w:val="00590E7B"/>
    <w:rsid w:val="0059163E"/>
    <w:rsid w:val="00592643"/>
    <w:rsid w:val="00592661"/>
    <w:rsid w:val="005927D5"/>
    <w:rsid w:val="00592B62"/>
    <w:rsid w:val="00592E3B"/>
    <w:rsid w:val="00594067"/>
    <w:rsid w:val="005945EF"/>
    <w:rsid w:val="0059586D"/>
    <w:rsid w:val="00595A80"/>
    <w:rsid w:val="00595DD0"/>
    <w:rsid w:val="00597819"/>
    <w:rsid w:val="00597BF5"/>
    <w:rsid w:val="005A2316"/>
    <w:rsid w:val="005A26CA"/>
    <w:rsid w:val="005A27C6"/>
    <w:rsid w:val="005A2EE8"/>
    <w:rsid w:val="005A33A3"/>
    <w:rsid w:val="005A33FC"/>
    <w:rsid w:val="005A4C32"/>
    <w:rsid w:val="005A5192"/>
    <w:rsid w:val="005A51EC"/>
    <w:rsid w:val="005A7AF1"/>
    <w:rsid w:val="005A7BA5"/>
    <w:rsid w:val="005B0FFB"/>
    <w:rsid w:val="005B159A"/>
    <w:rsid w:val="005B2EEC"/>
    <w:rsid w:val="005B3646"/>
    <w:rsid w:val="005B4502"/>
    <w:rsid w:val="005B481A"/>
    <w:rsid w:val="005B4E81"/>
    <w:rsid w:val="005B5750"/>
    <w:rsid w:val="005B5834"/>
    <w:rsid w:val="005B7653"/>
    <w:rsid w:val="005B7DDA"/>
    <w:rsid w:val="005C05B5"/>
    <w:rsid w:val="005C0ED8"/>
    <w:rsid w:val="005C1360"/>
    <w:rsid w:val="005C1C53"/>
    <w:rsid w:val="005C1F21"/>
    <w:rsid w:val="005C20B6"/>
    <w:rsid w:val="005C20D8"/>
    <w:rsid w:val="005C3AD2"/>
    <w:rsid w:val="005C509C"/>
    <w:rsid w:val="005C5EA2"/>
    <w:rsid w:val="005C6000"/>
    <w:rsid w:val="005C67CA"/>
    <w:rsid w:val="005C6812"/>
    <w:rsid w:val="005C6933"/>
    <w:rsid w:val="005C74A6"/>
    <w:rsid w:val="005C74FE"/>
    <w:rsid w:val="005C7A93"/>
    <w:rsid w:val="005D0688"/>
    <w:rsid w:val="005D18CC"/>
    <w:rsid w:val="005D288D"/>
    <w:rsid w:val="005D400A"/>
    <w:rsid w:val="005D5619"/>
    <w:rsid w:val="005D7D31"/>
    <w:rsid w:val="005D7FA3"/>
    <w:rsid w:val="005E0819"/>
    <w:rsid w:val="005E0D54"/>
    <w:rsid w:val="005E15BC"/>
    <w:rsid w:val="005E1A55"/>
    <w:rsid w:val="005E2B61"/>
    <w:rsid w:val="005E40DC"/>
    <w:rsid w:val="005E4574"/>
    <w:rsid w:val="005E4649"/>
    <w:rsid w:val="005E5472"/>
    <w:rsid w:val="005E5F45"/>
    <w:rsid w:val="005E5FA7"/>
    <w:rsid w:val="005E63AE"/>
    <w:rsid w:val="005E7A77"/>
    <w:rsid w:val="005F02D5"/>
    <w:rsid w:val="005F0728"/>
    <w:rsid w:val="005F0CC8"/>
    <w:rsid w:val="005F0EE0"/>
    <w:rsid w:val="005F109B"/>
    <w:rsid w:val="005F1321"/>
    <w:rsid w:val="005F1626"/>
    <w:rsid w:val="005F1CCC"/>
    <w:rsid w:val="005F1EC5"/>
    <w:rsid w:val="005F1F9D"/>
    <w:rsid w:val="005F2F4A"/>
    <w:rsid w:val="005F3898"/>
    <w:rsid w:val="005F3C62"/>
    <w:rsid w:val="005F4E1D"/>
    <w:rsid w:val="005F5620"/>
    <w:rsid w:val="005F5DEF"/>
    <w:rsid w:val="005F6CD7"/>
    <w:rsid w:val="005F74D6"/>
    <w:rsid w:val="005F75B0"/>
    <w:rsid w:val="00600117"/>
    <w:rsid w:val="0060089F"/>
    <w:rsid w:val="0060113B"/>
    <w:rsid w:val="0060123C"/>
    <w:rsid w:val="006021E1"/>
    <w:rsid w:val="00602274"/>
    <w:rsid w:val="00602CAE"/>
    <w:rsid w:val="00602DF0"/>
    <w:rsid w:val="0060302C"/>
    <w:rsid w:val="006036BE"/>
    <w:rsid w:val="00603BA6"/>
    <w:rsid w:val="0060434D"/>
    <w:rsid w:val="00604C18"/>
    <w:rsid w:val="00604D86"/>
    <w:rsid w:val="0060563E"/>
    <w:rsid w:val="006057ED"/>
    <w:rsid w:val="00605D28"/>
    <w:rsid w:val="0060738A"/>
    <w:rsid w:val="00607EEF"/>
    <w:rsid w:val="0061016D"/>
    <w:rsid w:val="00610426"/>
    <w:rsid w:val="00610BD2"/>
    <w:rsid w:val="00611314"/>
    <w:rsid w:val="0061154B"/>
    <w:rsid w:val="00611BA7"/>
    <w:rsid w:val="00611CF2"/>
    <w:rsid w:val="00612192"/>
    <w:rsid w:val="0061281A"/>
    <w:rsid w:val="006133F9"/>
    <w:rsid w:val="00613998"/>
    <w:rsid w:val="006142EB"/>
    <w:rsid w:val="006156AA"/>
    <w:rsid w:val="00615F5E"/>
    <w:rsid w:val="00617491"/>
    <w:rsid w:val="00617D16"/>
    <w:rsid w:val="00617EA6"/>
    <w:rsid w:val="0062059D"/>
    <w:rsid w:val="00620643"/>
    <w:rsid w:val="0062139D"/>
    <w:rsid w:val="00621F58"/>
    <w:rsid w:val="00622543"/>
    <w:rsid w:val="00623402"/>
    <w:rsid w:val="00623C71"/>
    <w:rsid w:val="00624139"/>
    <w:rsid w:val="00624934"/>
    <w:rsid w:val="00626AEE"/>
    <w:rsid w:val="00626E96"/>
    <w:rsid w:val="0062706A"/>
    <w:rsid w:val="0062739A"/>
    <w:rsid w:val="006277CC"/>
    <w:rsid w:val="0063185B"/>
    <w:rsid w:val="006335AE"/>
    <w:rsid w:val="00633B29"/>
    <w:rsid w:val="00633CBF"/>
    <w:rsid w:val="0063463D"/>
    <w:rsid w:val="00634ADE"/>
    <w:rsid w:val="006352C1"/>
    <w:rsid w:val="00635E43"/>
    <w:rsid w:val="00635F13"/>
    <w:rsid w:val="0063621D"/>
    <w:rsid w:val="00636576"/>
    <w:rsid w:val="00636762"/>
    <w:rsid w:val="00636887"/>
    <w:rsid w:val="006368D3"/>
    <w:rsid w:val="00636C2B"/>
    <w:rsid w:val="006379A4"/>
    <w:rsid w:val="0064029F"/>
    <w:rsid w:val="00640E8E"/>
    <w:rsid w:val="00642DB4"/>
    <w:rsid w:val="006430B8"/>
    <w:rsid w:val="006432E5"/>
    <w:rsid w:val="006439BF"/>
    <w:rsid w:val="00643C17"/>
    <w:rsid w:val="00643EE8"/>
    <w:rsid w:val="0064469A"/>
    <w:rsid w:val="00644B32"/>
    <w:rsid w:val="00644CA7"/>
    <w:rsid w:val="00644F72"/>
    <w:rsid w:val="00645724"/>
    <w:rsid w:val="006458F0"/>
    <w:rsid w:val="00645A41"/>
    <w:rsid w:val="00646430"/>
    <w:rsid w:val="00646CD7"/>
    <w:rsid w:val="00650112"/>
    <w:rsid w:val="00650404"/>
    <w:rsid w:val="006507AC"/>
    <w:rsid w:val="006510F0"/>
    <w:rsid w:val="00651347"/>
    <w:rsid w:val="006514F6"/>
    <w:rsid w:val="00651873"/>
    <w:rsid w:val="00652EE1"/>
    <w:rsid w:val="006533B7"/>
    <w:rsid w:val="00653D4B"/>
    <w:rsid w:val="00653FEF"/>
    <w:rsid w:val="00654699"/>
    <w:rsid w:val="006548D7"/>
    <w:rsid w:val="00654C0C"/>
    <w:rsid w:val="00656078"/>
    <w:rsid w:val="0065671B"/>
    <w:rsid w:val="00656BD5"/>
    <w:rsid w:val="00657EC0"/>
    <w:rsid w:val="00657F40"/>
    <w:rsid w:val="00660BF5"/>
    <w:rsid w:val="006622B7"/>
    <w:rsid w:val="006623DF"/>
    <w:rsid w:val="006629BA"/>
    <w:rsid w:val="00662C75"/>
    <w:rsid w:val="00663626"/>
    <w:rsid w:val="006638A7"/>
    <w:rsid w:val="00663EBE"/>
    <w:rsid w:val="006640A1"/>
    <w:rsid w:val="006643DF"/>
    <w:rsid w:val="00664DBB"/>
    <w:rsid w:val="006661CC"/>
    <w:rsid w:val="00667EA8"/>
    <w:rsid w:val="006704A6"/>
    <w:rsid w:val="006705DB"/>
    <w:rsid w:val="00670632"/>
    <w:rsid w:val="00671487"/>
    <w:rsid w:val="00672450"/>
    <w:rsid w:val="00672C00"/>
    <w:rsid w:val="0067420E"/>
    <w:rsid w:val="00674DAB"/>
    <w:rsid w:val="006760B3"/>
    <w:rsid w:val="00677874"/>
    <w:rsid w:val="00677963"/>
    <w:rsid w:val="00677D64"/>
    <w:rsid w:val="00677E73"/>
    <w:rsid w:val="0068140F"/>
    <w:rsid w:val="006816A6"/>
    <w:rsid w:val="00681B4A"/>
    <w:rsid w:val="00681E38"/>
    <w:rsid w:val="00682161"/>
    <w:rsid w:val="00683100"/>
    <w:rsid w:val="006836DD"/>
    <w:rsid w:val="00683739"/>
    <w:rsid w:val="00683C54"/>
    <w:rsid w:val="0068471B"/>
    <w:rsid w:val="0068476A"/>
    <w:rsid w:val="00684783"/>
    <w:rsid w:val="006903D7"/>
    <w:rsid w:val="00690540"/>
    <w:rsid w:val="006906EF"/>
    <w:rsid w:val="006908A4"/>
    <w:rsid w:val="00690FDB"/>
    <w:rsid w:val="00691ACF"/>
    <w:rsid w:val="00691E3C"/>
    <w:rsid w:val="00691F86"/>
    <w:rsid w:val="00692477"/>
    <w:rsid w:val="00693915"/>
    <w:rsid w:val="00694CC8"/>
    <w:rsid w:val="00694D7D"/>
    <w:rsid w:val="00696765"/>
    <w:rsid w:val="00696FA5"/>
    <w:rsid w:val="0069733B"/>
    <w:rsid w:val="006A153B"/>
    <w:rsid w:val="006A2126"/>
    <w:rsid w:val="006A25F4"/>
    <w:rsid w:val="006A3995"/>
    <w:rsid w:val="006A44CE"/>
    <w:rsid w:val="006A5BBA"/>
    <w:rsid w:val="006A6759"/>
    <w:rsid w:val="006A6E06"/>
    <w:rsid w:val="006A6EA6"/>
    <w:rsid w:val="006A7444"/>
    <w:rsid w:val="006B13DC"/>
    <w:rsid w:val="006B21DA"/>
    <w:rsid w:val="006B24E9"/>
    <w:rsid w:val="006B26ED"/>
    <w:rsid w:val="006B3461"/>
    <w:rsid w:val="006B417E"/>
    <w:rsid w:val="006B4241"/>
    <w:rsid w:val="006B4445"/>
    <w:rsid w:val="006B448A"/>
    <w:rsid w:val="006B4EE5"/>
    <w:rsid w:val="006B59BA"/>
    <w:rsid w:val="006B6EBD"/>
    <w:rsid w:val="006B7627"/>
    <w:rsid w:val="006B7B91"/>
    <w:rsid w:val="006C050F"/>
    <w:rsid w:val="006C228D"/>
    <w:rsid w:val="006C232A"/>
    <w:rsid w:val="006C2AF6"/>
    <w:rsid w:val="006C3086"/>
    <w:rsid w:val="006C45C9"/>
    <w:rsid w:val="006C5F43"/>
    <w:rsid w:val="006C6101"/>
    <w:rsid w:val="006C6B52"/>
    <w:rsid w:val="006C6FE7"/>
    <w:rsid w:val="006C778F"/>
    <w:rsid w:val="006D13C2"/>
    <w:rsid w:val="006D2462"/>
    <w:rsid w:val="006D2C75"/>
    <w:rsid w:val="006D2E4E"/>
    <w:rsid w:val="006D2F5E"/>
    <w:rsid w:val="006D3043"/>
    <w:rsid w:val="006D336C"/>
    <w:rsid w:val="006D37BC"/>
    <w:rsid w:val="006D4DB4"/>
    <w:rsid w:val="006D4FEE"/>
    <w:rsid w:val="006D50F6"/>
    <w:rsid w:val="006D5A03"/>
    <w:rsid w:val="006D6BE0"/>
    <w:rsid w:val="006D6CB3"/>
    <w:rsid w:val="006D71CB"/>
    <w:rsid w:val="006D7556"/>
    <w:rsid w:val="006D7C86"/>
    <w:rsid w:val="006E02C6"/>
    <w:rsid w:val="006E0CB1"/>
    <w:rsid w:val="006E0F4E"/>
    <w:rsid w:val="006E123E"/>
    <w:rsid w:val="006E210B"/>
    <w:rsid w:val="006E3C0E"/>
    <w:rsid w:val="006E3DAB"/>
    <w:rsid w:val="006E5465"/>
    <w:rsid w:val="006E6D42"/>
    <w:rsid w:val="006F08AF"/>
    <w:rsid w:val="006F098F"/>
    <w:rsid w:val="006F1583"/>
    <w:rsid w:val="006F1690"/>
    <w:rsid w:val="006F1A78"/>
    <w:rsid w:val="006F1DD9"/>
    <w:rsid w:val="006F305B"/>
    <w:rsid w:val="006F32DC"/>
    <w:rsid w:val="006F36F5"/>
    <w:rsid w:val="006F37F6"/>
    <w:rsid w:val="006F42EA"/>
    <w:rsid w:val="006F436F"/>
    <w:rsid w:val="006F5161"/>
    <w:rsid w:val="006F6BEE"/>
    <w:rsid w:val="006F6E16"/>
    <w:rsid w:val="006F7410"/>
    <w:rsid w:val="006F75A1"/>
    <w:rsid w:val="006F7BAB"/>
    <w:rsid w:val="006F7DAE"/>
    <w:rsid w:val="006F7E4B"/>
    <w:rsid w:val="00700714"/>
    <w:rsid w:val="00701000"/>
    <w:rsid w:val="00701F8F"/>
    <w:rsid w:val="0070230D"/>
    <w:rsid w:val="00702D92"/>
    <w:rsid w:val="00702DF5"/>
    <w:rsid w:val="00703652"/>
    <w:rsid w:val="00703695"/>
    <w:rsid w:val="007039C0"/>
    <w:rsid w:val="0070414A"/>
    <w:rsid w:val="007044F1"/>
    <w:rsid w:val="00704635"/>
    <w:rsid w:val="00705108"/>
    <w:rsid w:val="0070520B"/>
    <w:rsid w:val="00705D11"/>
    <w:rsid w:val="00706941"/>
    <w:rsid w:val="007069AE"/>
    <w:rsid w:val="00706CB1"/>
    <w:rsid w:val="00707034"/>
    <w:rsid w:val="00707EBA"/>
    <w:rsid w:val="00710A85"/>
    <w:rsid w:val="00710E64"/>
    <w:rsid w:val="00711257"/>
    <w:rsid w:val="00711BA0"/>
    <w:rsid w:val="007121C6"/>
    <w:rsid w:val="00712465"/>
    <w:rsid w:val="0071354C"/>
    <w:rsid w:val="0071473D"/>
    <w:rsid w:val="00714917"/>
    <w:rsid w:val="0071573C"/>
    <w:rsid w:val="00715C48"/>
    <w:rsid w:val="00715F67"/>
    <w:rsid w:val="007161CE"/>
    <w:rsid w:val="00717C41"/>
    <w:rsid w:val="0072041E"/>
    <w:rsid w:val="00720B2A"/>
    <w:rsid w:val="00721B12"/>
    <w:rsid w:val="00721D78"/>
    <w:rsid w:val="00722414"/>
    <w:rsid w:val="0072321E"/>
    <w:rsid w:val="00723EB9"/>
    <w:rsid w:val="00725D99"/>
    <w:rsid w:val="00725DA5"/>
    <w:rsid w:val="0072699E"/>
    <w:rsid w:val="00730A86"/>
    <w:rsid w:val="00730F86"/>
    <w:rsid w:val="00731195"/>
    <w:rsid w:val="00731571"/>
    <w:rsid w:val="00731AA7"/>
    <w:rsid w:val="00732693"/>
    <w:rsid w:val="00732E7F"/>
    <w:rsid w:val="00733C8D"/>
    <w:rsid w:val="00734E07"/>
    <w:rsid w:val="00740C31"/>
    <w:rsid w:val="00740E11"/>
    <w:rsid w:val="0074199C"/>
    <w:rsid w:val="00741D68"/>
    <w:rsid w:val="00742FDA"/>
    <w:rsid w:val="0074363A"/>
    <w:rsid w:val="00743ACB"/>
    <w:rsid w:val="00743AD4"/>
    <w:rsid w:val="00743F2B"/>
    <w:rsid w:val="00744868"/>
    <w:rsid w:val="00744EA3"/>
    <w:rsid w:val="007450A0"/>
    <w:rsid w:val="00746653"/>
    <w:rsid w:val="0074665D"/>
    <w:rsid w:val="0074720C"/>
    <w:rsid w:val="00747558"/>
    <w:rsid w:val="00747FEC"/>
    <w:rsid w:val="00750071"/>
    <w:rsid w:val="00750559"/>
    <w:rsid w:val="00750DD6"/>
    <w:rsid w:val="00750E58"/>
    <w:rsid w:val="0075189F"/>
    <w:rsid w:val="00751E26"/>
    <w:rsid w:val="00753585"/>
    <w:rsid w:val="00754195"/>
    <w:rsid w:val="00754BC1"/>
    <w:rsid w:val="007553B2"/>
    <w:rsid w:val="00755CF0"/>
    <w:rsid w:val="00756749"/>
    <w:rsid w:val="007575A0"/>
    <w:rsid w:val="00757840"/>
    <w:rsid w:val="00757C03"/>
    <w:rsid w:val="007610C2"/>
    <w:rsid w:val="007617A5"/>
    <w:rsid w:val="00761F99"/>
    <w:rsid w:val="007629CD"/>
    <w:rsid w:val="00763774"/>
    <w:rsid w:val="00763AD8"/>
    <w:rsid w:val="007649CF"/>
    <w:rsid w:val="00765414"/>
    <w:rsid w:val="007664E0"/>
    <w:rsid w:val="00766774"/>
    <w:rsid w:val="0076790F"/>
    <w:rsid w:val="00767E7E"/>
    <w:rsid w:val="00767F81"/>
    <w:rsid w:val="007700F8"/>
    <w:rsid w:val="0077173A"/>
    <w:rsid w:val="00771838"/>
    <w:rsid w:val="00772CDA"/>
    <w:rsid w:val="00772E30"/>
    <w:rsid w:val="0077330E"/>
    <w:rsid w:val="0077364A"/>
    <w:rsid w:val="007738D3"/>
    <w:rsid w:val="00773BFC"/>
    <w:rsid w:val="00773D44"/>
    <w:rsid w:val="00773EF9"/>
    <w:rsid w:val="0077447D"/>
    <w:rsid w:val="0077638B"/>
    <w:rsid w:val="00776510"/>
    <w:rsid w:val="00776BEE"/>
    <w:rsid w:val="00776DBA"/>
    <w:rsid w:val="00781946"/>
    <w:rsid w:val="0078217B"/>
    <w:rsid w:val="00782439"/>
    <w:rsid w:val="00783446"/>
    <w:rsid w:val="00783B08"/>
    <w:rsid w:val="00783FE7"/>
    <w:rsid w:val="007843B2"/>
    <w:rsid w:val="007846EC"/>
    <w:rsid w:val="0078490C"/>
    <w:rsid w:val="00784CB7"/>
    <w:rsid w:val="007852B3"/>
    <w:rsid w:val="0078782E"/>
    <w:rsid w:val="007904FD"/>
    <w:rsid w:val="00790B8F"/>
    <w:rsid w:val="00791F30"/>
    <w:rsid w:val="007939C7"/>
    <w:rsid w:val="00793B00"/>
    <w:rsid w:val="0079413F"/>
    <w:rsid w:val="0079482F"/>
    <w:rsid w:val="00794C50"/>
    <w:rsid w:val="00794E54"/>
    <w:rsid w:val="00794EF6"/>
    <w:rsid w:val="0079695F"/>
    <w:rsid w:val="007969B0"/>
    <w:rsid w:val="0079786A"/>
    <w:rsid w:val="00797F00"/>
    <w:rsid w:val="00797F9B"/>
    <w:rsid w:val="007A16D9"/>
    <w:rsid w:val="007A258D"/>
    <w:rsid w:val="007A28FF"/>
    <w:rsid w:val="007A3376"/>
    <w:rsid w:val="007A3BDD"/>
    <w:rsid w:val="007A5154"/>
    <w:rsid w:val="007A614B"/>
    <w:rsid w:val="007A67E7"/>
    <w:rsid w:val="007A70D1"/>
    <w:rsid w:val="007A73A6"/>
    <w:rsid w:val="007A7920"/>
    <w:rsid w:val="007B08B7"/>
    <w:rsid w:val="007B0AAD"/>
    <w:rsid w:val="007B16BA"/>
    <w:rsid w:val="007B1A4B"/>
    <w:rsid w:val="007B1D95"/>
    <w:rsid w:val="007B207F"/>
    <w:rsid w:val="007B3D69"/>
    <w:rsid w:val="007B3E7D"/>
    <w:rsid w:val="007B40ED"/>
    <w:rsid w:val="007B52C6"/>
    <w:rsid w:val="007B5B6E"/>
    <w:rsid w:val="007B5F39"/>
    <w:rsid w:val="007B6683"/>
    <w:rsid w:val="007B6AB9"/>
    <w:rsid w:val="007B6F07"/>
    <w:rsid w:val="007B70A9"/>
    <w:rsid w:val="007C1DAE"/>
    <w:rsid w:val="007C24AC"/>
    <w:rsid w:val="007C2600"/>
    <w:rsid w:val="007C2C6E"/>
    <w:rsid w:val="007C32AC"/>
    <w:rsid w:val="007C378A"/>
    <w:rsid w:val="007C378B"/>
    <w:rsid w:val="007C39DE"/>
    <w:rsid w:val="007C3A5D"/>
    <w:rsid w:val="007C3E2B"/>
    <w:rsid w:val="007C5036"/>
    <w:rsid w:val="007C5E02"/>
    <w:rsid w:val="007C626A"/>
    <w:rsid w:val="007D0DFB"/>
    <w:rsid w:val="007D170E"/>
    <w:rsid w:val="007D2334"/>
    <w:rsid w:val="007D28BE"/>
    <w:rsid w:val="007D2CC5"/>
    <w:rsid w:val="007D3749"/>
    <w:rsid w:val="007D7074"/>
    <w:rsid w:val="007D7364"/>
    <w:rsid w:val="007E08A4"/>
    <w:rsid w:val="007E0F31"/>
    <w:rsid w:val="007E11C9"/>
    <w:rsid w:val="007E1DD0"/>
    <w:rsid w:val="007E2DDD"/>
    <w:rsid w:val="007E3713"/>
    <w:rsid w:val="007E4353"/>
    <w:rsid w:val="007E5747"/>
    <w:rsid w:val="007E59D5"/>
    <w:rsid w:val="007E61AB"/>
    <w:rsid w:val="007E6440"/>
    <w:rsid w:val="007E6BA5"/>
    <w:rsid w:val="007E75FA"/>
    <w:rsid w:val="007F09D0"/>
    <w:rsid w:val="007F0A01"/>
    <w:rsid w:val="007F4242"/>
    <w:rsid w:val="007F449F"/>
    <w:rsid w:val="007F4657"/>
    <w:rsid w:val="007F529B"/>
    <w:rsid w:val="007F5C84"/>
    <w:rsid w:val="007F5C8B"/>
    <w:rsid w:val="007F72C3"/>
    <w:rsid w:val="0080005E"/>
    <w:rsid w:val="008003E0"/>
    <w:rsid w:val="008019EB"/>
    <w:rsid w:val="0080274B"/>
    <w:rsid w:val="00802B8E"/>
    <w:rsid w:val="00802EBD"/>
    <w:rsid w:val="008031CC"/>
    <w:rsid w:val="008035DF"/>
    <w:rsid w:val="008037A0"/>
    <w:rsid w:val="00804A00"/>
    <w:rsid w:val="00804ADE"/>
    <w:rsid w:val="0080688B"/>
    <w:rsid w:val="0080719B"/>
    <w:rsid w:val="00807E14"/>
    <w:rsid w:val="0081123E"/>
    <w:rsid w:val="0081152A"/>
    <w:rsid w:val="008115DF"/>
    <w:rsid w:val="00811A8B"/>
    <w:rsid w:val="00811AE9"/>
    <w:rsid w:val="00812B09"/>
    <w:rsid w:val="00812D8F"/>
    <w:rsid w:val="00813109"/>
    <w:rsid w:val="0081346D"/>
    <w:rsid w:val="00813A61"/>
    <w:rsid w:val="00815699"/>
    <w:rsid w:val="00815A75"/>
    <w:rsid w:val="00815AA8"/>
    <w:rsid w:val="00815BBE"/>
    <w:rsid w:val="00820E21"/>
    <w:rsid w:val="0082241F"/>
    <w:rsid w:val="008229BC"/>
    <w:rsid w:val="00824345"/>
    <w:rsid w:val="00824389"/>
    <w:rsid w:val="00825168"/>
    <w:rsid w:val="00825A5A"/>
    <w:rsid w:val="00825E5B"/>
    <w:rsid w:val="00825FB4"/>
    <w:rsid w:val="0082693F"/>
    <w:rsid w:val="00826CC8"/>
    <w:rsid w:val="008275A0"/>
    <w:rsid w:val="00827D9E"/>
    <w:rsid w:val="00830DCE"/>
    <w:rsid w:val="00830F90"/>
    <w:rsid w:val="00831323"/>
    <w:rsid w:val="00832272"/>
    <w:rsid w:val="00832A9B"/>
    <w:rsid w:val="00832F73"/>
    <w:rsid w:val="00834837"/>
    <w:rsid w:val="008349A0"/>
    <w:rsid w:val="008369C3"/>
    <w:rsid w:val="00837DD7"/>
    <w:rsid w:val="00840985"/>
    <w:rsid w:val="00841293"/>
    <w:rsid w:val="00841E15"/>
    <w:rsid w:val="00842DB9"/>
    <w:rsid w:val="00843188"/>
    <w:rsid w:val="00843907"/>
    <w:rsid w:val="00845419"/>
    <w:rsid w:val="00845975"/>
    <w:rsid w:val="008475ED"/>
    <w:rsid w:val="00847A68"/>
    <w:rsid w:val="00850C8E"/>
    <w:rsid w:val="00851CA2"/>
    <w:rsid w:val="00852285"/>
    <w:rsid w:val="008527AE"/>
    <w:rsid w:val="0085376B"/>
    <w:rsid w:val="0085475C"/>
    <w:rsid w:val="008548A0"/>
    <w:rsid w:val="00854C33"/>
    <w:rsid w:val="00855112"/>
    <w:rsid w:val="00856137"/>
    <w:rsid w:val="008564E7"/>
    <w:rsid w:val="00857312"/>
    <w:rsid w:val="008576B5"/>
    <w:rsid w:val="0085776F"/>
    <w:rsid w:val="00857EA8"/>
    <w:rsid w:val="0086091C"/>
    <w:rsid w:val="00860CAC"/>
    <w:rsid w:val="00860E01"/>
    <w:rsid w:val="008614B3"/>
    <w:rsid w:val="00861731"/>
    <w:rsid w:val="00861AC7"/>
    <w:rsid w:val="00862B93"/>
    <w:rsid w:val="00862CEB"/>
    <w:rsid w:val="0086304A"/>
    <w:rsid w:val="00863210"/>
    <w:rsid w:val="008634D5"/>
    <w:rsid w:val="00863756"/>
    <w:rsid w:val="0086405B"/>
    <w:rsid w:val="008645F7"/>
    <w:rsid w:val="00864F76"/>
    <w:rsid w:val="00865047"/>
    <w:rsid w:val="0086554A"/>
    <w:rsid w:val="0086671E"/>
    <w:rsid w:val="00866A28"/>
    <w:rsid w:val="00866A91"/>
    <w:rsid w:val="00866DD8"/>
    <w:rsid w:val="00871908"/>
    <w:rsid w:val="0087238A"/>
    <w:rsid w:val="0087277A"/>
    <w:rsid w:val="008729AC"/>
    <w:rsid w:val="00872C87"/>
    <w:rsid w:val="00872FE0"/>
    <w:rsid w:val="00873190"/>
    <w:rsid w:val="00873516"/>
    <w:rsid w:val="00873729"/>
    <w:rsid w:val="0087388B"/>
    <w:rsid w:val="008742D3"/>
    <w:rsid w:val="00874725"/>
    <w:rsid w:val="0087482B"/>
    <w:rsid w:val="00875446"/>
    <w:rsid w:val="00875594"/>
    <w:rsid w:val="00875C3D"/>
    <w:rsid w:val="0087635F"/>
    <w:rsid w:val="0087748B"/>
    <w:rsid w:val="00877775"/>
    <w:rsid w:val="00877F2B"/>
    <w:rsid w:val="008804F7"/>
    <w:rsid w:val="00880684"/>
    <w:rsid w:val="008806F7"/>
    <w:rsid w:val="008809C8"/>
    <w:rsid w:val="00880CEF"/>
    <w:rsid w:val="008811FB"/>
    <w:rsid w:val="00881425"/>
    <w:rsid w:val="00881660"/>
    <w:rsid w:val="00881B89"/>
    <w:rsid w:val="00882E4E"/>
    <w:rsid w:val="00882FB6"/>
    <w:rsid w:val="00883A59"/>
    <w:rsid w:val="00883BC1"/>
    <w:rsid w:val="00883CC1"/>
    <w:rsid w:val="00884780"/>
    <w:rsid w:val="00884C99"/>
    <w:rsid w:val="00886F7B"/>
    <w:rsid w:val="0088765D"/>
    <w:rsid w:val="008907DC"/>
    <w:rsid w:val="00890873"/>
    <w:rsid w:val="0089096B"/>
    <w:rsid w:val="00890A41"/>
    <w:rsid w:val="00891118"/>
    <w:rsid w:val="00891177"/>
    <w:rsid w:val="00891EAB"/>
    <w:rsid w:val="0089279D"/>
    <w:rsid w:val="00892852"/>
    <w:rsid w:val="00894D43"/>
    <w:rsid w:val="00894EAD"/>
    <w:rsid w:val="00894F11"/>
    <w:rsid w:val="008951C4"/>
    <w:rsid w:val="008960C4"/>
    <w:rsid w:val="00896C40"/>
    <w:rsid w:val="0089729F"/>
    <w:rsid w:val="00897687"/>
    <w:rsid w:val="008A0FDF"/>
    <w:rsid w:val="008A1657"/>
    <w:rsid w:val="008A165F"/>
    <w:rsid w:val="008A23D2"/>
    <w:rsid w:val="008A523B"/>
    <w:rsid w:val="008A6026"/>
    <w:rsid w:val="008A675C"/>
    <w:rsid w:val="008A6DA0"/>
    <w:rsid w:val="008A72DC"/>
    <w:rsid w:val="008B099F"/>
    <w:rsid w:val="008B0B9C"/>
    <w:rsid w:val="008B1C3D"/>
    <w:rsid w:val="008B2041"/>
    <w:rsid w:val="008B4170"/>
    <w:rsid w:val="008B4F2F"/>
    <w:rsid w:val="008B4F9F"/>
    <w:rsid w:val="008B5203"/>
    <w:rsid w:val="008B5720"/>
    <w:rsid w:val="008B6C3D"/>
    <w:rsid w:val="008B7682"/>
    <w:rsid w:val="008C01F9"/>
    <w:rsid w:val="008C090E"/>
    <w:rsid w:val="008C1599"/>
    <w:rsid w:val="008C16A7"/>
    <w:rsid w:val="008C1733"/>
    <w:rsid w:val="008C1A39"/>
    <w:rsid w:val="008C3386"/>
    <w:rsid w:val="008C44CC"/>
    <w:rsid w:val="008C4AB9"/>
    <w:rsid w:val="008C50A2"/>
    <w:rsid w:val="008C662B"/>
    <w:rsid w:val="008C6AE7"/>
    <w:rsid w:val="008C71B4"/>
    <w:rsid w:val="008C77BC"/>
    <w:rsid w:val="008D0595"/>
    <w:rsid w:val="008D05DE"/>
    <w:rsid w:val="008D0EC3"/>
    <w:rsid w:val="008D3E80"/>
    <w:rsid w:val="008D454E"/>
    <w:rsid w:val="008D6C38"/>
    <w:rsid w:val="008D7751"/>
    <w:rsid w:val="008E0472"/>
    <w:rsid w:val="008E0FBD"/>
    <w:rsid w:val="008E1031"/>
    <w:rsid w:val="008E1287"/>
    <w:rsid w:val="008E1CB5"/>
    <w:rsid w:val="008E27FE"/>
    <w:rsid w:val="008E2B9F"/>
    <w:rsid w:val="008E472E"/>
    <w:rsid w:val="008E48AE"/>
    <w:rsid w:val="008E5817"/>
    <w:rsid w:val="008E5EFA"/>
    <w:rsid w:val="008E6167"/>
    <w:rsid w:val="008E6544"/>
    <w:rsid w:val="008E6A35"/>
    <w:rsid w:val="008F1F90"/>
    <w:rsid w:val="008F2323"/>
    <w:rsid w:val="008F2833"/>
    <w:rsid w:val="008F2C4B"/>
    <w:rsid w:val="008F4554"/>
    <w:rsid w:val="008F50CF"/>
    <w:rsid w:val="008F543D"/>
    <w:rsid w:val="008F7AC0"/>
    <w:rsid w:val="008F7BD9"/>
    <w:rsid w:val="009000DD"/>
    <w:rsid w:val="00900BDD"/>
    <w:rsid w:val="009019F6"/>
    <w:rsid w:val="00902C6B"/>
    <w:rsid w:val="00903463"/>
    <w:rsid w:val="00903640"/>
    <w:rsid w:val="00903771"/>
    <w:rsid w:val="00903896"/>
    <w:rsid w:val="009042EB"/>
    <w:rsid w:val="009049DA"/>
    <w:rsid w:val="009055D2"/>
    <w:rsid w:val="00906525"/>
    <w:rsid w:val="009075EF"/>
    <w:rsid w:val="00907F57"/>
    <w:rsid w:val="00907F95"/>
    <w:rsid w:val="00910140"/>
    <w:rsid w:val="00910989"/>
    <w:rsid w:val="00910BAD"/>
    <w:rsid w:val="00910FFD"/>
    <w:rsid w:val="009116A0"/>
    <w:rsid w:val="00911900"/>
    <w:rsid w:val="00911A95"/>
    <w:rsid w:val="00912323"/>
    <w:rsid w:val="009127D4"/>
    <w:rsid w:val="00913DA2"/>
    <w:rsid w:val="00914A9B"/>
    <w:rsid w:val="00914BFF"/>
    <w:rsid w:val="00914C3F"/>
    <w:rsid w:val="00914ED2"/>
    <w:rsid w:val="00915216"/>
    <w:rsid w:val="00915CF9"/>
    <w:rsid w:val="00915EDA"/>
    <w:rsid w:val="0091617C"/>
    <w:rsid w:val="0091625D"/>
    <w:rsid w:val="009164BA"/>
    <w:rsid w:val="00916655"/>
    <w:rsid w:val="0091674C"/>
    <w:rsid w:val="00916855"/>
    <w:rsid w:val="00916861"/>
    <w:rsid w:val="00916E8E"/>
    <w:rsid w:val="0091783A"/>
    <w:rsid w:val="00917A91"/>
    <w:rsid w:val="00920389"/>
    <w:rsid w:val="00920B00"/>
    <w:rsid w:val="00921665"/>
    <w:rsid w:val="00921C72"/>
    <w:rsid w:val="00922153"/>
    <w:rsid w:val="00923217"/>
    <w:rsid w:val="00923554"/>
    <w:rsid w:val="009239DF"/>
    <w:rsid w:val="009250F3"/>
    <w:rsid w:val="00925260"/>
    <w:rsid w:val="0092532D"/>
    <w:rsid w:val="00925F79"/>
    <w:rsid w:val="009265F5"/>
    <w:rsid w:val="00927222"/>
    <w:rsid w:val="00927495"/>
    <w:rsid w:val="0093025F"/>
    <w:rsid w:val="00931322"/>
    <w:rsid w:val="00931CD5"/>
    <w:rsid w:val="00933D23"/>
    <w:rsid w:val="00933E2F"/>
    <w:rsid w:val="00934663"/>
    <w:rsid w:val="009346F0"/>
    <w:rsid w:val="00934C16"/>
    <w:rsid w:val="00935254"/>
    <w:rsid w:val="0093536A"/>
    <w:rsid w:val="00935D7A"/>
    <w:rsid w:val="00935F03"/>
    <w:rsid w:val="0093672A"/>
    <w:rsid w:val="00936B6A"/>
    <w:rsid w:val="00937150"/>
    <w:rsid w:val="0093785A"/>
    <w:rsid w:val="009402E7"/>
    <w:rsid w:val="009403BF"/>
    <w:rsid w:val="009404B3"/>
    <w:rsid w:val="00940B1F"/>
    <w:rsid w:val="00941B29"/>
    <w:rsid w:val="009427A6"/>
    <w:rsid w:val="00942AC1"/>
    <w:rsid w:val="00942C30"/>
    <w:rsid w:val="00943DF3"/>
    <w:rsid w:val="0094455D"/>
    <w:rsid w:val="00944E9E"/>
    <w:rsid w:val="0094542B"/>
    <w:rsid w:val="009454D7"/>
    <w:rsid w:val="0094561F"/>
    <w:rsid w:val="009466DD"/>
    <w:rsid w:val="00946913"/>
    <w:rsid w:val="0094762D"/>
    <w:rsid w:val="00947E1B"/>
    <w:rsid w:val="0095082F"/>
    <w:rsid w:val="00950FE9"/>
    <w:rsid w:val="00951429"/>
    <w:rsid w:val="009518B6"/>
    <w:rsid w:val="00951A98"/>
    <w:rsid w:val="00952021"/>
    <w:rsid w:val="00952072"/>
    <w:rsid w:val="009523B2"/>
    <w:rsid w:val="00952C65"/>
    <w:rsid w:val="009538BD"/>
    <w:rsid w:val="00953BE9"/>
    <w:rsid w:val="0095475C"/>
    <w:rsid w:val="0095499C"/>
    <w:rsid w:val="0095518C"/>
    <w:rsid w:val="00955524"/>
    <w:rsid w:val="00955D25"/>
    <w:rsid w:val="0096007C"/>
    <w:rsid w:val="00961507"/>
    <w:rsid w:val="00963854"/>
    <w:rsid w:val="00964544"/>
    <w:rsid w:val="00964A8C"/>
    <w:rsid w:val="00964D96"/>
    <w:rsid w:val="0096589B"/>
    <w:rsid w:val="00965DD4"/>
    <w:rsid w:val="0096627B"/>
    <w:rsid w:val="009667EC"/>
    <w:rsid w:val="00966C16"/>
    <w:rsid w:val="00967BC8"/>
    <w:rsid w:val="00970257"/>
    <w:rsid w:val="00970ABE"/>
    <w:rsid w:val="00970D9F"/>
    <w:rsid w:val="00972461"/>
    <w:rsid w:val="00973EC4"/>
    <w:rsid w:val="00975509"/>
    <w:rsid w:val="00976248"/>
    <w:rsid w:val="0097648C"/>
    <w:rsid w:val="009764F0"/>
    <w:rsid w:val="00976AD4"/>
    <w:rsid w:val="00976E51"/>
    <w:rsid w:val="00977094"/>
    <w:rsid w:val="0097713D"/>
    <w:rsid w:val="009800E9"/>
    <w:rsid w:val="00980247"/>
    <w:rsid w:val="009805F8"/>
    <w:rsid w:val="00980794"/>
    <w:rsid w:val="00980CE1"/>
    <w:rsid w:val="009818B1"/>
    <w:rsid w:val="00981BA4"/>
    <w:rsid w:val="009823A5"/>
    <w:rsid w:val="00982594"/>
    <w:rsid w:val="00982939"/>
    <w:rsid w:val="00982F31"/>
    <w:rsid w:val="00983BA4"/>
    <w:rsid w:val="0098403C"/>
    <w:rsid w:val="00984558"/>
    <w:rsid w:val="009848AE"/>
    <w:rsid w:val="00984976"/>
    <w:rsid w:val="00984AD9"/>
    <w:rsid w:val="00985035"/>
    <w:rsid w:val="009850EA"/>
    <w:rsid w:val="00985C82"/>
    <w:rsid w:val="00985DC3"/>
    <w:rsid w:val="00986D64"/>
    <w:rsid w:val="00986E14"/>
    <w:rsid w:val="0098735C"/>
    <w:rsid w:val="009879E9"/>
    <w:rsid w:val="00987F4A"/>
    <w:rsid w:val="0099122B"/>
    <w:rsid w:val="00991475"/>
    <w:rsid w:val="00991C68"/>
    <w:rsid w:val="00991EDA"/>
    <w:rsid w:val="00992297"/>
    <w:rsid w:val="00992A42"/>
    <w:rsid w:val="00992B83"/>
    <w:rsid w:val="009934EE"/>
    <w:rsid w:val="009937CB"/>
    <w:rsid w:val="00994012"/>
    <w:rsid w:val="0099451B"/>
    <w:rsid w:val="009962E1"/>
    <w:rsid w:val="009968DB"/>
    <w:rsid w:val="00996D61"/>
    <w:rsid w:val="00996FFD"/>
    <w:rsid w:val="00997C5E"/>
    <w:rsid w:val="009A0C10"/>
    <w:rsid w:val="009A0CF4"/>
    <w:rsid w:val="009A1A54"/>
    <w:rsid w:val="009A237C"/>
    <w:rsid w:val="009A2E42"/>
    <w:rsid w:val="009A39B4"/>
    <w:rsid w:val="009A3E66"/>
    <w:rsid w:val="009A54B6"/>
    <w:rsid w:val="009A57EE"/>
    <w:rsid w:val="009A5F83"/>
    <w:rsid w:val="009A70BD"/>
    <w:rsid w:val="009A7C15"/>
    <w:rsid w:val="009B0387"/>
    <w:rsid w:val="009B0E0C"/>
    <w:rsid w:val="009B101F"/>
    <w:rsid w:val="009B131A"/>
    <w:rsid w:val="009B1442"/>
    <w:rsid w:val="009B1832"/>
    <w:rsid w:val="009B18E6"/>
    <w:rsid w:val="009B1A42"/>
    <w:rsid w:val="009B2319"/>
    <w:rsid w:val="009B2D63"/>
    <w:rsid w:val="009B493C"/>
    <w:rsid w:val="009B5BD5"/>
    <w:rsid w:val="009B5DDF"/>
    <w:rsid w:val="009B616E"/>
    <w:rsid w:val="009B68D1"/>
    <w:rsid w:val="009B6E08"/>
    <w:rsid w:val="009C0621"/>
    <w:rsid w:val="009C0C4F"/>
    <w:rsid w:val="009C2CD4"/>
    <w:rsid w:val="009C3903"/>
    <w:rsid w:val="009C3D62"/>
    <w:rsid w:val="009C3DF1"/>
    <w:rsid w:val="009C4330"/>
    <w:rsid w:val="009C5681"/>
    <w:rsid w:val="009C6628"/>
    <w:rsid w:val="009D04CB"/>
    <w:rsid w:val="009D0BDB"/>
    <w:rsid w:val="009D1213"/>
    <w:rsid w:val="009D124A"/>
    <w:rsid w:val="009D19B7"/>
    <w:rsid w:val="009D22A5"/>
    <w:rsid w:val="009D3A7D"/>
    <w:rsid w:val="009D4E89"/>
    <w:rsid w:val="009D585C"/>
    <w:rsid w:val="009D5AC3"/>
    <w:rsid w:val="009D5F0C"/>
    <w:rsid w:val="009D6248"/>
    <w:rsid w:val="009E0616"/>
    <w:rsid w:val="009E0823"/>
    <w:rsid w:val="009E1812"/>
    <w:rsid w:val="009E2019"/>
    <w:rsid w:val="009E21C1"/>
    <w:rsid w:val="009E2275"/>
    <w:rsid w:val="009E2297"/>
    <w:rsid w:val="009E26A7"/>
    <w:rsid w:val="009E2C20"/>
    <w:rsid w:val="009E2EE3"/>
    <w:rsid w:val="009E3DCA"/>
    <w:rsid w:val="009E429F"/>
    <w:rsid w:val="009E4CD8"/>
    <w:rsid w:val="009E5EE0"/>
    <w:rsid w:val="009E66B7"/>
    <w:rsid w:val="009E6A6E"/>
    <w:rsid w:val="009E6F94"/>
    <w:rsid w:val="009E7245"/>
    <w:rsid w:val="009E7C63"/>
    <w:rsid w:val="009F05D8"/>
    <w:rsid w:val="009F1342"/>
    <w:rsid w:val="009F19E3"/>
    <w:rsid w:val="009F22AE"/>
    <w:rsid w:val="009F27AE"/>
    <w:rsid w:val="009F2C49"/>
    <w:rsid w:val="009F3B81"/>
    <w:rsid w:val="009F48BA"/>
    <w:rsid w:val="009F563B"/>
    <w:rsid w:val="009F5D54"/>
    <w:rsid w:val="009F6725"/>
    <w:rsid w:val="009F6DA8"/>
    <w:rsid w:val="009F6DDD"/>
    <w:rsid w:val="009F78A1"/>
    <w:rsid w:val="009F7F23"/>
    <w:rsid w:val="00A0031C"/>
    <w:rsid w:val="00A00736"/>
    <w:rsid w:val="00A00C06"/>
    <w:rsid w:val="00A013E7"/>
    <w:rsid w:val="00A01857"/>
    <w:rsid w:val="00A01AF6"/>
    <w:rsid w:val="00A01EC1"/>
    <w:rsid w:val="00A0270C"/>
    <w:rsid w:val="00A04132"/>
    <w:rsid w:val="00A046DD"/>
    <w:rsid w:val="00A04E66"/>
    <w:rsid w:val="00A05734"/>
    <w:rsid w:val="00A0605F"/>
    <w:rsid w:val="00A070E1"/>
    <w:rsid w:val="00A07592"/>
    <w:rsid w:val="00A100F5"/>
    <w:rsid w:val="00A10D4E"/>
    <w:rsid w:val="00A113B0"/>
    <w:rsid w:val="00A11EA3"/>
    <w:rsid w:val="00A124E3"/>
    <w:rsid w:val="00A12B62"/>
    <w:rsid w:val="00A1335A"/>
    <w:rsid w:val="00A13A4C"/>
    <w:rsid w:val="00A144B7"/>
    <w:rsid w:val="00A14C85"/>
    <w:rsid w:val="00A15769"/>
    <w:rsid w:val="00A15A95"/>
    <w:rsid w:val="00A15C1C"/>
    <w:rsid w:val="00A15D84"/>
    <w:rsid w:val="00A1615F"/>
    <w:rsid w:val="00A168BA"/>
    <w:rsid w:val="00A16F6C"/>
    <w:rsid w:val="00A17216"/>
    <w:rsid w:val="00A176E0"/>
    <w:rsid w:val="00A17F60"/>
    <w:rsid w:val="00A200F8"/>
    <w:rsid w:val="00A2023D"/>
    <w:rsid w:val="00A206C5"/>
    <w:rsid w:val="00A222DB"/>
    <w:rsid w:val="00A22CFE"/>
    <w:rsid w:val="00A242B9"/>
    <w:rsid w:val="00A24FC0"/>
    <w:rsid w:val="00A259E3"/>
    <w:rsid w:val="00A2618E"/>
    <w:rsid w:val="00A265E4"/>
    <w:rsid w:val="00A2785A"/>
    <w:rsid w:val="00A302B9"/>
    <w:rsid w:val="00A30B79"/>
    <w:rsid w:val="00A3120D"/>
    <w:rsid w:val="00A31467"/>
    <w:rsid w:val="00A31A07"/>
    <w:rsid w:val="00A32828"/>
    <w:rsid w:val="00A3291B"/>
    <w:rsid w:val="00A32B08"/>
    <w:rsid w:val="00A3315E"/>
    <w:rsid w:val="00A33CF9"/>
    <w:rsid w:val="00A347C7"/>
    <w:rsid w:val="00A34803"/>
    <w:rsid w:val="00A34CE4"/>
    <w:rsid w:val="00A34F7E"/>
    <w:rsid w:val="00A355EB"/>
    <w:rsid w:val="00A3569D"/>
    <w:rsid w:val="00A35A18"/>
    <w:rsid w:val="00A35C5B"/>
    <w:rsid w:val="00A362E3"/>
    <w:rsid w:val="00A36948"/>
    <w:rsid w:val="00A36E89"/>
    <w:rsid w:val="00A3700A"/>
    <w:rsid w:val="00A3705D"/>
    <w:rsid w:val="00A37359"/>
    <w:rsid w:val="00A403C3"/>
    <w:rsid w:val="00A40571"/>
    <w:rsid w:val="00A407DB"/>
    <w:rsid w:val="00A41578"/>
    <w:rsid w:val="00A41E09"/>
    <w:rsid w:val="00A42905"/>
    <w:rsid w:val="00A4295B"/>
    <w:rsid w:val="00A42DCB"/>
    <w:rsid w:val="00A45B5C"/>
    <w:rsid w:val="00A4602C"/>
    <w:rsid w:val="00A46C19"/>
    <w:rsid w:val="00A46E6A"/>
    <w:rsid w:val="00A47014"/>
    <w:rsid w:val="00A479E5"/>
    <w:rsid w:val="00A51198"/>
    <w:rsid w:val="00A51B44"/>
    <w:rsid w:val="00A52409"/>
    <w:rsid w:val="00A52B9E"/>
    <w:rsid w:val="00A53AB6"/>
    <w:rsid w:val="00A53E89"/>
    <w:rsid w:val="00A53F05"/>
    <w:rsid w:val="00A54016"/>
    <w:rsid w:val="00A54F5B"/>
    <w:rsid w:val="00A55F24"/>
    <w:rsid w:val="00A60E3B"/>
    <w:rsid w:val="00A61294"/>
    <w:rsid w:val="00A61D80"/>
    <w:rsid w:val="00A62D03"/>
    <w:rsid w:val="00A646EA"/>
    <w:rsid w:val="00A65A4D"/>
    <w:rsid w:val="00A668F4"/>
    <w:rsid w:val="00A670C2"/>
    <w:rsid w:val="00A67D96"/>
    <w:rsid w:val="00A70167"/>
    <w:rsid w:val="00A701F3"/>
    <w:rsid w:val="00A714E4"/>
    <w:rsid w:val="00A719A3"/>
    <w:rsid w:val="00A71F45"/>
    <w:rsid w:val="00A7272D"/>
    <w:rsid w:val="00A72F02"/>
    <w:rsid w:val="00A72F5E"/>
    <w:rsid w:val="00A73CD0"/>
    <w:rsid w:val="00A73E9F"/>
    <w:rsid w:val="00A74D67"/>
    <w:rsid w:val="00A7514D"/>
    <w:rsid w:val="00A801F9"/>
    <w:rsid w:val="00A82469"/>
    <w:rsid w:val="00A82AB4"/>
    <w:rsid w:val="00A8300A"/>
    <w:rsid w:val="00A83298"/>
    <w:rsid w:val="00A832F4"/>
    <w:rsid w:val="00A83549"/>
    <w:rsid w:val="00A83A69"/>
    <w:rsid w:val="00A83B7A"/>
    <w:rsid w:val="00A83E4B"/>
    <w:rsid w:val="00A84460"/>
    <w:rsid w:val="00A84717"/>
    <w:rsid w:val="00A8523C"/>
    <w:rsid w:val="00A85434"/>
    <w:rsid w:val="00A8576C"/>
    <w:rsid w:val="00A863C5"/>
    <w:rsid w:val="00A869AC"/>
    <w:rsid w:val="00A871EF"/>
    <w:rsid w:val="00A90A39"/>
    <w:rsid w:val="00A910F9"/>
    <w:rsid w:val="00A91262"/>
    <w:rsid w:val="00A91FFE"/>
    <w:rsid w:val="00A921AC"/>
    <w:rsid w:val="00A92871"/>
    <w:rsid w:val="00A92AA2"/>
    <w:rsid w:val="00A93111"/>
    <w:rsid w:val="00A93CD4"/>
    <w:rsid w:val="00A943C7"/>
    <w:rsid w:val="00A94E45"/>
    <w:rsid w:val="00A954DE"/>
    <w:rsid w:val="00A95EA3"/>
    <w:rsid w:val="00A96216"/>
    <w:rsid w:val="00A971AB"/>
    <w:rsid w:val="00A974E8"/>
    <w:rsid w:val="00AA106A"/>
    <w:rsid w:val="00AA1410"/>
    <w:rsid w:val="00AA1E72"/>
    <w:rsid w:val="00AA247D"/>
    <w:rsid w:val="00AA2672"/>
    <w:rsid w:val="00AA291B"/>
    <w:rsid w:val="00AA2A4F"/>
    <w:rsid w:val="00AA3595"/>
    <w:rsid w:val="00AA3E64"/>
    <w:rsid w:val="00AA42BD"/>
    <w:rsid w:val="00AA4404"/>
    <w:rsid w:val="00AA47A4"/>
    <w:rsid w:val="00AA51C4"/>
    <w:rsid w:val="00AA533F"/>
    <w:rsid w:val="00AA5B4E"/>
    <w:rsid w:val="00AA67C8"/>
    <w:rsid w:val="00AA6CAA"/>
    <w:rsid w:val="00AA77BE"/>
    <w:rsid w:val="00AB02BE"/>
    <w:rsid w:val="00AB1009"/>
    <w:rsid w:val="00AB2461"/>
    <w:rsid w:val="00AB2472"/>
    <w:rsid w:val="00AB29D2"/>
    <w:rsid w:val="00AB34E0"/>
    <w:rsid w:val="00AB37BE"/>
    <w:rsid w:val="00AB46C7"/>
    <w:rsid w:val="00AB4A3F"/>
    <w:rsid w:val="00AB4D12"/>
    <w:rsid w:val="00AB6485"/>
    <w:rsid w:val="00AB7147"/>
    <w:rsid w:val="00AB7A7A"/>
    <w:rsid w:val="00AC06CF"/>
    <w:rsid w:val="00AC0997"/>
    <w:rsid w:val="00AC1C25"/>
    <w:rsid w:val="00AC1EFB"/>
    <w:rsid w:val="00AC1F12"/>
    <w:rsid w:val="00AC2F0F"/>
    <w:rsid w:val="00AC3005"/>
    <w:rsid w:val="00AC3C78"/>
    <w:rsid w:val="00AC4157"/>
    <w:rsid w:val="00AC66EA"/>
    <w:rsid w:val="00AC69D5"/>
    <w:rsid w:val="00AD1001"/>
    <w:rsid w:val="00AD2249"/>
    <w:rsid w:val="00AD49CD"/>
    <w:rsid w:val="00AD4A84"/>
    <w:rsid w:val="00AD55AF"/>
    <w:rsid w:val="00AD5C91"/>
    <w:rsid w:val="00AD61E7"/>
    <w:rsid w:val="00AD62BF"/>
    <w:rsid w:val="00AD6495"/>
    <w:rsid w:val="00AD6989"/>
    <w:rsid w:val="00AD70E1"/>
    <w:rsid w:val="00AD774E"/>
    <w:rsid w:val="00AD780F"/>
    <w:rsid w:val="00AD7C04"/>
    <w:rsid w:val="00AD7E23"/>
    <w:rsid w:val="00AE0A2D"/>
    <w:rsid w:val="00AE0BE5"/>
    <w:rsid w:val="00AE1C3A"/>
    <w:rsid w:val="00AE2499"/>
    <w:rsid w:val="00AE29B3"/>
    <w:rsid w:val="00AE2AA9"/>
    <w:rsid w:val="00AE31B5"/>
    <w:rsid w:val="00AE40F2"/>
    <w:rsid w:val="00AE6181"/>
    <w:rsid w:val="00AE62B2"/>
    <w:rsid w:val="00AE7065"/>
    <w:rsid w:val="00AE7674"/>
    <w:rsid w:val="00AF0916"/>
    <w:rsid w:val="00AF1E84"/>
    <w:rsid w:val="00AF1EE7"/>
    <w:rsid w:val="00AF2745"/>
    <w:rsid w:val="00AF2B77"/>
    <w:rsid w:val="00AF3A03"/>
    <w:rsid w:val="00AF4DC2"/>
    <w:rsid w:val="00AF51AE"/>
    <w:rsid w:val="00AF6EE1"/>
    <w:rsid w:val="00AF7CB2"/>
    <w:rsid w:val="00B00635"/>
    <w:rsid w:val="00B01C4B"/>
    <w:rsid w:val="00B01E56"/>
    <w:rsid w:val="00B024BB"/>
    <w:rsid w:val="00B02E48"/>
    <w:rsid w:val="00B03103"/>
    <w:rsid w:val="00B067F5"/>
    <w:rsid w:val="00B069B2"/>
    <w:rsid w:val="00B07415"/>
    <w:rsid w:val="00B105B2"/>
    <w:rsid w:val="00B10AB2"/>
    <w:rsid w:val="00B11E76"/>
    <w:rsid w:val="00B126B3"/>
    <w:rsid w:val="00B12C84"/>
    <w:rsid w:val="00B13034"/>
    <w:rsid w:val="00B13F65"/>
    <w:rsid w:val="00B1571C"/>
    <w:rsid w:val="00B15D19"/>
    <w:rsid w:val="00B15FB4"/>
    <w:rsid w:val="00B160FD"/>
    <w:rsid w:val="00B16A99"/>
    <w:rsid w:val="00B16E0E"/>
    <w:rsid w:val="00B16E34"/>
    <w:rsid w:val="00B225A8"/>
    <w:rsid w:val="00B237BA"/>
    <w:rsid w:val="00B24180"/>
    <w:rsid w:val="00B24479"/>
    <w:rsid w:val="00B249A1"/>
    <w:rsid w:val="00B24BD7"/>
    <w:rsid w:val="00B250A0"/>
    <w:rsid w:val="00B25850"/>
    <w:rsid w:val="00B2615E"/>
    <w:rsid w:val="00B301B4"/>
    <w:rsid w:val="00B30388"/>
    <w:rsid w:val="00B30A08"/>
    <w:rsid w:val="00B30E59"/>
    <w:rsid w:val="00B313F3"/>
    <w:rsid w:val="00B31A3B"/>
    <w:rsid w:val="00B31C16"/>
    <w:rsid w:val="00B32088"/>
    <w:rsid w:val="00B339F6"/>
    <w:rsid w:val="00B33BC3"/>
    <w:rsid w:val="00B3401D"/>
    <w:rsid w:val="00B34172"/>
    <w:rsid w:val="00B345D1"/>
    <w:rsid w:val="00B3616B"/>
    <w:rsid w:val="00B36624"/>
    <w:rsid w:val="00B36643"/>
    <w:rsid w:val="00B36D0B"/>
    <w:rsid w:val="00B36EA2"/>
    <w:rsid w:val="00B37022"/>
    <w:rsid w:val="00B3706F"/>
    <w:rsid w:val="00B3743E"/>
    <w:rsid w:val="00B41254"/>
    <w:rsid w:val="00B41662"/>
    <w:rsid w:val="00B424E3"/>
    <w:rsid w:val="00B425A2"/>
    <w:rsid w:val="00B42C43"/>
    <w:rsid w:val="00B4361F"/>
    <w:rsid w:val="00B43D1B"/>
    <w:rsid w:val="00B43F93"/>
    <w:rsid w:val="00B44CBD"/>
    <w:rsid w:val="00B44F71"/>
    <w:rsid w:val="00B4652E"/>
    <w:rsid w:val="00B46828"/>
    <w:rsid w:val="00B46A6D"/>
    <w:rsid w:val="00B46E13"/>
    <w:rsid w:val="00B47537"/>
    <w:rsid w:val="00B507D7"/>
    <w:rsid w:val="00B509E6"/>
    <w:rsid w:val="00B51430"/>
    <w:rsid w:val="00B5172B"/>
    <w:rsid w:val="00B517CD"/>
    <w:rsid w:val="00B51B8E"/>
    <w:rsid w:val="00B52549"/>
    <w:rsid w:val="00B525FE"/>
    <w:rsid w:val="00B53543"/>
    <w:rsid w:val="00B538D5"/>
    <w:rsid w:val="00B53FFA"/>
    <w:rsid w:val="00B5427C"/>
    <w:rsid w:val="00B5436B"/>
    <w:rsid w:val="00B5494C"/>
    <w:rsid w:val="00B554D4"/>
    <w:rsid w:val="00B566D8"/>
    <w:rsid w:val="00B56C46"/>
    <w:rsid w:val="00B571B1"/>
    <w:rsid w:val="00B5749E"/>
    <w:rsid w:val="00B57D47"/>
    <w:rsid w:val="00B57EE5"/>
    <w:rsid w:val="00B60739"/>
    <w:rsid w:val="00B612FA"/>
    <w:rsid w:val="00B61E35"/>
    <w:rsid w:val="00B62440"/>
    <w:rsid w:val="00B6277C"/>
    <w:rsid w:val="00B640FC"/>
    <w:rsid w:val="00B645F3"/>
    <w:rsid w:val="00B6580A"/>
    <w:rsid w:val="00B66F48"/>
    <w:rsid w:val="00B67442"/>
    <w:rsid w:val="00B67AD8"/>
    <w:rsid w:val="00B70569"/>
    <w:rsid w:val="00B71C1B"/>
    <w:rsid w:val="00B725C1"/>
    <w:rsid w:val="00B72944"/>
    <w:rsid w:val="00B729B3"/>
    <w:rsid w:val="00B72B1F"/>
    <w:rsid w:val="00B72B47"/>
    <w:rsid w:val="00B73078"/>
    <w:rsid w:val="00B743FB"/>
    <w:rsid w:val="00B75255"/>
    <w:rsid w:val="00B75276"/>
    <w:rsid w:val="00B76A60"/>
    <w:rsid w:val="00B76B58"/>
    <w:rsid w:val="00B77900"/>
    <w:rsid w:val="00B77C02"/>
    <w:rsid w:val="00B802B1"/>
    <w:rsid w:val="00B80D34"/>
    <w:rsid w:val="00B81D70"/>
    <w:rsid w:val="00B82BAD"/>
    <w:rsid w:val="00B83B94"/>
    <w:rsid w:val="00B845C3"/>
    <w:rsid w:val="00B848E6"/>
    <w:rsid w:val="00B85F4B"/>
    <w:rsid w:val="00B873C7"/>
    <w:rsid w:val="00B8770C"/>
    <w:rsid w:val="00B909CB"/>
    <w:rsid w:val="00B91897"/>
    <w:rsid w:val="00B92A6A"/>
    <w:rsid w:val="00B92B10"/>
    <w:rsid w:val="00B93015"/>
    <w:rsid w:val="00B930D1"/>
    <w:rsid w:val="00B93175"/>
    <w:rsid w:val="00B93DBE"/>
    <w:rsid w:val="00B93EFC"/>
    <w:rsid w:val="00B947A5"/>
    <w:rsid w:val="00B94DA5"/>
    <w:rsid w:val="00B958BC"/>
    <w:rsid w:val="00B9592F"/>
    <w:rsid w:val="00B96C3B"/>
    <w:rsid w:val="00B972B8"/>
    <w:rsid w:val="00BA0766"/>
    <w:rsid w:val="00BA1036"/>
    <w:rsid w:val="00BA1708"/>
    <w:rsid w:val="00BA23FA"/>
    <w:rsid w:val="00BA2BD1"/>
    <w:rsid w:val="00BA2BFA"/>
    <w:rsid w:val="00BA30D5"/>
    <w:rsid w:val="00BA3DFD"/>
    <w:rsid w:val="00BA47C1"/>
    <w:rsid w:val="00BA57C9"/>
    <w:rsid w:val="00BA68BB"/>
    <w:rsid w:val="00BA6A6C"/>
    <w:rsid w:val="00BA72C9"/>
    <w:rsid w:val="00BA74D7"/>
    <w:rsid w:val="00BA778B"/>
    <w:rsid w:val="00BA7F9B"/>
    <w:rsid w:val="00BB0BC0"/>
    <w:rsid w:val="00BB0ECD"/>
    <w:rsid w:val="00BB13BF"/>
    <w:rsid w:val="00BB1B46"/>
    <w:rsid w:val="00BB21EA"/>
    <w:rsid w:val="00BB267E"/>
    <w:rsid w:val="00BB2AA3"/>
    <w:rsid w:val="00BB2B4E"/>
    <w:rsid w:val="00BB36CC"/>
    <w:rsid w:val="00BB38B1"/>
    <w:rsid w:val="00BB47F7"/>
    <w:rsid w:val="00BB58D3"/>
    <w:rsid w:val="00BB5923"/>
    <w:rsid w:val="00BB608A"/>
    <w:rsid w:val="00BB63A7"/>
    <w:rsid w:val="00BB71CE"/>
    <w:rsid w:val="00BB7EEF"/>
    <w:rsid w:val="00BC0B87"/>
    <w:rsid w:val="00BC1C12"/>
    <w:rsid w:val="00BC284E"/>
    <w:rsid w:val="00BC2B70"/>
    <w:rsid w:val="00BC2C84"/>
    <w:rsid w:val="00BC2D31"/>
    <w:rsid w:val="00BC351F"/>
    <w:rsid w:val="00BC3FF7"/>
    <w:rsid w:val="00BC4B21"/>
    <w:rsid w:val="00BC4C43"/>
    <w:rsid w:val="00BC4D05"/>
    <w:rsid w:val="00BC50CD"/>
    <w:rsid w:val="00BC56A2"/>
    <w:rsid w:val="00BC634A"/>
    <w:rsid w:val="00BC6F1E"/>
    <w:rsid w:val="00BC7BAE"/>
    <w:rsid w:val="00BC7FDE"/>
    <w:rsid w:val="00BD00B8"/>
    <w:rsid w:val="00BD05A9"/>
    <w:rsid w:val="00BD09B5"/>
    <w:rsid w:val="00BD0AE4"/>
    <w:rsid w:val="00BD1566"/>
    <w:rsid w:val="00BD1B87"/>
    <w:rsid w:val="00BD1BEA"/>
    <w:rsid w:val="00BD29C6"/>
    <w:rsid w:val="00BD2B7E"/>
    <w:rsid w:val="00BD2F1E"/>
    <w:rsid w:val="00BD3741"/>
    <w:rsid w:val="00BD3D8E"/>
    <w:rsid w:val="00BD4566"/>
    <w:rsid w:val="00BD4E1E"/>
    <w:rsid w:val="00BD69B4"/>
    <w:rsid w:val="00BD6D95"/>
    <w:rsid w:val="00BD72D6"/>
    <w:rsid w:val="00BD7D10"/>
    <w:rsid w:val="00BE03C1"/>
    <w:rsid w:val="00BE0AB9"/>
    <w:rsid w:val="00BE17E4"/>
    <w:rsid w:val="00BE202B"/>
    <w:rsid w:val="00BE20A7"/>
    <w:rsid w:val="00BE3669"/>
    <w:rsid w:val="00BE3719"/>
    <w:rsid w:val="00BE3992"/>
    <w:rsid w:val="00BE3EA9"/>
    <w:rsid w:val="00BE40F2"/>
    <w:rsid w:val="00BE456D"/>
    <w:rsid w:val="00BE4950"/>
    <w:rsid w:val="00BE5380"/>
    <w:rsid w:val="00BE58EF"/>
    <w:rsid w:val="00BE6737"/>
    <w:rsid w:val="00BE6756"/>
    <w:rsid w:val="00BE6D58"/>
    <w:rsid w:val="00BE76E1"/>
    <w:rsid w:val="00BE7870"/>
    <w:rsid w:val="00BE7AC6"/>
    <w:rsid w:val="00BF118E"/>
    <w:rsid w:val="00BF37DB"/>
    <w:rsid w:val="00BF3CD4"/>
    <w:rsid w:val="00BF4336"/>
    <w:rsid w:val="00BF47C5"/>
    <w:rsid w:val="00BF47D7"/>
    <w:rsid w:val="00BF4C6E"/>
    <w:rsid w:val="00BF5475"/>
    <w:rsid w:val="00BF55BA"/>
    <w:rsid w:val="00BF5AAB"/>
    <w:rsid w:val="00BF6C34"/>
    <w:rsid w:val="00BF7880"/>
    <w:rsid w:val="00BF7C5A"/>
    <w:rsid w:val="00C00F24"/>
    <w:rsid w:val="00C029D5"/>
    <w:rsid w:val="00C02AC8"/>
    <w:rsid w:val="00C03551"/>
    <w:rsid w:val="00C03669"/>
    <w:rsid w:val="00C044C6"/>
    <w:rsid w:val="00C04609"/>
    <w:rsid w:val="00C04C94"/>
    <w:rsid w:val="00C05311"/>
    <w:rsid w:val="00C070F7"/>
    <w:rsid w:val="00C0781F"/>
    <w:rsid w:val="00C10D35"/>
    <w:rsid w:val="00C12BCB"/>
    <w:rsid w:val="00C13DC8"/>
    <w:rsid w:val="00C148EA"/>
    <w:rsid w:val="00C14EF6"/>
    <w:rsid w:val="00C15388"/>
    <w:rsid w:val="00C157A2"/>
    <w:rsid w:val="00C16719"/>
    <w:rsid w:val="00C16A46"/>
    <w:rsid w:val="00C16D5E"/>
    <w:rsid w:val="00C174DC"/>
    <w:rsid w:val="00C175A1"/>
    <w:rsid w:val="00C178B1"/>
    <w:rsid w:val="00C17D57"/>
    <w:rsid w:val="00C200C5"/>
    <w:rsid w:val="00C207E4"/>
    <w:rsid w:val="00C2125C"/>
    <w:rsid w:val="00C21366"/>
    <w:rsid w:val="00C21DA8"/>
    <w:rsid w:val="00C23DD0"/>
    <w:rsid w:val="00C25EF6"/>
    <w:rsid w:val="00C26576"/>
    <w:rsid w:val="00C27BF3"/>
    <w:rsid w:val="00C32650"/>
    <w:rsid w:val="00C33252"/>
    <w:rsid w:val="00C332B6"/>
    <w:rsid w:val="00C34038"/>
    <w:rsid w:val="00C34164"/>
    <w:rsid w:val="00C34F6D"/>
    <w:rsid w:val="00C356A0"/>
    <w:rsid w:val="00C35A05"/>
    <w:rsid w:val="00C35A52"/>
    <w:rsid w:val="00C36AB4"/>
    <w:rsid w:val="00C37361"/>
    <w:rsid w:val="00C37616"/>
    <w:rsid w:val="00C404B6"/>
    <w:rsid w:val="00C40568"/>
    <w:rsid w:val="00C40AAC"/>
    <w:rsid w:val="00C410BC"/>
    <w:rsid w:val="00C41B3D"/>
    <w:rsid w:val="00C42B05"/>
    <w:rsid w:val="00C42D4D"/>
    <w:rsid w:val="00C42DB5"/>
    <w:rsid w:val="00C42E9D"/>
    <w:rsid w:val="00C42FAA"/>
    <w:rsid w:val="00C4301E"/>
    <w:rsid w:val="00C438DB"/>
    <w:rsid w:val="00C44867"/>
    <w:rsid w:val="00C44FD6"/>
    <w:rsid w:val="00C45B0A"/>
    <w:rsid w:val="00C45CE6"/>
    <w:rsid w:val="00C45DDC"/>
    <w:rsid w:val="00C4642F"/>
    <w:rsid w:val="00C46A12"/>
    <w:rsid w:val="00C500A8"/>
    <w:rsid w:val="00C5044B"/>
    <w:rsid w:val="00C5060E"/>
    <w:rsid w:val="00C514E8"/>
    <w:rsid w:val="00C5219E"/>
    <w:rsid w:val="00C52646"/>
    <w:rsid w:val="00C52D6F"/>
    <w:rsid w:val="00C53CB1"/>
    <w:rsid w:val="00C5464D"/>
    <w:rsid w:val="00C55175"/>
    <w:rsid w:val="00C5615D"/>
    <w:rsid w:val="00C562E5"/>
    <w:rsid w:val="00C610FC"/>
    <w:rsid w:val="00C612C0"/>
    <w:rsid w:val="00C61487"/>
    <w:rsid w:val="00C61592"/>
    <w:rsid w:val="00C61CB1"/>
    <w:rsid w:val="00C62A4D"/>
    <w:rsid w:val="00C630A2"/>
    <w:rsid w:val="00C63889"/>
    <w:rsid w:val="00C6423C"/>
    <w:rsid w:val="00C646D9"/>
    <w:rsid w:val="00C64724"/>
    <w:rsid w:val="00C64E2C"/>
    <w:rsid w:val="00C66C9C"/>
    <w:rsid w:val="00C67158"/>
    <w:rsid w:val="00C67307"/>
    <w:rsid w:val="00C674E4"/>
    <w:rsid w:val="00C6757C"/>
    <w:rsid w:val="00C72015"/>
    <w:rsid w:val="00C738E0"/>
    <w:rsid w:val="00C73FB3"/>
    <w:rsid w:val="00C73FC1"/>
    <w:rsid w:val="00C750B2"/>
    <w:rsid w:val="00C75961"/>
    <w:rsid w:val="00C76408"/>
    <w:rsid w:val="00C766E0"/>
    <w:rsid w:val="00C77914"/>
    <w:rsid w:val="00C8016C"/>
    <w:rsid w:val="00C801AB"/>
    <w:rsid w:val="00C802DF"/>
    <w:rsid w:val="00C8094F"/>
    <w:rsid w:val="00C83A3F"/>
    <w:rsid w:val="00C83FC0"/>
    <w:rsid w:val="00C86000"/>
    <w:rsid w:val="00C86AA8"/>
    <w:rsid w:val="00C9167E"/>
    <w:rsid w:val="00C92527"/>
    <w:rsid w:val="00C9330E"/>
    <w:rsid w:val="00C934D9"/>
    <w:rsid w:val="00C93873"/>
    <w:rsid w:val="00C93C25"/>
    <w:rsid w:val="00C93D23"/>
    <w:rsid w:val="00C94BF6"/>
    <w:rsid w:val="00C94C0D"/>
    <w:rsid w:val="00C95D77"/>
    <w:rsid w:val="00C95DED"/>
    <w:rsid w:val="00C9680A"/>
    <w:rsid w:val="00C96A3A"/>
    <w:rsid w:val="00C97C48"/>
    <w:rsid w:val="00CA0862"/>
    <w:rsid w:val="00CA0E0C"/>
    <w:rsid w:val="00CA1DAD"/>
    <w:rsid w:val="00CA2D25"/>
    <w:rsid w:val="00CA4059"/>
    <w:rsid w:val="00CA497E"/>
    <w:rsid w:val="00CA4B2A"/>
    <w:rsid w:val="00CA6AAD"/>
    <w:rsid w:val="00CA6B99"/>
    <w:rsid w:val="00CA7802"/>
    <w:rsid w:val="00CA7FA3"/>
    <w:rsid w:val="00CB0EE1"/>
    <w:rsid w:val="00CB1B62"/>
    <w:rsid w:val="00CB1E73"/>
    <w:rsid w:val="00CB3271"/>
    <w:rsid w:val="00CB3A15"/>
    <w:rsid w:val="00CB3CBF"/>
    <w:rsid w:val="00CB4C15"/>
    <w:rsid w:val="00CB5006"/>
    <w:rsid w:val="00CB56EB"/>
    <w:rsid w:val="00CB7AFB"/>
    <w:rsid w:val="00CC068A"/>
    <w:rsid w:val="00CC0FA2"/>
    <w:rsid w:val="00CC145B"/>
    <w:rsid w:val="00CC1E82"/>
    <w:rsid w:val="00CC2508"/>
    <w:rsid w:val="00CC2898"/>
    <w:rsid w:val="00CC375E"/>
    <w:rsid w:val="00CC47CB"/>
    <w:rsid w:val="00CC6C04"/>
    <w:rsid w:val="00CD0200"/>
    <w:rsid w:val="00CD083F"/>
    <w:rsid w:val="00CD120B"/>
    <w:rsid w:val="00CD14B4"/>
    <w:rsid w:val="00CD1D17"/>
    <w:rsid w:val="00CD2816"/>
    <w:rsid w:val="00CD3430"/>
    <w:rsid w:val="00CD388F"/>
    <w:rsid w:val="00CD456D"/>
    <w:rsid w:val="00CD485E"/>
    <w:rsid w:val="00CD4DA0"/>
    <w:rsid w:val="00CD500C"/>
    <w:rsid w:val="00CD5C92"/>
    <w:rsid w:val="00CD7595"/>
    <w:rsid w:val="00CD7B84"/>
    <w:rsid w:val="00CE0CB5"/>
    <w:rsid w:val="00CE0E72"/>
    <w:rsid w:val="00CE3CD8"/>
    <w:rsid w:val="00CE40F0"/>
    <w:rsid w:val="00CE4FBD"/>
    <w:rsid w:val="00CE74BB"/>
    <w:rsid w:val="00CE7882"/>
    <w:rsid w:val="00CE7F48"/>
    <w:rsid w:val="00CF1A73"/>
    <w:rsid w:val="00CF1F12"/>
    <w:rsid w:val="00CF2B4B"/>
    <w:rsid w:val="00CF395A"/>
    <w:rsid w:val="00CF3EE7"/>
    <w:rsid w:val="00CF45E0"/>
    <w:rsid w:val="00CF5C93"/>
    <w:rsid w:val="00CF66F9"/>
    <w:rsid w:val="00CF6E01"/>
    <w:rsid w:val="00CF78EB"/>
    <w:rsid w:val="00CF7B44"/>
    <w:rsid w:val="00D00501"/>
    <w:rsid w:val="00D00CE8"/>
    <w:rsid w:val="00D01369"/>
    <w:rsid w:val="00D01FD0"/>
    <w:rsid w:val="00D03500"/>
    <w:rsid w:val="00D03A9A"/>
    <w:rsid w:val="00D03D4D"/>
    <w:rsid w:val="00D048C9"/>
    <w:rsid w:val="00D06E55"/>
    <w:rsid w:val="00D0776E"/>
    <w:rsid w:val="00D0796B"/>
    <w:rsid w:val="00D10A19"/>
    <w:rsid w:val="00D10D66"/>
    <w:rsid w:val="00D112FA"/>
    <w:rsid w:val="00D113B6"/>
    <w:rsid w:val="00D11ABF"/>
    <w:rsid w:val="00D12510"/>
    <w:rsid w:val="00D12656"/>
    <w:rsid w:val="00D12BA1"/>
    <w:rsid w:val="00D13FEC"/>
    <w:rsid w:val="00D14D89"/>
    <w:rsid w:val="00D1583A"/>
    <w:rsid w:val="00D162D5"/>
    <w:rsid w:val="00D16E46"/>
    <w:rsid w:val="00D174BD"/>
    <w:rsid w:val="00D17F57"/>
    <w:rsid w:val="00D20B4F"/>
    <w:rsid w:val="00D20BC2"/>
    <w:rsid w:val="00D2225D"/>
    <w:rsid w:val="00D22A1F"/>
    <w:rsid w:val="00D22AFC"/>
    <w:rsid w:val="00D22F80"/>
    <w:rsid w:val="00D24C7B"/>
    <w:rsid w:val="00D24D57"/>
    <w:rsid w:val="00D25BB2"/>
    <w:rsid w:val="00D266F0"/>
    <w:rsid w:val="00D26742"/>
    <w:rsid w:val="00D270A8"/>
    <w:rsid w:val="00D27E80"/>
    <w:rsid w:val="00D303BF"/>
    <w:rsid w:val="00D308C1"/>
    <w:rsid w:val="00D30E13"/>
    <w:rsid w:val="00D31122"/>
    <w:rsid w:val="00D31500"/>
    <w:rsid w:val="00D32233"/>
    <w:rsid w:val="00D32BDC"/>
    <w:rsid w:val="00D33462"/>
    <w:rsid w:val="00D33770"/>
    <w:rsid w:val="00D337F3"/>
    <w:rsid w:val="00D33A27"/>
    <w:rsid w:val="00D33D89"/>
    <w:rsid w:val="00D34420"/>
    <w:rsid w:val="00D34439"/>
    <w:rsid w:val="00D34FA3"/>
    <w:rsid w:val="00D35C20"/>
    <w:rsid w:val="00D35E75"/>
    <w:rsid w:val="00D3629A"/>
    <w:rsid w:val="00D3663E"/>
    <w:rsid w:val="00D36999"/>
    <w:rsid w:val="00D37C77"/>
    <w:rsid w:val="00D4188F"/>
    <w:rsid w:val="00D41D2F"/>
    <w:rsid w:val="00D420FD"/>
    <w:rsid w:val="00D4218A"/>
    <w:rsid w:val="00D421B4"/>
    <w:rsid w:val="00D42666"/>
    <w:rsid w:val="00D429A0"/>
    <w:rsid w:val="00D42F36"/>
    <w:rsid w:val="00D4362C"/>
    <w:rsid w:val="00D437E1"/>
    <w:rsid w:val="00D43A46"/>
    <w:rsid w:val="00D4404A"/>
    <w:rsid w:val="00D44721"/>
    <w:rsid w:val="00D44EE8"/>
    <w:rsid w:val="00D44F97"/>
    <w:rsid w:val="00D454FB"/>
    <w:rsid w:val="00D45C97"/>
    <w:rsid w:val="00D461C0"/>
    <w:rsid w:val="00D46416"/>
    <w:rsid w:val="00D4684B"/>
    <w:rsid w:val="00D46F4B"/>
    <w:rsid w:val="00D4790E"/>
    <w:rsid w:val="00D5130A"/>
    <w:rsid w:val="00D513C5"/>
    <w:rsid w:val="00D52214"/>
    <w:rsid w:val="00D52EDB"/>
    <w:rsid w:val="00D53919"/>
    <w:rsid w:val="00D546E2"/>
    <w:rsid w:val="00D54D78"/>
    <w:rsid w:val="00D56BEB"/>
    <w:rsid w:val="00D56E7F"/>
    <w:rsid w:val="00D571A7"/>
    <w:rsid w:val="00D579E1"/>
    <w:rsid w:val="00D61154"/>
    <w:rsid w:val="00D612FE"/>
    <w:rsid w:val="00D617A1"/>
    <w:rsid w:val="00D62B25"/>
    <w:rsid w:val="00D62DA2"/>
    <w:rsid w:val="00D62E38"/>
    <w:rsid w:val="00D62EE4"/>
    <w:rsid w:val="00D63B9F"/>
    <w:rsid w:val="00D63E8E"/>
    <w:rsid w:val="00D642FD"/>
    <w:rsid w:val="00D64590"/>
    <w:rsid w:val="00D645F7"/>
    <w:rsid w:val="00D66078"/>
    <w:rsid w:val="00D66CD3"/>
    <w:rsid w:val="00D67B8E"/>
    <w:rsid w:val="00D71145"/>
    <w:rsid w:val="00D71451"/>
    <w:rsid w:val="00D71ACE"/>
    <w:rsid w:val="00D723AD"/>
    <w:rsid w:val="00D725A3"/>
    <w:rsid w:val="00D72662"/>
    <w:rsid w:val="00D73183"/>
    <w:rsid w:val="00D7321F"/>
    <w:rsid w:val="00D7399E"/>
    <w:rsid w:val="00D74844"/>
    <w:rsid w:val="00D74E26"/>
    <w:rsid w:val="00D74F79"/>
    <w:rsid w:val="00D753BB"/>
    <w:rsid w:val="00D7678E"/>
    <w:rsid w:val="00D76B8B"/>
    <w:rsid w:val="00D8037A"/>
    <w:rsid w:val="00D80839"/>
    <w:rsid w:val="00D80F28"/>
    <w:rsid w:val="00D812D5"/>
    <w:rsid w:val="00D81C2B"/>
    <w:rsid w:val="00D82132"/>
    <w:rsid w:val="00D827BB"/>
    <w:rsid w:val="00D83267"/>
    <w:rsid w:val="00D84A3D"/>
    <w:rsid w:val="00D85BEC"/>
    <w:rsid w:val="00D867F6"/>
    <w:rsid w:val="00D86A1E"/>
    <w:rsid w:val="00D86B51"/>
    <w:rsid w:val="00D90550"/>
    <w:rsid w:val="00D9074A"/>
    <w:rsid w:val="00D90826"/>
    <w:rsid w:val="00D90CB8"/>
    <w:rsid w:val="00D9119C"/>
    <w:rsid w:val="00D91448"/>
    <w:rsid w:val="00D919CA"/>
    <w:rsid w:val="00D91F52"/>
    <w:rsid w:val="00D92167"/>
    <w:rsid w:val="00D92E90"/>
    <w:rsid w:val="00D932FB"/>
    <w:rsid w:val="00D937F9"/>
    <w:rsid w:val="00D97BD8"/>
    <w:rsid w:val="00DA034D"/>
    <w:rsid w:val="00DA038E"/>
    <w:rsid w:val="00DA04B9"/>
    <w:rsid w:val="00DA13F3"/>
    <w:rsid w:val="00DA2A34"/>
    <w:rsid w:val="00DA2B86"/>
    <w:rsid w:val="00DA2E74"/>
    <w:rsid w:val="00DA2FBC"/>
    <w:rsid w:val="00DA36B2"/>
    <w:rsid w:val="00DA3A88"/>
    <w:rsid w:val="00DA480A"/>
    <w:rsid w:val="00DA5D6D"/>
    <w:rsid w:val="00DA67B7"/>
    <w:rsid w:val="00DA69FE"/>
    <w:rsid w:val="00DB00F6"/>
    <w:rsid w:val="00DB02D9"/>
    <w:rsid w:val="00DB13E2"/>
    <w:rsid w:val="00DB2E45"/>
    <w:rsid w:val="00DB3E41"/>
    <w:rsid w:val="00DB3E58"/>
    <w:rsid w:val="00DB443F"/>
    <w:rsid w:val="00DB4637"/>
    <w:rsid w:val="00DB4726"/>
    <w:rsid w:val="00DB4A2C"/>
    <w:rsid w:val="00DB5032"/>
    <w:rsid w:val="00DB6409"/>
    <w:rsid w:val="00DB6697"/>
    <w:rsid w:val="00DC0C60"/>
    <w:rsid w:val="00DC11F3"/>
    <w:rsid w:val="00DC12FC"/>
    <w:rsid w:val="00DC1D93"/>
    <w:rsid w:val="00DC2C83"/>
    <w:rsid w:val="00DC2F63"/>
    <w:rsid w:val="00DC32B4"/>
    <w:rsid w:val="00DC48EA"/>
    <w:rsid w:val="00DC509A"/>
    <w:rsid w:val="00DC5608"/>
    <w:rsid w:val="00DC56BE"/>
    <w:rsid w:val="00DC6291"/>
    <w:rsid w:val="00DC66BA"/>
    <w:rsid w:val="00DC6CBF"/>
    <w:rsid w:val="00DC74EF"/>
    <w:rsid w:val="00DC757B"/>
    <w:rsid w:val="00DD0B04"/>
    <w:rsid w:val="00DD0E55"/>
    <w:rsid w:val="00DD0F30"/>
    <w:rsid w:val="00DD23CA"/>
    <w:rsid w:val="00DD27EB"/>
    <w:rsid w:val="00DD28A4"/>
    <w:rsid w:val="00DD2D88"/>
    <w:rsid w:val="00DD3D56"/>
    <w:rsid w:val="00DD432A"/>
    <w:rsid w:val="00DD4465"/>
    <w:rsid w:val="00DD510E"/>
    <w:rsid w:val="00DD5CE4"/>
    <w:rsid w:val="00DD6194"/>
    <w:rsid w:val="00DE09D6"/>
    <w:rsid w:val="00DE1616"/>
    <w:rsid w:val="00DE2DDF"/>
    <w:rsid w:val="00DE38F9"/>
    <w:rsid w:val="00DE3FCC"/>
    <w:rsid w:val="00DE4756"/>
    <w:rsid w:val="00DE479C"/>
    <w:rsid w:val="00DE55F0"/>
    <w:rsid w:val="00DE68B4"/>
    <w:rsid w:val="00DF0320"/>
    <w:rsid w:val="00DF1782"/>
    <w:rsid w:val="00DF1B40"/>
    <w:rsid w:val="00DF2B7C"/>
    <w:rsid w:val="00DF2C90"/>
    <w:rsid w:val="00DF32A1"/>
    <w:rsid w:val="00DF3939"/>
    <w:rsid w:val="00DF4F48"/>
    <w:rsid w:val="00DF62C4"/>
    <w:rsid w:val="00DF6DA9"/>
    <w:rsid w:val="00E003B6"/>
    <w:rsid w:val="00E0247A"/>
    <w:rsid w:val="00E02A2A"/>
    <w:rsid w:val="00E03CD9"/>
    <w:rsid w:val="00E0435D"/>
    <w:rsid w:val="00E046B5"/>
    <w:rsid w:val="00E04977"/>
    <w:rsid w:val="00E05CBE"/>
    <w:rsid w:val="00E05E71"/>
    <w:rsid w:val="00E0671D"/>
    <w:rsid w:val="00E074F7"/>
    <w:rsid w:val="00E10184"/>
    <w:rsid w:val="00E105EC"/>
    <w:rsid w:val="00E10ADB"/>
    <w:rsid w:val="00E10C26"/>
    <w:rsid w:val="00E12C5F"/>
    <w:rsid w:val="00E136CE"/>
    <w:rsid w:val="00E141C3"/>
    <w:rsid w:val="00E165B5"/>
    <w:rsid w:val="00E17C7A"/>
    <w:rsid w:val="00E21A1B"/>
    <w:rsid w:val="00E21D0C"/>
    <w:rsid w:val="00E220E6"/>
    <w:rsid w:val="00E239F9"/>
    <w:rsid w:val="00E24483"/>
    <w:rsid w:val="00E257E5"/>
    <w:rsid w:val="00E258BE"/>
    <w:rsid w:val="00E25E9B"/>
    <w:rsid w:val="00E263CD"/>
    <w:rsid w:val="00E2690B"/>
    <w:rsid w:val="00E26C5F"/>
    <w:rsid w:val="00E2799B"/>
    <w:rsid w:val="00E27CCA"/>
    <w:rsid w:val="00E3005E"/>
    <w:rsid w:val="00E30BCA"/>
    <w:rsid w:val="00E30FB5"/>
    <w:rsid w:val="00E31463"/>
    <w:rsid w:val="00E31A2C"/>
    <w:rsid w:val="00E320F0"/>
    <w:rsid w:val="00E3368F"/>
    <w:rsid w:val="00E33699"/>
    <w:rsid w:val="00E34516"/>
    <w:rsid w:val="00E34AEE"/>
    <w:rsid w:val="00E35310"/>
    <w:rsid w:val="00E35E35"/>
    <w:rsid w:val="00E4029B"/>
    <w:rsid w:val="00E40B6C"/>
    <w:rsid w:val="00E412EB"/>
    <w:rsid w:val="00E41A29"/>
    <w:rsid w:val="00E41DB1"/>
    <w:rsid w:val="00E425AC"/>
    <w:rsid w:val="00E429B0"/>
    <w:rsid w:val="00E42A11"/>
    <w:rsid w:val="00E43950"/>
    <w:rsid w:val="00E44EA4"/>
    <w:rsid w:val="00E44F0E"/>
    <w:rsid w:val="00E455AC"/>
    <w:rsid w:val="00E45E16"/>
    <w:rsid w:val="00E4614B"/>
    <w:rsid w:val="00E462F4"/>
    <w:rsid w:val="00E46B24"/>
    <w:rsid w:val="00E46C52"/>
    <w:rsid w:val="00E477FB"/>
    <w:rsid w:val="00E47CC4"/>
    <w:rsid w:val="00E50899"/>
    <w:rsid w:val="00E50F2D"/>
    <w:rsid w:val="00E51DE6"/>
    <w:rsid w:val="00E51DEE"/>
    <w:rsid w:val="00E52075"/>
    <w:rsid w:val="00E52814"/>
    <w:rsid w:val="00E528DA"/>
    <w:rsid w:val="00E5333F"/>
    <w:rsid w:val="00E53D7D"/>
    <w:rsid w:val="00E53EB3"/>
    <w:rsid w:val="00E5414F"/>
    <w:rsid w:val="00E54352"/>
    <w:rsid w:val="00E544B9"/>
    <w:rsid w:val="00E54EA0"/>
    <w:rsid w:val="00E55577"/>
    <w:rsid w:val="00E561DC"/>
    <w:rsid w:val="00E5638A"/>
    <w:rsid w:val="00E56DC5"/>
    <w:rsid w:val="00E56F37"/>
    <w:rsid w:val="00E56FBB"/>
    <w:rsid w:val="00E571FA"/>
    <w:rsid w:val="00E57594"/>
    <w:rsid w:val="00E575BC"/>
    <w:rsid w:val="00E57985"/>
    <w:rsid w:val="00E60038"/>
    <w:rsid w:val="00E60104"/>
    <w:rsid w:val="00E60C12"/>
    <w:rsid w:val="00E613D7"/>
    <w:rsid w:val="00E617FD"/>
    <w:rsid w:val="00E619D0"/>
    <w:rsid w:val="00E620EF"/>
    <w:rsid w:val="00E62312"/>
    <w:rsid w:val="00E63755"/>
    <w:rsid w:val="00E63EA0"/>
    <w:rsid w:val="00E642AF"/>
    <w:rsid w:val="00E64D67"/>
    <w:rsid w:val="00E65107"/>
    <w:rsid w:val="00E654D6"/>
    <w:rsid w:val="00E65F59"/>
    <w:rsid w:val="00E663BD"/>
    <w:rsid w:val="00E664A6"/>
    <w:rsid w:val="00E670BD"/>
    <w:rsid w:val="00E67A0B"/>
    <w:rsid w:val="00E703E0"/>
    <w:rsid w:val="00E715A1"/>
    <w:rsid w:val="00E72C96"/>
    <w:rsid w:val="00E73A06"/>
    <w:rsid w:val="00E73D30"/>
    <w:rsid w:val="00E73E80"/>
    <w:rsid w:val="00E7420D"/>
    <w:rsid w:val="00E7525E"/>
    <w:rsid w:val="00E75B3D"/>
    <w:rsid w:val="00E75D97"/>
    <w:rsid w:val="00E75EA4"/>
    <w:rsid w:val="00E76C1F"/>
    <w:rsid w:val="00E76F35"/>
    <w:rsid w:val="00E77194"/>
    <w:rsid w:val="00E77229"/>
    <w:rsid w:val="00E77859"/>
    <w:rsid w:val="00E77E79"/>
    <w:rsid w:val="00E8018B"/>
    <w:rsid w:val="00E80703"/>
    <w:rsid w:val="00E8176A"/>
    <w:rsid w:val="00E81B10"/>
    <w:rsid w:val="00E82F0D"/>
    <w:rsid w:val="00E82FDA"/>
    <w:rsid w:val="00E83B07"/>
    <w:rsid w:val="00E840E1"/>
    <w:rsid w:val="00E84690"/>
    <w:rsid w:val="00E8497C"/>
    <w:rsid w:val="00E84E79"/>
    <w:rsid w:val="00E8699D"/>
    <w:rsid w:val="00E87617"/>
    <w:rsid w:val="00E9008C"/>
    <w:rsid w:val="00E90279"/>
    <w:rsid w:val="00E9078D"/>
    <w:rsid w:val="00E911E2"/>
    <w:rsid w:val="00E92593"/>
    <w:rsid w:val="00E92917"/>
    <w:rsid w:val="00E93789"/>
    <w:rsid w:val="00E93D2F"/>
    <w:rsid w:val="00E93DEA"/>
    <w:rsid w:val="00E947C7"/>
    <w:rsid w:val="00E94F0B"/>
    <w:rsid w:val="00E950BF"/>
    <w:rsid w:val="00E956AD"/>
    <w:rsid w:val="00E95E1A"/>
    <w:rsid w:val="00E95FB1"/>
    <w:rsid w:val="00E961D6"/>
    <w:rsid w:val="00E9624E"/>
    <w:rsid w:val="00E9632F"/>
    <w:rsid w:val="00E972B9"/>
    <w:rsid w:val="00E9753F"/>
    <w:rsid w:val="00E97F06"/>
    <w:rsid w:val="00EA01A4"/>
    <w:rsid w:val="00EA19C4"/>
    <w:rsid w:val="00EA1BA3"/>
    <w:rsid w:val="00EA25C0"/>
    <w:rsid w:val="00EA3FDA"/>
    <w:rsid w:val="00EA60B9"/>
    <w:rsid w:val="00EA671B"/>
    <w:rsid w:val="00EA69B7"/>
    <w:rsid w:val="00EA6A36"/>
    <w:rsid w:val="00EA6ADD"/>
    <w:rsid w:val="00EA7391"/>
    <w:rsid w:val="00EA773E"/>
    <w:rsid w:val="00EA7840"/>
    <w:rsid w:val="00EA78D6"/>
    <w:rsid w:val="00EA78EA"/>
    <w:rsid w:val="00EA799F"/>
    <w:rsid w:val="00EA7F2A"/>
    <w:rsid w:val="00EB123F"/>
    <w:rsid w:val="00EB1584"/>
    <w:rsid w:val="00EB17B1"/>
    <w:rsid w:val="00EB2624"/>
    <w:rsid w:val="00EB2FE6"/>
    <w:rsid w:val="00EB3499"/>
    <w:rsid w:val="00EB3F39"/>
    <w:rsid w:val="00EB4925"/>
    <w:rsid w:val="00EB4D81"/>
    <w:rsid w:val="00EB5015"/>
    <w:rsid w:val="00EB68BE"/>
    <w:rsid w:val="00EB6B37"/>
    <w:rsid w:val="00EB74B7"/>
    <w:rsid w:val="00EB7B4F"/>
    <w:rsid w:val="00EB7F16"/>
    <w:rsid w:val="00EC0BA4"/>
    <w:rsid w:val="00EC12AF"/>
    <w:rsid w:val="00EC276A"/>
    <w:rsid w:val="00EC2D07"/>
    <w:rsid w:val="00EC3051"/>
    <w:rsid w:val="00EC314A"/>
    <w:rsid w:val="00EC6CD8"/>
    <w:rsid w:val="00ED08ED"/>
    <w:rsid w:val="00ED0A15"/>
    <w:rsid w:val="00ED0FBE"/>
    <w:rsid w:val="00ED1783"/>
    <w:rsid w:val="00ED19D2"/>
    <w:rsid w:val="00ED1ACF"/>
    <w:rsid w:val="00ED1E98"/>
    <w:rsid w:val="00ED217B"/>
    <w:rsid w:val="00ED3110"/>
    <w:rsid w:val="00ED426A"/>
    <w:rsid w:val="00ED4390"/>
    <w:rsid w:val="00ED50AD"/>
    <w:rsid w:val="00ED5E7E"/>
    <w:rsid w:val="00ED6C64"/>
    <w:rsid w:val="00ED777E"/>
    <w:rsid w:val="00EE00A1"/>
    <w:rsid w:val="00EE079B"/>
    <w:rsid w:val="00EE1075"/>
    <w:rsid w:val="00EE1D66"/>
    <w:rsid w:val="00EE2CB3"/>
    <w:rsid w:val="00EE2E36"/>
    <w:rsid w:val="00EE3534"/>
    <w:rsid w:val="00EE4361"/>
    <w:rsid w:val="00EE47D0"/>
    <w:rsid w:val="00EE4B2D"/>
    <w:rsid w:val="00EE4E25"/>
    <w:rsid w:val="00EE53AC"/>
    <w:rsid w:val="00EE5859"/>
    <w:rsid w:val="00EE59D4"/>
    <w:rsid w:val="00EE651A"/>
    <w:rsid w:val="00EE685E"/>
    <w:rsid w:val="00EF09B5"/>
    <w:rsid w:val="00EF109C"/>
    <w:rsid w:val="00EF137C"/>
    <w:rsid w:val="00EF166C"/>
    <w:rsid w:val="00EF32D4"/>
    <w:rsid w:val="00EF40FD"/>
    <w:rsid w:val="00EF4736"/>
    <w:rsid w:val="00EF7825"/>
    <w:rsid w:val="00EF7F97"/>
    <w:rsid w:val="00F00582"/>
    <w:rsid w:val="00F00EA8"/>
    <w:rsid w:val="00F00F35"/>
    <w:rsid w:val="00F010FA"/>
    <w:rsid w:val="00F01F7A"/>
    <w:rsid w:val="00F026D0"/>
    <w:rsid w:val="00F02700"/>
    <w:rsid w:val="00F02F56"/>
    <w:rsid w:val="00F033C9"/>
    <w:rsid w:val="00F03A0F"/>
    <w:rsid w:val="00F03E31"/>
    <w:rsid w:val="00F04743"/>
    <w:rsid w:val="00F04F8B"/>
    <w:rsid w:val="00F054AD"/>
    <w:rsid w:val="00F056D7"/>
    <w:rsid w:val="00F06C37"/>
    <w:rsid w:val="00F06CDE"/>
    <w:rsid w:val="00F07148"/>
    <w:rsid w:val="00F07434"/>
    <w:rsid w:val="00F10C27"/>
    <w:rsid w:val="00F11A2D"/>
    <w:rsid w:val="00F12212"/>
    <w:rsid w:val="00F12419"/>
    <w:rsid w:val="00F126D4"/>
    <w:rsid w:val="00F152BB"/>
    <w:rsid w:val="00F15F34"/>
    <w:rsid w:val="00F16192"/>
    <w:rsid w:val="00F1644A"/>
    <w:rsid w:val="00F169B7"/>
    <w:rsid w:val="00F17420"/>
    <w:rsid w:val="00F17E32"/>
    <w:rsid w:val="00F20103"/>
    <w:rsid w:val="00F20406"/>
    <w:rsid w:val="00F20D18"/>
    <w:rsid w:val="00F214E7"/>
    <w:rsid w:val="00F21A5A"/>
    <w:rsid w:val="00F21FFC"/>
    <w:rsid w:val="00F22343"/>
    <w:rsid w:val="00F22513"/>
    <w:rsid w:val="00F22CC4"/>
    <w:rsid w:val="00F22DDB"/>
    <w:rsid w:val="00F22FBC"/>
    <w:rsid w:val="00F23AC7"/>
    <w:rsid w:val="00F23CBD"/>
    <w:rsid w:val="00F23E88"/>
    <w:rsid w:val="00F25BAB"/>
    <w:rsid w:val="00F26194"/>
    <w:rsid w:val="00F266DE"/>
    <w:rsid w:val="00F26B97"/>
    <w:rsid w:val="00F2788D"/>
    <w:rsid w:val="00F27A00"/>
    <w:rsid w:val="00F3023E"/>
    <w:rsid w:val="00F3031B"/>
    <w:rsid w:val="00F305E4"/>
    <w:rsid w:val="00F30771"/>
    <w:rsid w:val="00F312E5"/>
    <w:rsid w:val="00F31E31"/>
    <w:rsid w:val="00F3228B"/>
    <w:rsid w:val="00F3265B"/>
    <w:rsid w:val="00F33067"/>
    <w:rsid w:val="00F334A8"/>
    <w:rsid w:val="00F33878"/>
    <w:rsid w:val="00F3388E"/>
    <w:rsid w:val="00F34387"/>
    <w:rsid w:val="00F34D95"/>
    <w:rsid w:val="00F3517F"/>
    <w:rsid w:val="00F35BDD"/>
    <w:rsid w:val="00F4000B"/>
    <w:rsid w:val="00F405EA"/>
    <w:rsid w:val="00F4099F"/>
    <w:rsid w:val="00F40E8D"/>
    <w:rsid w:val="00F42931"/>
    <w:rsid w:val="00F42CD8"/>
    <w:rsid w:val="00F43C27"/>
    <w:rsid w:val="00F44882"/>
    <w:rsid w:val="00F44E3B"/>
    <w:rsid w:val="00F44EE3"/>
    <w:rsid w:val="00F4556A"/>
    <w:rsid w:val="00F459F7"/>
    <w:rsid w:val="00F46F34"/>
    <w:rsid w:val="00F46F36"/>
    <w:rsid w:val="00F471D1"/>
    <w:rsid w:val="00F47466"/>
    <w:rsid w:val="00F47628"/>
    <w:rsid w:val="00F50797"/>
    <w:rsid w:val="00F509FB"/>
    <w:rsid w:val="00F50BD5"/>
    <w:rsid w:val="00F512EE"/>
    <w:rsid w:val="00F52200"/>
    <w:rsid w:val="00F524EB"/>
    <w:rsid w:val="00F52D7A"/>
    <w:rsid w:val="00F53633"/>
    <w:rsid w:val="00F54A1F"/>
    <w:rsid w:val="00F55654"/>
    <w:rsid w:val="00F556A8"/>
    <w:rsid w:val="00F56153"/>
    <w:rsid w:val="00F568AD"/>
    <w:rsid w:val="00F56B7B"/>
    <w:rsid w:val="00F56F72"/>
    <w:rsid w:val="00F57489"/>
    <w:rsid w:val="00F57772"/>
    <w:rsid w:val="00F57ACD"/>
    <w:rsid w:val="00F60116"/>
    <w:rsid w:val="00F6206C"/>
    <w:rsid w:val="00F62081"/>
    <w:rsid w:val="00F62823"/>
    <w:rsid w:val="00F636C2"/>
    <w:rsid w:val="00F649F8"/>
    <w:rsid w:val="00F64B17"/>
    <w:rsid w:val="00F67918"/>
    <w:rsid w:val="00F679E0"/>
    <w:rsid w:val="00F67BE8"/>
    <w:rsid w:val="00F67C00"/>
    <w:rsid w:val="00F7020B"/>
    <w:rsid w:val="00F702D3"/>
    <w:rsid w:val="00F71D0D"/>
    <w:rsid w:val="00F7206A"/>
    <w:rsid w:val="00F72D48"/>
    <w:rsid w:val="00F72D86"/>
    <w:rsid w:val="00F72FE7"/>
    <w:rsid w:val="00F7433C"/>
    <w:rsid w:val="00F75867"/>
    <w:rsid w:val="00F8056E"/>
    <w:rsid w:val="00F806DB"/>
    <w:rsid w:val="00F80E5D"/>
    <w:rsid w:val="00F80EA2"/>
    <w:rsid w:val="00F814A4"/>
    <w:rsid w:val="00F8161A"/>
    <w:rsid w:val="00F81B3C"/>
    <w:rsid w:val="00F81FCF"/>
    <w:rsid w:val="00F823CA"/>
    <w:rsid w:val="00F82893"/>
    <w:rsid w:val="00F832A9"/>
    <w:rsid w:val="00F83FA7"/>
    <w:rsid w:val="00F84990"/>
    <w:rsid w:val="00F858F1"/>
    <w:rsid w:val="00F864E4"/>
    <w:rsid w:val="00F8777D"/>
    <w:rsid w:val="00F902D9"/>
    <w:rsid w:val="00F90457"/>
    <w:rsid w:val="00F90E38"/>
    <w:rsid w:val="00F91078"/>
    <w:rsid w:val="00F91390"/>
    <w:rsid w:val="00F91FA1"/>
    <w:rsid w:val="00F92A12"/>
    <w:rsid w:val="00F92B51"/>
    <w:rsid w:val="00F92DCF"/>
    <w:rsid w:val="00F935EE"/>
    <w:rsid w:val="00F94C07"/>
    <w:rsid w:val="00F9589B"/>
    <w:rsid w:val="00F959CA"/>
    <w:rsid w:val="00F96A1E"/>
    <w:rsid w:val="00F978DC"/>
    <w:rsid w:val="00F97C6B"/>
    <w:rsid w:val="00FA061C"/>
    <w:rsid w:val="00FA0C58"/>
    <w:rsid w:val="00FA1E04"/>
    <w:rsid w:val="00FA1E1C"/>
    <w:rsid w:val="00FA2477"/>
    <w:rsid w:val="00FA248E"/>
    <w:rsid w:val="00FA2E33"/>
    <w:rsid w:val="00FA2EFC"/>
    <w:rsid w:val="00FA3286"/>
    <w:rsid w:val="00FA39F7"/>
    <w:rsid w:val="00FA4AC4"/>
    <w:rsid w:val="00FA5B00"/>
    <w:rsid w:val="00FA6821"/>
    <w:rsid w:val="00FA741A"/>
    <w:rsid w:val="00FA748A"/>
    <w:rsid w:val="00FB01E1"/>
    <w:rsid w:val="00FB05B3"/>
    <w:rsid w:val="00FB0A84"/>
    <w:rsid w:val="00FB2E8E"/>
    <w:rsid w:val="00FB35FB"/>
    <w:rsid w:val="00FB3CB5"/>
    <w:rsid w:val="00FB4BEF"/>
    <w:rsid w:val="00FB4CB6"/>
    <w:rsid w:val="00FB5626"/>
    <w:rsid w:val="00FB5B3F"/>
    <w:rsid w:val="00FB6983"/>
    <w:rsid w:val="00FB75FF"/>
    <w:rsid w:val="00FC03B3"/>
    <w:rsid w:val="00FC13D9"/>
    <w:rsid w:val="00FC1BA7"/>
    <w:rsid w:val="00FC225A"/>
    <w:rsid w:val="00FC24B8"/>
    <w:rsid w:val="00FC2589"/>
    <w:rsid w:val="00FC2CE6"/>
    <w:rsid w:val="00FC3130"/>
    <w:rsid w:val="00FC3C36"/>
    <w:rsid w:val="00FC577F"/>
    <w:rsid w:val="00FC7A85"/>
    <w:rsid w:val="00FC7F66"/>
    <w:rsid w:val="00FD0A2F"/>
    <w:rsid w:val="00FD0A57"/>
    <w:rsid w:val="00FD0F3B"/>
    <w:rsid w:val="00FD1CAC"/>
    <w:rsid w:val="00FD3FB4"/>
    <w:rsid w:val="00FD4364"/>
    <w:rsid w:val="00FD5D41"/>
    <w:rsid w:val="00FD63B6"/>
    <w:rsid w:val="00FD67A1"/>
    <w:rsid w:val="00FD77E1"/>
    <w:rsid w:val="00FD7977"/>
    <w:rsid w:val="00FE121B"/>
    <w:rsid w:val="00FE244E"/>
    <w:rsid w:val="00FE2C84"/>
    <w:rsid w:val="00FE3108"/>
    <w:rsid w:val="00FE385B"/>
    <w:rsid w:val="00FE3F36"/>
    <w:rsid w:val="00FE41F2"/>
    <w:rsid w:val="00FE5A3A"/>
    <w:rsid w:val="00FE5A95"/>
    <w:rsid w:val="00FE6462"/>
    <w:rsid w:val="00FE65C0"/>
    <w:rsid w:val="00FE6D36"/>
    <w:rsid w:val="00FE707D"/>
    <w:rsid w:val="00FE7530"/>
    <w:rsid w:val="00FF040C"/>
    <w:rsid w:val="00FF0CC5"/>
    <w:rsid w:val="00FF0D47"/>
    <w:rsid w:val="00FF1080"/>
    <w:rsid w:val="00FF1480"/>
    <w:rsid w:val="00FF1CC7"/>
    <w:rsid w:val="00FF2470"/>
    <w:rsid w:val="00FF25AE"/>
    <w:rsid w:val="00FF25BF"/>
    <w:rsid w:val="00FF2EDE"/>
    <w:rsid w:val="00FF31CA"/>
    <w:rsid w:val="00FF32EA"/>
    <w:rsid w:val="00FF3671"/>
    <w:rsid w:val="00FF3A7A"/>
    <w:rsid w:val="00FF407B"/>
    <w:rsid w:val="00FF4BE4"/>
    <w:rsid w:val="00FF5B78"/>
    <w:rsid w:val="00FF5FBF"/>
    <w:rsid w:val="00FF6459"/>
    <w:rsid w:val="00FF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45840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56E"/>
    <w:pPr>
      <w:spacing w:after="120" w:line="360" w:lineRule="auto"/>
      <w:ind w:left="737"/>
    </w:pPr>
    <w:rPr>
      <w:rFonts w:ascii="Arial" w:hAnsi="Arial"/>
      <w:sz w:val="24"/>
      <w:szCs w:val="24"/>
      <w:lang w:eastAsia="en-US"/>
    </w:rPr>
  </w:style>
  <w:style w:type="paragraph" w:styleId="Heading1">
    <w:name w:val="heading 1"/>
    <w:basedOn w:val="Normal"/>
    <w:next w:val="NICEnormal"/>
    <w:qFormat/>
    <w:rsid w:val="00AE1C3A"/>
    <w:pPr>
      <w:keepNext/>
      <w:spacing w:before="240"/>
      <w:ind w:left="0"/>
      <w:outlineLvl w:val="0"/>
    </w:pPr>
    <w:rPr>
      <w:rFonts w:cs="Arial"/>
      <w:b/>
      <w:bCs/>
      <w:kern w:val="32"/>
      <w:sz w:val="32"/>
      <w:szCs w:val="32"/>
    </w:rPr>
  </w:style>
  <w:style w:type="paragraph" w:styleId="Heading2">
    <w:name w:val="heading 2"/>
    <w:basedOn w:val="Normal"/>
    <w:next w:val="NICEnormal"/>
    <w:qFormat/>
    <w:rsid w:val="001A6105"/>
    <w:pPr>
      <w:keepNext/>
      <w:numPr>
        <w:ilvl w:val="1"/>
        <w:numId w:val="23"/>
      </w:numPr>
      <w:spacing w:before="240" w:after="60"/>
      <w:outlineLvl w:val="1"/>
    </w:pPr>
    <w:rPr>
      <w:rFonts w:cs="Arial"/>
      <w:b/>
      <w:bCs/>
      <w:i/>
      <w:iCs/>
      <w:sz w:val="28"/>
      <w:szCs w:val="28"/>
    </w:rPr>
  </w:style>
  <w:style w:type="paragraph" w:styleId="Heading3">
    <w:name w:val="heading 3"/>
    <w:basedOn w:val="Normal"/>
    <w:next w:val="NICEnormal"/>
    <w:qFormat/>
    <w:rsid w:val="0075189F"/>
    <w:pPr>
      <w:keepNext/>
      <w:spacing w:before="240" w:after="60"/>
      <w:ind w:left="0"/>
      <w:outlineLvl w:val="2"/>
    </w:pPr>
    <w:rPr>
      <w:rFonts w:cs="Arial"/>
      <w:b/>
      <w:bCs/>
    </w:rPr>
  </w:style>
  <w:style w:type="paragraph" w:styleId="Heading4">
    <w:name w:val="heading 4"/>
    <w:basedOn w:val="Normal"/>
    <w:next w:val="Normal"/>
    <w:qFormat/>
    <w:rsid w:val="00EA7840"/>
    <w:pPr>
      <w:keepNext/>
      <w:numPr>
        <w:ilvl w:val="3"/>
        <w:numId w:val="23"/>
      </w:numPr>
      <w:spacing w:before="240" w:after="60"/>
      <w:outlineLvl w:val="3"/>
    </w:pPr>
    <w:rPr>
      <w:bCs/>
      <w:i/>
      <w:szCs w:val="28"/>
    </w:rPr>
  </w:style>
  <w:style w:type="paragraph" w:styleId="Heading5">
    <w:name w:val="heading 5"/>
    <w:basedOn w:val="Normal"/>
    <w:next w:val="Normal"/>
    <w:qFormat/>
    <w:rsid w:val="00EA7840"/>
    <w:pPr>
      <w:numPr>
        <w:ilvl w:val="4"/>
        <w:numId w:val="23"/>
      </w:numPr>
      <w:autoSpaceDE w:val="0"/>
      <w:autoSpaceDN w:val="0"/>
      <w:adjustRightInd w:val="0"/>
      <w:spacing w:after="0" w:line="240" w:lineRule="auto"/>
      <w:outlineLvl w:val="4"/>
    </w:pPr>
  </w:style>
  <w:style w:type="paragraph" w:styleId="Heading6">
    <w:name w:val="heading 6"/>
    <w:basedOn w:val="Normal"/>
    <w:next w:val="Normal"/>
    <w:qFormat/>
    <w:rsid w:val="00EA7840"/>
    <w:pPr>
      <w:keepNext/>
      <w:numPr>
        <w:ilvl w:val="5"/>
        <w:numId w:val="23"/>
      </w:numPr>
      <w:jc w:val="both"/>
      <w:outlineLvl w:val="5"/>
    </w:pPr>
    <w:rPr>
      <w:b/>
    </w:rPr>
  </w:style>
  <w:style w:type="paragraph" w:styleId="Heading7">
    <w:name w:val="heading 7"/>
    <w:basedOn w:val="Normal"/>
    <w:next w:val="Normal"/>
    <w:qFormat/>
    <w:rsid w:val="00EA7840"/>
    <w:pPr>
      <w:numPr>
        <w:ilvl w:val="6"/>
        <w:numId w:val="23"/>
      </w:numPr>
      <w:spacing w:before="240" w:after="60"/>
      <w:outlineLvl w:val="6"/>
    </w:pPr>
    <w:rPr>
      <w:rFonts w:ascii="Times New Roman" w:hAnsi="Times New Roman"/>
    </w:rPr>
  </w:style>
  <w:style w:type="paragraph" w:styleId="Heading8">
    <w:name w:val="heading 8"/>
    <w:basedOn w:val="Normal"/>
    <w:next w:val="Normal"/>
    <w:qFormat/>
    <w:rsid w:val="00EA7840"/>
    <w:pPr>
      <w:numPr>
        <w:ilvl w:val="7"/>
        <w:numId w:val="23"/>
      </w:numPr>
      <w:autoSpaceDE w:val="0"/>
      <w:autoSpaceDN w:val="0"/>
      <w:adjustRightInd w:val="0"/>
      <w:spacing w:after="0" w:line="240" w:lineRule="auto"/>
      <w:outlineLvl w:val="7"/>
    </w:pPr>
  </w:style>
  <w:style w:type="paragraph" w:styleId="Heading9">
    <w:name w:val="heading 9"/>
    <w:basedOn w:val="Normal"/>
    <w:next w:val="Normal"/>
    <w:qFormat/>
    <w:rsid w:val="00EA7840"/>
    <w:pPr>
      <w:numPr>
        <w:ilvl w:val="8"/>
        <w:numId w:val="23"/>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basedOn w:val="Normal"/>
    <w:link w:val="NICEnormalChar3"/>
    <w:rsid w:val="00EA7840"/>
    <w:pPr>
      <w:spacing w:after="240"/>
      <w:ind w:left="0"/>
    </w:pPr>
  </w:style>
  <w:style w:type="character" w:customStyle="1" w:styleId="NICEnormalChar3">
    <w:name w:val="NICE normal Char3"/>
    <w:link w:val="NICEnormal"/>
    <w:rsid w:val="00340383"/>
    <w:rPr>
      <w:rFonts w:ascii="Arial" w:hAnsi="Arial"/>
      <w:sz w:val="24"/>
      <w:szCs w:val="24"/>
      <w:lang w:val="en-GB" w:eastAsia="en-US" w:bidi="ar-SA"/>
    </w:rPr>
  </w:style>
  <w:style w:type="paragraph" w:styleId="Title">
    <w:name w:val="Title"/>
    <w:basedOn w:val="Normal"/>
    <w:qFormat/>
    <w:rsid w:val="00EA7840"/>
    <w:pPr>
      <w:spacing w:after="240"/>
      <w:ind w:left="0"/>
      <w:jc w:val="center"/>
    </w:pPr>
    <w:rPr>
      <w:rFonts w:cs="Arial"/>
      <w:b/>
      <w:bCs/>
      <w:sz w:val="32"/>
    </w:rPr>
  </w:style>
  <w:style w:type="character" w:styleId="Hyperlink">
    <w:name w:val="Hyperlink"/>
    <w:uiPriority w:val="99"/>
    <w:rsid w:val="00EA7840"/>
    <w:rPr>
      <w:color w:val="0000FF"/>
      <w:u w:val="single"/>
    </w:rPr>
  </w:style>
  <w:style w:type="character" w:styleId="FollowedHyperlink">
    <w:name w:val="FollowedHyperlink"/>
    <w:rsid w:val="00EA7840"/>
    <w:rPr>
      <w:color w:val="800080"/>
      <w:u w:val="single"/>
    </w:rPr>
  </w:style>
  <w:style w:type="paragraph" w:styleId="Header">
    <w:name w:val="header"/>
    <w:basedOn w:val="Normal"/>
    <w:rsid w:val="00EA7840"/>
    <w:pPr>
      <w:tabs>
        <w:tab w:val="center" w:pos="4153"/>
        <w:tab w:val="right" w:pos="8306"/>
      </w:tabs>
    </w:pPr>
  </w:style>
  <w:style w:type="paragraph" w:styleId="Footer">
    <w:name w:val="footer"/>
    <w:basedOn w:val="Normal"/>
    <w:link w:val="FooterChar"/>
    <w:uiPriority w:val="99"/>
    <w:rsid w:val="00EA7840"/>
    <w:pPr>
      <w:tabs>
        <w:tab w:val="center" w:pos="4153"/>
        <w:tab w:val="right" w:pos="8306"/>
      </w:tabs>
    </w:pPr>
  </w:style>
  <w:style w:type="character" w:styleId="CommentReference">
    <w:name w:val="annotation reference"/>
    <w:rsid w:val="00EA7840"/>
    <w:rPr>
      <w:sz w:val="16"/>
      <w:szCs w:val="16"/>
    </w:rPr>
  </w:style>
  <w:style w:type="paragraph" w:styleId="CommentText">
    <w:name w:val="annotation text"/>
    <w:basedOn w:val="Normal"/>
    <w:link w:val="CommentTextChar"/>
    <w:rsid w:val="00EA7840"/>
    <w:rPr>
      <w:szCs w:val="20"/>
      <w:lang w:val="x-none"/>
    </w:rPr>
  </w:style>
  <w:style w:type="character" w:customStyle="1" w:styleId="CommentTextChar">
    <w:name w:val="Comment Text Char"/>
    <w:link w:val="CommentText"/>
    <w:rsid w:val="00E429B0"/>
    <w:rPr>
      <w:rFonts w:ascii="Arial" w:hAnsi="Arial"/>
      <w:sz w:val="24"/>
      <w:lang w:eastAsia="en-US"/>
    </w:rPr>
  </w:style>
  <w:style w:type="paragraph" w:customStyle="1" w:styleId="AppendixCtabletext">
    <w:name w:val="Appendix C table text"/>
    <w:basedOn w:val="Normal"/>
    <w:rsid w:val="00D162D5"/>
    <w:pPr>
      <w:keepNext/>
      <w:spacing w:after="0" w:line="240" w:lineRule="auto"/>
      <w:ind w:left="0"/>
    </w:pPr>
    <w:rPr>
      <w:rFonts w:cs="Arial"/>
    </w:rPr>
  </w:style>
  <w:style w:type="paragraph" w:styleId="BalloonText">
    <w:name w:val="Balloon Text"/>
    <w:basedOn w:val="Normal"/>
    <w:semiHidden/>
    <w:rsid w:val="00EA7840"/>
    <w:rPr>
      <w:rFonts w:ascii="Tahoma" w:hAnsi="Tahoma" w:cs="Tahoma"/>
      <w:sz w:val="16"/>
      <w:szCs w:val="16"/>
    </w:rPr>
  </w:style>
  <w:style w:type="paragraph" w:styleId="CommentSubject">
    <w:name w:val="annotation subject"/>
    <w:basedOn w:val="CommentText"/>
    <w:next w:val="CommentText"/>
    <w:semiHidden/>
    <w:rsid w:val="00EA7840"/>
    <w:rPr>
      <w:b/>
      <w:bCs/>
      <w:sz w:val="20"/>
    </w:rPr>
  </w:style>
  <w:style w:type="paragraph" w:styleId="TOC1">
    <w:name w:val="toc 1"/>
    <w:basedOn w:val="Normal"/>
    <w:next w:val="Normal"/>
    <w:autoRedefine/>
    <w:uiPriority w:val="39"/>
    <w:qFormat/>
    <w:rsid w:val="005927D5"/>
    <w:pPr>
      <w:tabs>
        <w:tab w:val="left" w:pos="480"/>
        <w:tab w:val="right" w:leader="dot" w:pos="9016"/>
      </w:tabs>
      <w:spacing w:before="120"/>
      <w:ind w:left="0"/>
    </w:pPr>
    <w:rPr>
      <w:rFonts w:cs="Arial"/>
      <w:b/>
      <w:bCs/>
      <w:caps/>
    </w:rPr>
  </w:style>
  <w:style w:type="paragraph" w:styleId="TOC2">
    <w:name w:val="toc 2"/>
    <w:basedOn w:val="Normal"/>
    <w:next w:val="Normal"/>
    <w:autoRedefine/>
    <w:uiPriority w:val="39"/>
    <w:qFormat/>
    <w:rsid w:val="00C86000"/>
    <w:pPr>
      <w:tabs>
        <w:tab w:val="left" w:pos="720"/>
        <w:tab w:val="right" w:leader="dot" w:pos="9016"/>
      </w:tabs>
      <w:spacing w:after="0"/>
      <w:ind w:left="240"/>
    </w:pPr>
    <w:rPr>
      <w:rFonts w:ascii="Calibri" w:hAnsi="Calibri"/>
      <w:smallCaps/>
      <w:sz w:val="20"/>
      <w:szCs w:val="20"/>
    </w:rPr>
  </w:style>
  <w:style w:type="paragraph" w:styleId="TOC3">
    <w:name w:val="toc 3"/>
    <w:basedOn w:val="Normal"/>
    <w:next w:val="Normal"/>
    <w:autoRedefine/>
    <w:uiPriority w:val="39"/>
    <w:semiHidden/>
    <w:qFormat/>
    <w:rsid w:val="00EA7840"/>
    <w:pPr>
      <w:spacing w:after="0"/>
      <w:ind w:left="480"/>
    </w:pPr>
    <w:rPr>
      <w:rFonts w:ascii="Calibri" w:hAnsi="Calibri"/>
      <w:i/>
      <w:iCs/>
      <w:sz w:val="20"/>
      <w:szCs w:val="20"/>
    </w:rPr>
  </w:style>
  <w:style w:type="paragraph" w:customStyle="1" w:styleId="Numberedheading1">
    <w:name w:val="Numbered heading 1"/>
    <w:basedOn w:val="Heading1"/>
    <w:next w:val="NICEnormal"/>
    <w:rsid w:val="001A6105"/>
    <w:pPr>
      <w:numPr>
        <w:numId w:val="38"/>
      </w:numPr>
    </w:pPr>
    <w:rPr>
      <w:szCs w:val="24"/>
    </w:rPr>
  </w:style>
  <w:style w:type="paragraph" w:customStyle="1" w:styleId="Numberedheading2">
    <w:name w:val="Numbered heading 2"/>
    <w:basedOn w:val="Heading2"/>
    <w:next w:val="NICEnormal"/>
    <w:rsid w:val="0049256E"/>
    <w:pPr>
      <w:numPr>
        <w:numId w:val="38"/>
      </w:numPr>
    </w:pPr>
  </w:style>
  <w:style w:type="paragraph" w:customStyle="1" w:styleId="NICEnormalindented">
    <w:name w:val="NICE normal indented"/>
    <w:basedOn w:val="NICEnormal"/>
    <w:qFormat/>
    <w:rsid w:val="0049256E"/>
    <w:pPr>
      <w:numPr>
        <w:ilvl w:val="7"/>
        <w:numId w:val="18"/>
      </w:numPr>
      <w:tabs>
        <w:tab w:val="clear" w:pos="3164"/>
      </w:tabs>
      <w:ind w:left="1134" w:firstLine="0"/>
    </w:pPr>
  </w:style>
  <w:style w:type="paragraph" w:styleId="TOC4">
    <w:name w:val="toc 4"/>
    <w:basedOn w:val="Normal"/>
    <w:next w:val="Normal"/>
    <w:autoRedefine/>
    <w:semiHidden/>
    <w:rsid w:val="00EA7840"/>
    <w:pPr>
      <w:spacing w:after="0"/>
      <w:ind w:left="720"/>
    </w:pPr>
    <w:rPr>
      <w:rFonts w:ascii="Calibri" w:hAnsi="Calibri"/>
      <w:sz w:val="18"/>
      <w:szCs w:val="18"/>
    </w:rPr>
  </w:style>
  <w:style w:type="paragraph" w:styleId="TOC5">
    <w:name w:val="toc 5"/>
    <w:basedOn w:val="Normal"/>
    <w:next w:val="Normal"/>
    <w:autoRedefine/>
    <w:semiHidden/>
    <w:rsid w:val="00EA7840"/>
    <w:pPr>
      <w:spacing w:after="0"/>
      <w:ind w:left="960"/>
    </w:pPr>
    <w:rPr>
      <w:rFonts w:ascii="Calibri" w:hAnsi="Calibri"/>
      <w:sz w:val="18"/>
      <w:szCs w:val="18"/>
    </w:rPr>
  </w:style>
  <w:style w:type="paragraph" w:styleId="TOC6">
    <w:name w:val="toc 6"/>
    <w:basedOn w:val="Normal"/>
    <w:next w:val="Normal"/>
    <w:autoRedefine/>
    <w:semiHidden/>
    <w:rsid w:val="00EA7840"/>
    <w:pPr>
      <w:spacing w:after="0"/>
      <w:ind w:left="1200"/>
    </w:pPr>
    <w:rPr>
      <w:rFonts w:ascii="Calibri" w:hAnsi="Calibri"/>
      <w:sz w:val="18"/>
      <w:szCs w:val="18"/>
    </w:rPr>
  </w:style>
  <w:style w:type="paragraph" w:styleId="TOC7">
    <w:name w:val="toc 7"/>
    <w:basedOn w:val="Normal"/>
    <w:next w:val="Normal"/>
    <w:autoRedefine/>
    <w:semiHidden/>
    <w:rsid w:val="00EA7840"/>
    <w:pPr>
      <w:spacing w:after="0"/>
      <w:ind w:left="1440"/>
    </w:pPr>
    <w:rPr>
      <w:rFonts w:ascii="Calibri" w:hAnsi="Calibri"/>
      <w:sz w:val="18"/>
      <w:szCs w:val="18"/>
    </w:rPr>
  </w:style>
  <w:style w:type="paragraph" w:styleId="TOC8">
    <w:name w:val="toc 8"/>
    <w:basedOn w:val="Normal"/>
    <w:next w:val="Normal"/>
    <w:autoRedefine/>
    <w:semiHidden/>
    <w:rsid w:val="00EA7840"/>
    <w:pPr>
      <w:spacing w:after="0"/>
      <w:ind w:left="1680"/>
    </w:pPr>
    <w:rPr>
      <w:rFonts w:ascii="Calibri" w:hAnsi="Calibri"/>
      <w:sz w:val="18"/>
      <w:szCs w:val="18"/>
    </w:rPr>
  </w:style>
  <w:style w:type="paragraph" w:styleId="TOC9">
    <w:name w:val="toc 9"/>
    <w:basedOn w:val="Normal"/>
    <w:next w:val="Normal"/>
    <w:autoRedefine/>
    <w:semiHidden/>
    <w:rsid w:val="00EA7840"/>
    <w:pPr>
      <w:spacing w:after="0"/>
      <w:ind w:left="1920"/>
    </w:pPr>
    <w:rPr>
      <w:rFonts w:ascii="Calibri" w:hAnsi="Calibri"/>
      <w:sz w:val="18"/>
      <w:szCs w:val="18"/>
    </w:rPr>
  </w:style>
  <w:style w:type="paragraph" w:styleId="DocumentMap">
    <w:name w:val="Document Map"/>
    <w:basedOn w:val="Normal"/>
    <w:semiHidden/>
    <w:rsid w:val="00065932"/>
    <w:pPr>
      <w:shd w:val="clear" w:color="auto" w:fill="000080"/>
    </w:pPr>
    <w:rPr>
      <w:rFonts w:ascii="Tahoma" w:hAnsi="Tahoma" w:cs="Tahoma"/>
      <w:sz w:val="20"/>
      <w:szCs w:val="20"/>
    </w:rPr>
  </w:style>
  <w:style w:type="table" w:styleId="TableGrid">
    <w:name w:val="Table Grid"/>
    <w:basedOn w:val="TableNormal"/>
    <w:rsid w:val="004D6796"/>
    <w:pPr>
      <w:spacing w:after="120" w:line="360" w:lineRule="auto"/>
      <w:ind w:left="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evel4text">
    <w:name w:val="Numbered level 4 text"/>
    <w:basedOn w:val="NICEnormal"/>
    <w:next w:val="NICEnormal"/>
    <w:rsid w:val="001A6105"/>
    <w:pPr>
      <w:numPr>
        <w:ilvl w:val="3"/>
        <w:numId w:val="38"/>
      </w:numPr>
    </w:pPr>
    <w:rPr>
      <w:lang w:val="en-US"/>
    </w:rPr>
  </w:style>
  <w:style w:type="paragraph" w:customStyle="1" w:styleId="Bulletleft1">
    <w:name w:val="Bullet left 1"/>
    <w:basedOn w:val="NICEnormal"/>
    <w:rsid w:val="001A6105"/>
    <w:pPr>
      <w:numPr>
        <w:numId w:val="18"/>
      </w:numPr>
      <w:spacing w:after="0"/>
    </w:pPr>
    <w:rPr>
      <w:lang w:val="en-US"/>
    </w:rPr>
  </w:style>
  <w:style w:type="character" w:styleId="FootnoteReference">
    <w:name w:val="footnote reference"/>
    <w:semiHidden/>
    <w:rsid w:val="00534CF8"/>
    <w:rPr>
      <w:vertAlign w:val="superscript"/>
    </w:rPr>
  </w:style>
  <w:style w:type="paragraph" w:styleId="FootnoteText">
    <w:name w:val="footnote text"/>
    <w:basedOn w:val="Normal"/>
    <w:semiHidden/>
    <w:rsid w:val="00683739"/>
    <w:rPr>
      <w:sz w:val="20"/>
      <w:szCs w:val="20"/>
    </w:rPr>
  </w:style>
  <w:style w:type="paragraph" w:customStyle="1" w:styleId="StyleNICEnormalBefore127cm">
    <w:name w:val="Style NICE normal + Before:  1.27 cm"/>
    <w:basedOn w:val="NICEnormal"/>
    <w:rsid w:val="003B7CA6"/>
    <w:pPr>
      <w:spacing w:line="240" w:lineRule="auto"/>
      <w:ind w:left="720"/>
    </w:pPr>
  </w:style>
  <w:style w:type="paragraph" w:customStyle="1" w:styleId="NICE-TableNumberL1">
    <w:name w:val="NICE - Table Number L1"/>
    <w:basedOn w:val="Normal"/>
    <w:link w:val="NICE-TableNumberL1Char"/>
    <w:rsid w:val="003B7CA6"/>
    <w:pPr>
      <w:numPr>
        <w:numId w:val="12"/>
      </w:numPr>
      <w:autoSpaceDE w:val="0"/>
      <w:autoSpaceDN w:val="0"/>
      <w:adjustRightInd w:val="0"/>
      <w:spacing w:after="0" w:line="240" w:lineRule="auto"/>
    </w:pPr>
    <w:rPr>
      <w:bCs/>
      <w:sz w:val="20"/>
      <w:szCs w:val="20"/>
      <w:lang w:val="x-none"/>
    </w:rPr>
  </w:style>
  <w:style w:type="character" w:customStyle="1" w:styleId="NICE-TableNumberL1Char">
    <w:name w:val="NICE - Table Number L1 Char"/>
    <w:link w:val="NICE-TableNumberL1"/>
    <w:rsid w:val="003B7CA6"/>
    <w:rPr>
      <w:rFonts w:ascii="Arial" w:hAnsi="Arial"/>
      <w:bCs/>
      <w:lang w:val="x-none" w:eastAsia="en-US"/>
    </w:rPr>
  </w:style>
  <w:style w:type="paragraph" w:customStyle="1" w:styleId="Bulletindent1last">
    <w:name w:val="Bullet indent 1 last"/>
    <w:basedOn w:val="NICEnormal"/>
    <w:next w:val="NICEnormal"/>
    <w:rsid w:val="001A6105"/>
    <w:pPr>
      <w:numPr>
        <w:numId w:val="15"/>
      </w:numPr>
    </w:pPr>
    <w:rPr>
      <w:lang w:val="en-US"/>
    </w:rPr>
  </w:style>
  <w:style w:type="paragraph" w:customStyle="1" w:styleId="DTBulletlevel2Base">
    <w:name w:val="DT Bullet level 2 Base"/>
    <w:basedOn w:val="Normal"/>
    <w:rsid w:val="003B7CA6"/>
    <w:pPr>
      <w:numPr>
        <w:numId w:val="13"/>
      </w:numPr>
      <w:spacing w:after="0" w:line="240" w:lineRule="auto"/>
    </w:pPr>
    <w:rPr>
      <w:rFonts w:ascii="Times New Roman" w:hAnsi="Times New Roman"/>
    </w:rPr>
  </w:style>
  <w:style w:type="paragraph" w:customStyle="1" w:styleId="Bulletindent1">
    <w:name w:val="Bullet indent 1"/>
    <w:basedOn w:val="NICEnormal"/>
    <w:rsid w:val="001A6105"/>
    <w:pPr>
      <w:numPr>
        <w:numId w:val="14"/>
      </w:numPr>
      <w:spacing w:after="0"/>
    </w:pPr>
    <w:rPr>
      <w:lang w:val="en-US"/>
    </w:rPr>
  </w:style>
  <w:style w:type="paragraph" w:customStyle="1" w:styleId="Bulletindent2">
    <w:name w:val="Bullet indent 2"/>
    <w:basedOn w:val="NICEnormal"/>
    <w:rsid w:val="001A6105"/>
    <w:pPr>
      <w:numPr>
        <w:ilvl w:val="1"/>
        <w:numId w:val="16"/>
      </w:numPr>
      <w:spacing w:after="0"/>
    </w:pPr>
    <w:rPr>
      <w:lang w:val="en-US"/>
    </w:rPr>
  </w:style>
  <w:style w:type="paragraph" w:customStyle="1" w:styleId="Bulletindent3">
    <w:name w:val="Bullet indent 3"/>
    <w:basedOn w:val="NICEnormal"/>
    <w:rsid w:val="001A6105"/>
    <w:pPr>
      <w:numPr>
        <w:ilvl w:val="2"/>
        <w:numId w:val="17"/>
      </w:numPr>
      <w:spacing w:after="0"/>
    </w:pPr>
    <w:rPr>
      <w:lang w:val="en-US"/>
    </w:rPr>
  </w:style>
  <w:style w:type="paragraph" w:customStyle="1" w:styleId="Bulletleft1last">
    <w:name w:val="Bullet left 1 last"/>
    <w:basedOn w:val="NICEnormal"/>
    <w:rsid w:val="001A6105"/>
    <w:pPr>
      <w:numPr>
        <w:numId w:val="19"/>
      </w:numPr>
    </w:pPr>
    <w:rPr>
      <w:rFonts w:cs="Arial"/>
      <w:lang w:val="en-US"/>
    </w:rPr>
  </w:style>
  <w:style w:type="paragraph" w:customStyle="1" w:styleId="Bulletleft2">
    <w:name w:val="Bullet left 2"/>
    <w:basedOn w:val="NICEnormal"/>
    <w:rsid w:val="001A6105"/>
    <w:pPr>
      <w:numPr>
        <w:ilvl w:val="1"/>
        <w:numId w:val="20"/>
      </w:numPr>
      <w:spacing w:after="0"/>
    </w:pPr>
    <w:rPr>
      <w:lang w:val="en-US"/>
    </w:rPr>
  </w:style>
  <w:style w:type="paragraph" w:customStyle="1" w:styleId="Bulletleft3">
    <w:name w:val="Bullet left 3"/>
    <w:basedOn w:val="NICEnormal"/>
    <w:rsid w:val="001A6105"/>
    <w:pPr>
      <w:numPr>
        <w:ilvl w:val="2"/>
        <w:numId w:val="21"/>
      </w:numPr>
      <w:spacing w:after="0"/>
    </w:pPr>
    <w:rPr>
      <w:lang w:val="en-US"/>
    </w:rPr>
  </w:style>
  <w:style w:type="paragraph" w:customStyle="1" w:styleId="Numberedlevel3text">
    <w:name w:val="Numbered level 3 text"/>
    <w:basedOn w:val="Normal"/>
    <w:rsid w:val="0049256E"/>
    <w:pPr>
      <w:keepNext/>
      <w:numPr>
        <w:ilvl w:val="2"/>
        <w:numId w:val="38"/>
      </w:numPr>
      <w:spacing w:after="240"/>
      <w:outlineLvl w:val="2"/>
    </w:pPr>
    <w:rPr>
      <w:bCs/>
      <w:lang w:val="x-none"/>
    </w:rPr>
  </w:style>
  <w:style w:type="paragraph" w:styleId="EndnoteText">
    <w:name w:val="endnote text"/>
    <w:basedOn w:val="Normal"/>
    <w:link w:val="EndnoteTextChar"/>
    <w:uiPriority w:val="99"/>
    <w:semiHidden/>
    <w:unhideWhenUsed/>
    <w:rsid w:val="00E654D6"/>
    <w:rPr>
      <w:sz w:val="20"/>
      <w:szCs w:val="20"/>
      <w:lang w:val="x-none"/>
    </w:rPr>
  </w:style>
  <w:style w:type="character" w:customStyle="1" w:styleId="EndnoteTextChar">
    <w:name w:val="Endnote Text Char"/>
    <w:link w:val="EndnoteText"/>
    <w:uiPriority w:val="99"/>
    <w:semiHidden/>
    <w:rsid w:val="00E654D6"/>
    <w:rPr>
      <w:rFonts w:ascii="Arial" w:hAnsi="Arial"/>
      <w:lang w:eastAsia="en-US"/>
    </w:rPr>
  </w:style>
  <w:style w:type="paragraph" w:styleId="Revision">
    <w:name w:val="Revision"/>
    <w:hidden/>
    <w:uiPriority w:val="99"/>
    <w:semiHidden/>
    <w:rsid w:val="00224C5C"/>
    <w:rPr>
      <w:rFonts w:ascii="Arial" w:hAnsi="Arial"/>
      <w:sz w:val="24"/>
      <w:szCs w:val="24"/>
      <w:lang w:eastAsia="en-US"/>
    </w:rPr>
  </w:style>
  <w:style w:type="paragraph" w:styleId="TOCHeading">
    <w:name w:val="TOC Heading"/>
    <w:basedOn w:val="Heading1"/>
    <w:next w:val="Normal"/>
    <w:uiPriority w:val="39"/>
    <w:qFormat/>
    <w:rsid w:val="005B4502"/>
    <w:pPr>
      <w:keepLines/>
      <w:spacing w:before="480" w:after="0" w:line="276" w:lineRule="auto"/>
      <w:outlineLvl w:val="9"/>
    </w:pPr>
    <w:rPr>
      <w:rFonts w:ascii="Cambria" w:hAnsi="Cambria" w:cs="Times New Roman"/>
      <w:color w:val="365F91"/>
      <w:kern w:val="0"/>
      <w:sz w:val="28"/>
      <w:szCs w:val="28"/>
      <w:lang w:val="en-US"/>
    </w:rPr>
  </w:style>
  <w:style w:type="paragraph" w:customStyle="1" w:styleId="Paragraph">
    <w:name w:val="Paragraph"/>
    <w:basedOn w:val="Normal"/>
    <w:uiPriority w:val="4"/>
    <w:qFormat/>
    <w:rsid w:val="006D50F6"/>
    <w:pPr>
      <w:numPr>
        <w:numId w:val="25"/>
      </w:numPr>
      <w:spacing w:before="240" w:after="240" w:line="276" w:lineRule="auto"/>
      <w:ind w:left="709" w:hanging="709"/>
    </w:pPr>
    <w:rPr>
      <w:lang w:eastAsia="en-GB"/>
    </w:rPr>
  </w:style>
  <w:style w:type="character" w:styleId="EndnoteReference">
    <w:name w:val="endnote reference"/>
    <w:uiPriority w:val="99"/>
    <w:semiHidden/>
    <w:unhideWhenUsed/>
    <w:rsid w:val="00E654D6"/>
    <w:rPr>
      <w:vertAlign w:val="superscript"/>
    </w:rPr>
  </w:style>
  <w:style w:type="paragraph" w:customStyle="1" w:styleId="Paragraphnonumbers">
    <w:name w:val="Paragraph no numbers"/>
    <w:basedOn w:val="Normal"/>
    <w:uiPriority w:val="99"/>
    <w:qFormat/>
    <w:rsid w:val="00891118"/>
    <w:pPr>
      <w:spacing w:after="240" w:line="276" w:lineRule="auto"/>
      <w:ind w:left="0"/>
    </w:pPr>
    <w:rPr>
      <w:lang w:eastAsia="en-GB"/>
    </w:rPr>
  </w:style>
  <w:style w:type="character" w:customStyle="1" w:styleId="FooterChar">
    <w:name w:val="Footer Char"/>
    <w:link w:val="Footer"/>
    <w:uiPriority w:val="99"/>
    <w:rsid w:val="00EB5015"/>
    <w:rPr>
      <w:rFonts w:ascii="Arial" w:hAnsi="Arial"/>
      <w:sz w:val="24"/>
      <w:szCs w:val="24"/>
      <w:lang w:eastAsia="en-US"/>
    </w:rPr>
  </w:style>
  <w:style w:type="character" w:styleId="UnresolvedMention">
    <w:name w:val="Unresolved Mention"/>
    <w:uiPriority w:val="99"/>
    <w:semiHidden/>
    <w:unhideWhenUsed/>
    <w:rsid w:val="00EC314A"/>
    <w:rPr>
      <w:color w:val="605E5C"/>
      <w:shd w:val="clear" w:color="auto" w:fill="E1DFDD"/>
    </w:rPr>
  </w:style>
  <w:style w:type="paragraph" w:styleId="ListParagraph">
    <w:name w:val="List Paragraph"/>
    <w:basedOn w:val="Normal"/>
    <w:uiPriority w:val="34"/>
    <w:qFormat/>
    <w:rsid w:val="00EB3499"/>
    <w:pPr>
      <w:spacing w:after="0" w:line="240" w:lineRule="auto"/>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75231">
      <w:bodyDiv w:val="1"/>
      <w:marLeft w:val="0"/>
      <w:marRight w:val="0"/>
      <w:marTop w:val="0"/>
      <w:marBottom w:val="0"/>
      <w:divBdr>
        <w:top w:val="none" w:sz="0" w:space="0" w:color="auto"/>
        <w:left w:val="none" w:sz="0" w:space="0" w:color="auto"/>
        <w:bottom w:val="none" w:sz="0" w:space="0" w:color="auto"/>
        <w:right w:val="none" w:sz="0" w:space="0" w:color="auto"/>
      </w:divBdr>
      <w:divsChild>
        <w:div w:id="1206911713">
          <w:marLeft w:val="0"/>
          <w:marRight w:val="0"/>
          <w:marTop w:val="0"/>
          <w:marBottom w:val="0"/>
          <w:divBdr>
            <w:top w:val="none" w:sz="0" w:space="0" w:color="auto"/>
            <w:left w:val="none" w:sz="0" w:space="0" w:color="auto"/>
            <w:bottom w:val="none" w:sz="0" w:space="0" w:color="auto"/>
            <w:right w:val="none" w:sz="0" w:space="0" w:color="auto"/>
          </w:divBdr>
        </w:div>
      </w:divsChild>
    </w:div>
    <w:div w:id="46534221">
      <w:bodyDiv w:val="1"/>
      <w:marLeft w:val="0"/>
      <w:marRight w:val="0"/>
      <w:marTop w:val="0"/>
      <w:marBottom w:val="0"/>
      <w:divBdr>
        <w:top w:val="none" w:sz="0" w:space="0" w:color="auto"/>
        <w:left w:val="none" w:sz="0" w:space="0" w:color="auto"/>
        <w:bottom w:val="none" w:sz="0" w:space="0" w:color="auto"/>
        <w:right w:val="none" w:sz="0" w:space="0" w:color="auto"/>
      </w:divBdr>
    </w:div>
    <w:div w:id="226691548">
      <w:bodyDiv w:val="1"/>
      <w:marLeft w:val="0"/>
      <w:marRight w:val="0"/>
      <w:marTop w:val="0"/>
      <w:marBottom w:val="0"/>
      <w:divBdr>
        <w:top w:val="none" w:sz="0" w:space="0" w:color="auto"/>
        <w:left w:val="none" w:sz="0" w:space="0" w:color="auto"/>
        <w:bottom w:val="none" w:sz="0" w:space="0" w:color="auto"/>
        <w:right w:val="none" w:sz="0" w:space="0" w:color="auto"/>
      </w:divBdr>
      <w:divsChild>
        <w:div w:id="237058362">
          <w:marLeft w:val="0"/>
          <w:marRight w:val="0"/>
          <w:marTop w:val="0"/>
          <w:marBottom w:val="0"/>
          <w:divBdr>
            <w:top w:val="none" w:sz="0" w:space="0" w:color="auto"/>
            <w:left w:val="none" w:sz="0" w:space="0" w:color="auto"/>
            <w:bottom w:val="none" w:sz="0" w:space="0" w:color="auto"/>
            <w:right w:val="none" w:sz="0" w:space="0" w:color="auto"/>
          </w:divBdr>
          <w:divsChild>
            <w:div w:id="353313957">
              <w:marLeft w:val="0"/>
              <w:marRight w:val="0"/>
              <w:marTop w:val="0"/>
              <w:marBottom w:val="0"/>
              <w:divBdr>
                <w:top w:val="none" w:sz="0" w:space="0" w:color="auto"/>
                <w:left w:val="none" w:sz="0" w:space="0" w:color="auto"/>
                <w:bottom w:val="none" w:sz="0" w:space="0" w:color="auto"/>
                <w:right w:val="none" w:sz="0" w:space="0" w:color="auto"/>
              </w:divBdr>
            </w:div>
            <w:div w:id="586502680">
              <w:marLeft w:val="0"/>
              <w:marRight w:val="0"/>
              <w:marTop w:val="0"/>
              <w:marBottom w:val="0"/>
              <w:divBdr>
                <w:top w:val="none" w:sz="0" w:space="0" w:color="auto"/>
                <w:left w:val="none" w:sz="0" w:space="0" w:color="auto"/>
                <w:bottom w:val="none" w:sz="0" w:space="0" w:color="auto"/>
                <w:right w:val="none" w:sz="0" w:space="0" w:color="auto"/>
              </w:divBdr>
            </w:div>
            <w:div w:id="851915669">
              <w:marLeft w:val="0"/>
              <w:marRight w:val="0"/>
              <w:marTop w:val="0"/>
              <w:marBottom w:val="0"/>
              <w:divBdr>
                <w:top w:val="none" w:sz="0" w:space="0" w:color="auto"/>
                <w:left w:val="none" w:sz="0" w:space="0" w:color="auto"/>
                <w:bottom w:val="none" w:sz="0" w:space="0" w:color="auto"/>
                <w:right w:val="none" w:sz="0" w:space="0" w:color="auto"/>
              </w:divBdr>
            </w:div>
            <w:div w:id="1140341612">
              <w:marLeft w:val="0"/>
              <w:marRight w:val="0"/>
              <w:marTop w:val="0"/>
              <w:marBottom w:val="0"/>
              <w:divBdr>
                <w:top w:val="none" w:sz="0" w:space="0" w:color="auto"/>
                <w:left w:val="none" w:sz="0" w:space="0" w:color="auto"/>
                <w:bottom w:val="none" w:sz="0" w:space="0" w:color="auto"/>
                <w:right w:val="none" w:sz="0" w:space="0" w:color="auto"/>
              </w:divBdr>
            </w:div>
            <w:div w:id="1886523750">
              <w:marLeft w:val="0"/>
              <w:marRight w:val="0"/>
              <w:marTop w:val="0"/>
              <w:marBottom w:val="0"/>
              <w:divBdr>
                <w:top w:val="none" w:sz="0" w:space="0" w:color="auto"/>
                <w:left w:val="none" w:sz="0" w:space="0" w:color="auto"/>
                <w:bottom w:val="none" w:sz="0" w:space="0" w:color="auto"/>
                <w:right w:val="none" w:sz="0" w:space="0" w:color="auto"/>
              </w:divBdr>
            </w:div>
            <w:div w:id="19240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5831">
      <w:bodyDiv w:val="1"/>
      <w:marLeft w:val="0"/>
      <w:marRight w:val="0"/>
      <w:marTop w:val="0"/>
      <w:marBottom w:val="0"/>
      <w:divBdr>
        <w:top w:val="none" w:sz="0" w:space="0" w:color="auto"/>
        <w:left w:val="none" w:sz="0" w:space="0" w:color="auto"/>
        <w:bottom w:val="none" w:sz="0" w:space="0" w:color="auto"/>
        <w:right w:val="none" w:sz="0" w:space="0" w:color="auto"/>
      </w:divBdr>
    </w:div>
    <w:div w:id="646513995">
      <w:bodyDiv w:val="1"/>
      <w:marLeft w:val="0"/>
      <w:marRight w:val="0"/>
      <w:marTop w:val="0"/>
      <w:marBottom w:val="0"/>
      <w:divBdr>
        <w:top w:val="none" w:sz="0" w:space="0" w:color="auto"/>
        <w:left w:val="none" w:sz="0" w:space="0" w:color="auto"/>
        <w:bottom w:val="none" w:sz="0" w:space="0" w:color="auto"/>
        <w:right w:val="none" w:sz="0" w:space="0" w:color="auto"/>
      </w:divBdr>
      <w:divsChild>
        <w:div w:id="631011675">
          <w:marLeft w:val="0"/>
          <w:marRight w:val="0"/>
          <w:marTop w:val="0"/>
          <w:marBottom w:val="0"/>
          <w:divBdr>
            <w:top w:val="none" w:sz="0" w:space="0" w:color="auto"/>
            <w:left w:val="none" w:sz="0" w:space="0" w:color="auto"/>
            <w:bottom w:val="none" w:sz="0" w:space="0" w:color="auto"/>
            <w:right w:val="none" w:sz="0" w:space="0" w:color="auto"/>
          </w:divBdr>
        </w:div>
        <w:div w:id="1010252658">
          <w:marLeft w:val="0"/>
          <w:marRight w:val="0"/>
          <w:marTop w:val="0"/>
          <w:marBottom w:val="0"/>
          <w:divBdr>
            <w:top w:val="none" w:sz="0" w:space="0" w:color="auto"/>
            <w:left w:val="none" w:sz="0" w:space="0" w:color="auto"/>
            <w:bottom w:val="none" w:sz="0" w:space="0" w:color="auto"/>
            <w:right w:val="none" w:sz="0" w:space="0" w:color="auto"/>
          </w:divBdr>
        </w:div>
      </w:divsChild>
    </w:div>
    <w:div w:id="708996043">
      <w:bodyDiv w:val="1"/>
      <w:marLeft w:val="0"/>
      <w:marRight w:val="0"/>
      <w:marTop w:val="0"/>
      <w:marBottom w:val="0"/>
      <w:divBdr>
        <w:top w:val="none" w:sz="0" w:space="0" w:color="auto"/>
        <w:left w:val="none" w:sz="0" w:space="0" w:color="auto"/>
        <w:bottom w:val="none" w:sz="0" w:space="0" w:color="auto"/>
        <w:right w:val="none" w:sz="0" w:space="0" w:color="auto"/>
      </w:divBdr>
    </w:div>
    <w:div w:id="924417148">
      <w:bodyDiv w:val="1"/>
      <w:marLeft w:val="0"/>
      <w:marRight w:val="0"/>
      <w:marTop w:val="0"/>
      <w:marBottom w:val="0"/>
      <w:divBdr>
        <w:top w:val="none" w:sz="0" w:space="0" w:color="auto"/>
        <w:left w:val="none" w:sz="0" w:space="0" w:color="auto"/>
        <w:bottom w:val="none" w:sz="0" w:space="0" w:color="auto"/>
        <w:right w:val="none" w:sz="0" w:space="0" w:color="auto"/>
      </w:divBdr>
    </w:div>
    <w:div w:id="973947921">
      <w:bodyDiv w:val="1"/>
      <w:marLeft w:val="0"/>
      <w:marRight w:val="0"/>
      <w:marTop w:val="0"/>
      <w:marBottom w:val="0"/>
      <w:divBdr>
        <w:top w:val="none" w:sz="0" w:space="0" w:color="auto"/>
        <w:left w:val="none" w:sz="0" w:space="0" w:color="auto"/>
        <w:bottom w:val="none" w:sz="0" w:space="0" w:color="auto"/>
        <w:right w:val="none" w:sz="0" w:space="0" w:color="auto"/>
      </w:divBdr>
    </w:div>
    <w:div w:id="1004091439">
      <w:bodyDiv w:val="1"/>
      <w:marLeft w:val="0"/>
      <w:marRight w:val="0"/>
      <w:marTop w:val="0"/>
      <w:marBottom w:val="0"/>
      <w:divBdr>
        <w:top w:val="none" w:sz="0" w:space="0" w:color="auto"/>
        <w:left w:val="none" w:sz="0" w:space="0" w:color="auto"/>
        <w:bottom w:val="none" w:sz="0" w:space="0" w:color="auto"/>
        <w:right w:val="none" w:sz="0" w:space="0" w:color="auto"/>
      </w:divBdr>
    </w:div>
    <w:div w:id="1010833277">
      <w:bodyDiv w:val="1"/>
      <w:marLeft w:val="0"/>
      <w:marRight w:val="0"/>
      <w:marTop w:val="0"/>
      <w:marBottom w:val="0"/>
      <w:divBdr>
        <w:top w:val="none" w:sz="0" w:space="0" w:color="auto"/>
        <w:left w:val="none" w:sz="0" w:space="0" w:color="auto"/>
        <w:bottom w:val="none" w:sz="0" w:space="0" w:color="auto"/>
        <w:right w:val="none" w:sz="0" w:space="0" w:color="auto"/>
      </w:divBdr>
      <w:divsChild>
        <w:div w:id="636960637">
          <w:marLeft w:val="0"/>
          <w:marRight w:val="0"/>
          <w:marTop w:val="0"/>
          <w:marBottom w:val="0"/>
          <w:divBdr>
            <w:top w:val="none" w:sz="0" w:space="0" w:color="auto"/>
            <w:left w:val="none" w:sz="0" w:space="0" w:color="auto"/>
            <w:bottom w:val="none" w:sz="0" w:space="0" w:color="auto"/>
            <w:right w:val="none" w:sz="0" w:space="0" w:color="auto"/>
          </w:divBdr>
          <w:divsChild>
            <w:div w:id="428309290">
              <w:marLeft w:val="0"/>
              <w:marRight w:val="0"/>
              <w:marTop w:val="0"/>
              <w:marBottom w:val="0"/>
              <w:divBdr>
                <w:top w:val="none" w:sz="0" w:space="0" w:color="auto"/>
                <w:left w:val="none" w:sz="0" w:space="0" w:color="auto"/>
                <w:bottom w:val="none" w:sz="0" w:space="0" w:color="auto"/>
                <w:right w:val="none" w:sz="0" w:space="0" w:color="auto"/>
              </w:divBdr>
              <w:divsChild>
                <w:div w:id="17439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20368">
      <w:bodyDiv w:val="1"/>
      <w:marLeft w:val="0"/>
      <w:marRight w:val="0"/>
      <w:marTop w:val="0"/>
      <w:marBottom w:val="0"/>
      <w:divBdr>
        <w:top w:val="none" w:sz="0" w:space="0" w:color="auto"/>
        <w:left w:val="none" w:sz="0" w:space="0" w:color="auto"/>
        <w:bottom w:val="none" w:sz="0" w:space="0" w:color="auto"/>
        <w:right w:val="none" w:sz="0" w:space="0" w:color="auto"/>
      </w:divBdr>
    </w:div>
    <w:div w:id="1082793097">
      <w:bodyDiv w:val="1"/>
      <w:marLeft w:val="0"/>
      <w:marRight w:val="0"/>
      <w:marTop w:val="0"/>
      <w:marBottom w:val="0"/>
      <w:divBdr>
        <w:top w:val="none" w:sz="0" w:space="0" w:color="auto"/>
        <w:left w:val="none" w:sz="0" w:space="0" w:color="auto"/>
        <w:bottom w:val="none" w:sz="0" w:space="0" w:color="auto"/>
        <w:right w:val="none" w:sz="0" w:space="0" w:color="auto"/>
      </w:divBdr>
    </w:div>
    <w:div w:id="1110591066">
      <w:bodyDiv w:val="1"/>
      <w:marLeft w:val="0"/>
      <w:marRight w:val="0"/>
      <w:marTop w:val="0"/>
      <w:marBottom w:val="0"/>
      <w:divBdr>
        <w:top w:val="none" w:sz="0" w:space="0" w:color="auto"/>
        <w:left w:val="none" w:sz="0" w:space="0" w:color="auto"/>
        <w:bottom w:val="none" w:sz="0" w:space="0" w:color="auto"/>
        <w:right w:val="none" w:sz="0" w:space="0" w:color="auto"/>
      </w:divBdr>
    </w:div>
    <w:div w:id="1125809513">
      <w:bodyDiv w:val="1"/>
      <w:marLeft w:val="0"/>
      <w:marRight w:val="0"/>
      <w:marTop w:val="0"/>
      <w:marBottom w:val="0"/>
      <w:divBdr>
        <w:top w:val="none" w:sz="0" w:space="0" w:color="auto"/>
        <w:left w:val="none" w:sz="0" w:space="0" w:color="auto"/>
        <w:bottom w:val="none" w:sz="0" w:space="0" w:color="auto"/>
        <w:right w:val="none" w:sz="0" w:space="0" w:color="auto"/>
      </w:divBdr>
    </w:div>
    <w:div w:id="1147819219">
      <w:bodyDiv w:val="1"/>
      <w:marLeft w:val="0"/>
      <w:marRight w:val="0"/>
      <w:marTop w:val="0"/>
      <w:marBottom w:val="0"/>
      <w:divBdr>
        <w:top w:val="none" w:sz="0" w:space="0" w:color="auto"/>
        <w:left w:val="none" w:sz="0" w:space="0" w:color="auto"/>
        <w:bottom w:val="none" w:sz="0" w:space="0" w:color="auto"/>
        <w:right w:val="none" w:sz="0" w:space="0" w:color="auto"/>
      </w:divBdr>
      <w:divsChild>
        <w:div w:id="558788768">
          <w:marLeft w:val="0"/>
          <w:marRight w:val="0"/>
          <w:marTop w:val="0"/>
          <w:marBottom w:val="0"/>
          <w:divBdr>
            <w:top w:val="none" w:sz="0" w:space="0" w:color="auto"/>
            <w:left w:val="none" w:sz="0" w:space="0" w:color="auto"/>
            <w:bottom w:val="none" w:sz="0" w:space="0" w:color="auto"/>
            <w:right w:val="none" w:sz="0" w:space="0" w:color="auto"/>
          </w:divBdr>
          <w:divsChild>
            <w:div w:id="850920649">
              <w:marLeft w:val="0"/>
              <w:marRight w:val="0"/>
              <w:marTop w:val="0"/>
              <w:marBottom w:val="0"/>
              <w:divBdr>
                <w:top w:val="none" w:sz="0" w:space="0" w:color="auto"/>
                <w:left w:val="none" w:sz="0" w:space="0" w:color="auto"/>
                <w:bottom w:val="none" w:sz="0" w:space="0" w:color="auto"/>
                <w:right w:val="none" w:sz="0" w:space="0" w:color="auto"/>
              </w:divBdr>
              <w:divsChild>
                <w:div w:id="1581939448">
                  <w:marLeft w:val="0"/>
                  <w:marRight w:val="0"/>
                  <w:marTop w:val="0"/>
                  <w:marBottom w:val="0"/>
                  <w:divBdr>
                    <w:top w:val="none" w:sz="0" w:space="0" w:color="auto"/>
                    <w:left w:val="none" w:sz="0" w:space="0" w:color="auto"/>
                    <w:bottom w:val="none" w:sz="0" w:space="0" w:color="auto"/>
                    <w:right w:val="none" w:sz="0" w:space="0" w:color="auto"/>
                  </w:divBdr>
                  <w:divsChild>
                    <w:div w:id="957033397">
                      <w:marLeft w:val="0"/>
                      <w:marRight w:val="0"/>
                      <w:marTop w:val="0"/>
                      <w:marBottom w:val="0"/>
                      <w:divBdr>
                        <w:top w:val="none" w:sz="0" w:space="0" w:color="auto"/>
                        <w:left w:val="none" w:sz="0" w:space="0" w:color="auto"/>
                        <w:bottom w:val="none" w:sz="0" w:space="0" w:color="auto"/>
                        <w:right w:val="none" w:sz="0" w:space="0" w:color="auto"/>
                      </w:divBdr>
                      <w:divsChild>
                        <w:div w:id="1574461191">
                          <w:marLeft w:val="0"/>
                          <w:marRight w:val="0"/>
                          <w:marTop w:val="0"/>
                          <w:marBottom w:val="0"/>
                          <w:divBdr>
                            <w:top w:val="none" w:sz="0" w:space="0" w:color="auto"/>
                            <w:left w:val="none" w:sz="0" w:space="0" w:color="auto"/>
                            <w:bottom w:val="none" w:sz="0" w:space="0" w:color="auto"/>
                            <w:right w:val="none" w:sz="0" w:space="0" w:color="auto"/>
                          </w:divBdr>
                          <w:divsChild>
                            <w:div w:id="1242905083">
                              <w:marLeft w:val="143"/>
                              <w:marRight w:val="0"/>
                              <w:marTop w:val="0"/>
                              <w:marBottom w:val="0"/>
                              <w:divBdr>
                                <w:top w:val="none" w:sz="0" w:space="0" w:color="auto"/>
                                <w:left w:val="none" w:sz="0" w:space="0" w:color="auto"/>
                                <w:bottom w:val="none" w:sz="0" w:space="0" w:color="auto"/>
                                <w:right w:val="none" w:sz="0" w:space="0" w:color="auto"/>
                              </w:divBdr>
                              <w:divsChild>
                                <w:div w:id="11037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96434">
      <w:bodyDiv w:val="1"/>
      <w:marLeft w:val="0"/>
      <w:marRight w:val="0"/>
      <w:marTop w:val="0"/>
      <w:marBottom w:val="0"/>
      <w:divBdr>
        <w:top w:val="none" w:sz="0" w:space="0" w:color="auto"/>
        <w:left w:val="none" w:sz="0" w:space="0" w:color="auto"/>
        <w:bottom w:val="none" w:sz="0" w:space="0" w:color="auto"/>
        <w:right w:val="none" w:sz="0" w:space="0" w:color="auto"/>
      </w:divBdr>
      <w:divsChild>
        <w:div w:id="125510277">
          <w:marLeft w:val="0"/>
          <w:marRight w:val="0"/>
          <w:marTop w:val="0"/>
          <w:marBottom w:val="0"/>
          <w:divBdr>
            <w:top w:val="none" w:sz="0" w:space="0" w:color="auto"/>
            <w:left w:val="none" w:sz="0" w:space="0" w:color="auto"/>
            <w:bottom w:val="none" w:sz="0" w:space="0" w:color="auto"/>
            <w:right w:val="none" w:sz="0" w:space="0" w:color="auto"/>
          </w:divBdr>
          <w:divsChild>
            <w:div w:id="1036586565">
              <w:marLeft w:val="0"/>
              <w:marRight w:val="0"/>
              <w:marTop w:val="0"/>
              <w:marBottom w:val="0"/>
              <w:divBdr>
                <w:top w:val="none" w:sz="0" w:space="0" w:color="auto"/>
                <w:left w:val="none" w:sz="0" w:space="0" w:color="auto"/>
                <w:bottom w:val="none" w:sz="0" w:space="0" w:color="auto"/>
                <w:right w:val="none" w:sz="0" w:space="0" w:color="auto"/>
              </w:divBdr>
              <w:divsChild>
                <w:div w:id="10843596">
                  <w:marLeft w:val="75"/>
                  <w:marRight w:val="0"/>
                  <w:marTop w:val="0"/>
                  <w:marBottom w:val="0"/>
                  <w:divBdr>
                    <w:top w:val="none" w:sz="0" w:space="0" w:color="auto"/>
                    <w:left w:val="none" w:sz="0" w:space="0" w:color="auto"/>
                    <w:bottom w:val="none" w:sz="0" w:space="0" w:color="auto"/>
                    <w:right w:val="none" w:sz="0" w:space="0" w:color="auto"/>
                  </w:divBdr>
                  <w:divsChild>
                    <w:div w:id="19561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742366">
      <w:bodyDiv w:val="1"/>
      <w:marLeft w:val="0"/>
      <w:marRight w:val="0"/>
      <w:marTop w:val="0"/>
      <w:marBottom w:val="0"/>
      <w:divBdr>
        <w:top w:val="none" w:sz="0" w:space="0" w:color="auto"/>
        <w:left w:val="none" w:sz="0" w:space="0" w:color="auto"/>
        <w:bottom w:val="none" w:sz="0" w:space="0" w:color="auto"/>
        <w:right w:val="none" w:sz="0" w:space="0" w:color="auto"/>
      </w:divBdr>
    </w:div>
    <w:div w:id="1562210639">
      <w:bodyDiv w:val="1"/>
      <w:marLeft w:val="0"/>
      <w:marRight w:val="0"/>
      <w:marTop w:val="0"/>
      <w:marBottom w:val="0"/>
      <w:divBdr>
        <w:top w:val="none" w:sz="0" w:space="0" w:color="auto"/>
        <w:left w:val="none" w:sz="0" w:space="0" w:color="auto"/>
        <w:bottom w:val="none" w:sz="0" w:space="0" w:color="auto"/>
        <w:right w:val="none" w:sz="0" w:space="0" w:color="auto"/>
      </w:divBdr>
      <w:divsChild>
        <w:div w:id="1312758284">
          <w:marLeft w:val="0"/>
          <w:marRight w:val="0"/>
          <w:marTop w:val="0"/>
          <w:marBottom w:val="0"/>
          <w:divBdr>
            <w:top w:val="none" w:sz="0" w:space="0" w:color="auto"/>
            <w:left w:val="none" w:sz="0" w:space="0" w:color="auto"/>
            <w:bottom w:val="none" w:sz="0" w:space="0" w:color="auto"/>
            <w:right w:val="none" w:sz="0" w:space="0" w:color="auto"/>
          </w:divBdr>
          <w:divsChild>
            <w:div w:id="1621034753">
              <w:marLeft w:val="0"/>
              <w:marRight w:val="0"/>
              <w:marTop w:val="0"/>
              <w:marBottom w:val="0"/>
              <w:divBdr>
                <w:top w:val="none" w:sz="0" w:space="0" w:color="auto"/>
                <w:left w:val="none" w:sz="0" w:space="0" w:color="auto"/>
                <w:bottom w:val="none" w:sz="0" w:space="0" w:color="auto"/>
                <w:right w:val="none" w:sz="0" w:space="0" w:color="auto"/>
              </w:divBdr>
              <w:divsChild>
                <w:div w:id="2037540440">
                  <w:marLeft w:val="0"/>
                  <w:marRight w:val="0"/>
                  <w:marTop w:val="0"/>
                  <w:marBottom w:val="0"/>
                  <w:divBdr>
                    <w:top w:val="none" w:sz="0" w:space="0" w:color="auto"/>
                    <w:left w:val="none" w:sz="0" w:space="0" w:color="auto"/>
                    <w:bottom w:val="none" w:sz="0" w:space="0" w:color="auto"/>
                    <w:right w:val="none" w:sz="0" w:space="0" w:color="auto"/>
                  </w:divBdr>
                  <w:divsChild>
                    <w:div w:id="12886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00052">
      <w:bodyDiv w:val="1"/>
      <w:marLeft w:val="0"/>
      <w:marRight w:val="0"/>
      <w:marTop w:val="0"/>
      <w:marBottom w:val="0"/>
      <w:divBdr>
        <w:top w:val="none" w:sz="0" w:space="0" w:color="auto"/>
        <w:left w:val="none" w:sz="0" w:space="0" w:color="auto"/>
        <w:bottom w:val="none" w:sz="0" w:space="0" w:color="auto"/>
        <w:right w:val="none" w:sz="0" w:space="0" w:color="auto"/>
      </w:divBdr>
    </w:div>
    <w:div w:id="1787000429">
      <w:bodyDiv w:val="1"/>
      <w:marLeft w:val="0"/>
      <w:marRight w:val="0"/>
      <w:marTop w:val="0"/>
      <w:marBottom w:val="0"/>
      <w:divBdr>
        <w:top w:val="none" w:sz="0" w:space="0" w:color="auto"/>
        <w:left w:val="none" w:sz="0" w:space="0" w:color="auto"/>
        <w:bottom w:val="none" w:sz="0" w:space="0" w:color="auto"/>
        <w:right w:val="none" w:sz="0" w:space="0" w:color="auto"/>
      </w:divBdr>
      <w:divsChild>
        <w:div w:id="1418357630">
          <w:marLeft w:val="0"/>
          <w:marRight w:val="0"/>
          <w:marTop w:val="0"/>
          <w:marBottom w:val="0"/>
          <w:divBdr>
            <w:top w:val="none" w:sz="0" w:space="0" w:color="auto"/>
            <w:left w:val="none" w:sz="0" w:space="0" w:color="auto"/>
            <w:bottom w:val="none" w:sz="0" w:space="0" w:color="auto"/>
            <w:right w:val="none" w:sz="0" w:space="0" w:color="auto"/>
          </w:divBdr>
          <w:divsChild>
            <w:div w:id="1253515982">
              <w:marLeft w:val="0"/>
              <w:marRight w:val="0"/>
              <w:marTop w:val="0"/>
              <w:marBottom w:val="0"/>
              <w:divBdr>
                <w:top w:val="none" w:sz="0" w:space="0" w:color="auto"/>
                <w:left w:val="none" w:sz="0" w:space="0" w:color="auto"/>
                <w:bottom w:val="none" w:sz="0" w:space="0" w:color="auto"/>
                <w:right w:val="none" w:sz="0" w:space="0" w:color="auto"/>
              </w:divBdr>
              <w:divsChild>
                <w:div w:id="1372536822">
                  <w:marLeft w:val="0"/>
                  <w:marRight w:val="0"/>
                  <w:marTop w:val="0"/>
                  <w:marBottom w:val="0"/>
                  <w:divBdr>
                    <w:top w:val="none" w:sz="0" w:space="0" w:color="auto"/>
                    <w:left w:val="none" w:sz="0" w:space="0" w:color="auto"/>
                    <w:bottom w:val="none" w:sz="0" w:space="0" w:color="auto"/>
                    <w:right w:val="none" w:sz="0" w:space="0" w:color="auto"/>
                  </w:divBdr>
                  <w:divsChild>
                    <w:div w:id="1390492121">
                      <w:marLeft w:val="0"/>
                      <w:marRight w:val="0"/>
                      <w:marTop w:val="0"/>
                      <w:marBottom w:val="0"/>
                      <w:divBdr>
                        <w:top w:val="none" w:sz="0" w:space="0" w:color="auto"/>
                        <w:left w:val="none" w:sz="0" w:space="0" w:color="auto"/>
                        <w:bottom w:val="none" w:sz="0" w:space="0" w:color="auto"/>
                        <w:right w:val="none" w:sz="0" w:space="0" w:color="auto"/>
                      </w:divBdr>
                      <w:divsChild>
                        <w:div w:id="846096827">
                          <w:marLeft w:val="0"/>
                          <w:marRight w:val="0"/>
                          <w:marTop w:val="0"/>
                          <w:marBottom w:val="0"/>
                          <w:divBdr>
                            <w:top w:val="none" w:sz="0" w:space="0" w:color="auto"/>
                            <w:left w:val="none" w:sz="0" w:space="0" w:color="auto"/>
                            <w:bottom w:val="none" w:sz="0" w:space="0" w:color="auto"/>
                            <w:right w:val="none" w:sz="0" w:space="0" w:color="auto"/>
                          </w:divBdr>
                          <w:divsChild>
                            <w:div w:id="843740920">
                              <w:marLeft w:val="180"/>
                              <w:marRight w:val="0"/>
                              <w:marTop w:val="0"/>
                              <w:marBottom w:val="0"/>
                              <w:divBdr>
                                <w:top w:val="none" w:sz="0" w:space="0" w:color="auto"/>
                                <w:left w:val="none" w:sz="0" w:space="0" w:color="auto"/>
                                <w:bottom w:val="none" w:sz="0" w:space="0" w:color="auto"/>
                                <w:right w:val="none" w:sz="0" w:space="0" w:color="auto"/>
                              </w:divBdr>
                              <w:divsChild>
                                <w:div w:id="12119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428851">
      <w:bodyDiv w:val="1"/>
      <w:marLeft w:val="0"/>
      <w:marRight w:val="0"/>
      <w:marTop w:val="0"/>
      <w:marBottom w:val="0"/>
      <w:divBdr>
        <w:top w:val="none" w:sz="0" w:space="0" w:color="auto"/>
        <w:left w:val="none" w:sz="0" w:space="0" w:color="auto"/>
        <w:bottom w:val="none" w:sz="0" w:space="0" w:color="auto"/>
        <w:right w:val="none" w:sz="0" w:space="0" w:color="auto"/>
      </w:divBdr>
    </w:div>
    <w:div w:id="1876766825">
      <w:bodyDiv w:val="1"/>
      <w:marLeft w:val="0"/>
      <w:marRight w:val="0"/>
      <w:marTop w:val="0"/>
      <w:marBottom w:val="0"/>
      <w:divBdr>
        <w:top w:val="none" w:sz="0" w:space="0" w:color="auto"/>
        <w:left w:val="none" w:sz="0" w:space="0" w:color="auto"/>
        <w:bottom w:val="none" w:sz="0" w:space="0" w:color="auto"/>
        <w:right w:val="none" w:sz="0" w:space="0" w:color="auto"/>
      </w:divBdr>
      <w:divsChild>
        <w:div w:id="147750690">
          <w:marLeft w:val="0"/>
          <w:marRight w:val="0"/>
          <w:marTop w:val="0"/>
          <w:marBottom w:val="0"/>
          <w:divBdr>
            <w:top w:val="none" w:sz="0" w:space="0" w:color="auto"/>
            <w:left w:val="none" w:sz="0" w:space="0" w:color="auto"/>
            <w:bottom w:val="none" w:sz="0" w:space="0" w:color="auto"/>
            <w:right w:val="none" w:sz="0" w:space="0" w:color="auto"/>
          </w:divBdr>
          <w:divsChild>
            <w:div w:id="374083815">
              <w:marLeft w:val="0"/>
              <w:marRight w:val="0"/>
              <w:marTop w:val="0"/>
              <w:marBottom w:val="0"/>
              <w:divBdr>
                <w:top w:val="none" w:sz="0" w:space="0" w:color="auto"/>
                <w:left w:val="none" w:sz="0" w:space="0" w:color="auto"/>
                <w:bottom w:val="none" w:sz="0" w:space="0" w:color="auto"/>
                <w:right w:val="none" w:sz="0" w:space="0" w:color="auto"/>
              </w:divBdr>
              <w:divsChild>
                <w:div w:id="801077364">
                  <w:marLeft w:val="0"/>
                  <w:marRight w:val="0"/>
                  <w:marTop w:val="0"/>
                  <w:marBottom w:val="0"/>
                  <w:divBdr>
                    <w:top w:val="none" w:sz="0" w:space="0" w:color="auto"/>
                    <w:left w:val="none" w:sz="0" w:space="0" w:color="auto"/>
                    <w:bottom w:val="none" w:sz="0" w:space="0" w:color="auto"/>
                    <w:right w:val="none" w:sz="0" w:space="0" w:color="auto"/>
                  </w:divBdr>
                  <w:divsChild>
                    <w:div w:id="1619945671">
                      <w:marLeft w:val="0"/>
                      <w:marRight w:val="0"/>
                      <w:marTop w:val="0"/>
                      <w:marBottom w:val="0"/>
                      <w:divBdr>
                        <w:top w:val="none" w:sz="0" w:space="0" w:color="auto"/>
                        <w:left w:val="none" w:sz="0" w:space="0" w:color="auto"/>
                        <w:bottom w:val="none" w:sz="0" w:space="0" w:color="auto"/>
                        <w:right w:val="none" w:sz="0" w:space="0" w:color="auto"/>
                      </w:divBdr>
                      <w:divsChild>
                        <w:div w:id="2980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298801">
      <w:bodyDiv w:val="1"/>
      <w:marLeft w:val="0"/>
      <w:marRight w:val="0"/>
      <w:marTop w:val="0"/>
      <w:marBottom w:val="0"/>
      <w:divBdr>
        <w:top w:val="none" w:sz="0" w:space="0" w:color="auto"/>
        <w:left w:val="none" w:sz="0" w:space="0" w:color="auto"/>
        <w:bottom w:val="none" w:sz="0" w:space="0" w:color="auto"/>
        <w:right w:val="none" w:sz="0" w:space="0" w:color="auto"/>
      </w:divBdr>
      <w:divsChild>
        <w:div w:id="1638300373">
          <w:marLeft w:val="0"/>
          <w:marRight w:val="0"/>
          <w:marTop w:val="0"/>
          <w:marBottom w:val="0"/>
          <w:divBdr>
            <w:top w:val="none" w:sz="0" w:space="0" w:color="auto"/>
            <w:left w:val="none" w:sz="0" w:space="0" w:color="auto"/>
            <w:bottom w:val="none" w:sz="0" w:space="0" w:color="auto"/>
            <w:right w:val="none" w:sz="0" w:space="0" w:color="auto"/>
          </w:divBdr>
          <w:divsChild>
            <w:div w:id="1537422772">
              <w:marLeft w:val="0"/>
              <w:marRight w:val="0"/>
              <w:marTop w:val="0"/>
              <w:marBottom w:val="0"/>
              <w:divBdr>
                <w:top w:val="none" w:sz="0" w:space="0" w:color="auto"/>
                <w:left w:val="none" w:sz="0" w:space="0" w:color="auto"/>
                <w:bottom w:val="none" w:sz="0" w:space="0" w:color="auto"/>
                <w:right w:val="none" w:sz="0" w:space="0" w:color="auto"/>
              </w:divBdr>
              <w:divsChild>
                <w:div w:id="146477907">
                  <w:marLeft w:val="0"/>
                  <w:marRight w:val="0"/>
                  <w:marTop w:val="0"/>
                  <w:marBottom w:val="0"/>
                  <w:divBdr>
                    <w:top w:val="none" w:sz="0" w:space="0" w:color="auto"/>
                    <w:left w:val="none" w:sz="0" w:space="0" w:color="auto"/>
                    <w:bottom w:val="none" w:sz="0" w:space="0" w:color="auto"/>
                    <w:right w:val="none" w:sz="0" w:space="0" w:color="auto"/>
                  </w:divBdr>
                  <w:divsChild>
                    <w:div w:id="1838105955">
                      <w:marLeft w:val="0"/>
                      <w:marRight w:val="0"/>
                      <w:marTop w:val="0"/>
                      <w:marBottom w:val="0"/>
                      <w:divBdr>
                        <w:top w:val="none" w:sz="0" w:space="0" w:color="auto"/>
                        <w:left w:val="none" w:sz="0" w:space="0" w:color="auto"/>
                        <w:bottom w:val="none" w:sz="0" w:space="0" w:color="auto"/>
                        <w:right w:val="none" w:sz="0" w:space="0" w:color="auto"/>
                      </w:divBdr>
                      <w:divsChild>
                        <w:div w:id="4558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40544">
      <w:bodyDiv w:val="1"/>
      <w:marLeft w:val="0"/>
      <w:marRight w:val="0"/>
      <w:marTop w:val="0"/>
      <w:marBottom w:val="0"/>
      <w:divBdr>
        <w:top w:val="none" w:sz="0" w:space="0" w:color="auto"/>
        <w:left w:val="none" w:sz="0" w:space="0" w:color="auto"/>
        <w:bottom w:val="none" w:sz="0" w:space="0" w:color="auto"/>
        <w:right w:val="none" w:sz="0" w:space="0" w:color="auto"/>
      </w:divBdr>
      <w:divsChild>
        <w:div w:id="168639445">
          <w:marLeft w:val="0"/>
          <w:marRight w:val="0"/>
          <w:marTop w:val="0"/>
          <w:marBottom w:val="0"/>
          <w:divBdr>
            <w:top w:val="none" w:sz="0" w:space="0" w:color="auto"/>
            <w:left w:val="none" w:sz="0" w:space="0" w:color="auto"/>
            <w:bottom w:val="none" w:sz="0" w:space="0" w:color="auto"/>
            <w:right w:val="none" w:sz="0" w:space="0" w:color="auto"/>
          </w:divBdr>
          <w:divsChild>
            <w:div w:id="1509294137">
              <w:marLeft w:val="0"/>
              <w:marRight w:val="0"/>
              <w:marTop w:val="0"/>
              <w:marBottom w:val="0"/>
              <w:divBdr>
                <w:top w:val="none" w:sz="0" w:space="0" w:color="auto"/>
                <w:left w:val="none" w:sz="0" w:space="0" w:color="auto"/>
                <w:bottom w:val="none" w:sz="0" w:space="0" w:color="auto"/>
                <w:right w:val="none" w:sz="0" w:space="0" w:color="auto"/>
              </w:divBdr>
              <w:divsChild>
                <w:div w:id="593443216">
                  <w:marLeft w:val="0"/>
                  <w:marRight w:val="0"/>
                  <w:marTop w:val="0"/>
                  <w:marBottom w:val="0"/>
                  <w:divBdr>
                    <w:top w:val="none" w:sz="0" w:space="0" w:color="auto"/>
                    <w:left w:val="none" w:sz="0" w:space="0" w:color="auto"/>
                    <w:bottom w:val="none" w:sz="0" w:space="0" w:color="auto"/>
                    <w:right w:val="none" w:sz="0" w:space="0" w:color="auto"/>
                  </w:divBdr>
                  <w:divsChild>
                    <w:div w:id="1030257333">
                      <w:marLeft w:val="0"/>
                      <w:marRight w:val="0"/>
                      <w:marTop w:val="0"/>
                      <w:marBottom w:val="0"/>
                      <w:divBdr>
                        <w:top w:val="none" w:sz="0" w:space="0" w:color="auto"/>
                        <w:left w:val="none" w:sz="0" w:space="0" w:color="auto"/>
                        <w:bottom w:val="none" w:sz="0" w:space="0" w:color="auto"/>
                        <w:right w:val="none" w:sz="0" w:space="0" w:color="auto"/>
                      </w:divBdr>
                      <w:divsChild>
                        <w:div w:id="1741751374">
                          <w:marLeft w:val="0"/>
                          <w:marRight w:val="0"/>
                          <w:marTop w:val="0"/>
                          <w:marBottom w:val="0"/>
                          <w:divBdr>
                            <w:top w:val="none" w:sz="0" w:space="0" w:color="auto"/>
                            <w:left w:val="none" w:sz="0" w:space="0" w:color="auto"/>
                            <w:bottom w:val="none" w:sz="0" w:space="0" w:color="auto"/>
                            <w:right w:val="none" w:sz="0" w:space="0" w:color="auto"/>
                          </w:divBdr>
                          <w:divsChild>
                            <w:div w:id="212934701">
                              <w:marLeft w:val="143"/>
                              <w:marRight w:val="0"/>
                              <w:marTop w:val="0"/>
                              <w:marBottom w:val="0"/>
                              <w:divBdr>
                                <w:top w:val="none" w:sz="0" w:space="0" w:color="auto"/>
                                <w:left w:val="none" w:sz="0" w:space="0" w:color="auto"/>
                                <w:bottom w:val="none" w:sz="0" w:space="0" w:color="auto"/>
                                <w:right w:val="none" w:sz="0" w:space="0" w:color="auto"/>
                              </w:divBdr>
                              <w:divsChild>
                                <w:div w:id="7610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6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about/what-we-do/accredita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ccreditation@ni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Media/Default/About/Who-we-are/Policies-and-procedures/NICE-equality-scheme/equality-objectives-and-equality-programme-16.pdf" TargetMode="External"/><Relationship Id="rId5" Type="http://schemas.openxmlformats.org/officeDocument/2006/relationships/webSettings" Target="webSettings.xml"/><Relationship Id="rId15" Type="http://schemas.openxmlformats.org/officeDocument/2006/relationships/hyperlink" Target="mailto:Accreditation@nice.org.uk" TargetMode="External"/><Relationship Id="rId10" Type="http://schemas.openxmlformats.org/officeDocument/2006/relationships/hyperlink" Target="http://www.agreetrust.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vidence.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E049-AC46-4D2A-B613-0B15D305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3624</Words>
  <Characters>20657</Characters>
  <Application>Microsoft Office Word</Application>
  <DocSecurity>0</DocSecurity>
  <Lines>172</Lines>
  <Paragraphs>48</Paragraphs>
  <ScaleCrop>false</ScaleCrop>
  <Company/>
  <LinksUpToDate>false</LinksUpToDate>
  <CharactersWithSpaces>24233</CharactersWithSpaces>
  <SharedDoc>false</SharedDoc>
  <HLinks>
    <vt:vector size="36" baseType="variant">
      <vt:variant>
        <vt:i4>1966177</vt:i4>
      </vt:variant>
      <vt:variant>
        <vt:i4>18</vt:i4>
      </vt:variant>
      <vt:variant>
        <vt:i4>0</vt:i4>
      </vt:variant>
      <vt:variant>
        <vt:i4>5</vt:i4>
      </vt:variant>
      <vt:variant>
        <vt:lpwstr>mailto:Accreditation@nice.org.uk</vt:lpwstr>
      </vt:variant>
      <vt:variant>
        <vt:lpwstr/>
      </vt:variant>
      <vt:variant>
        <vt:i4>1966177</vt:i4>
      </vt:variant>
      <vt:variant>
        <vt:i4>15</vt:i4>
      </vt:variant>
      <vt:variant>
        <vt:i4>0</vt:i4>
      </vt:variant>
      <vt:variant>
        <vt:i4>5</vt:i4>
      </vt:variant>
      <vt:variant>
        <vt:lpwstr>mailto:Accreditation@nice.org.uk</vt:lpwstr>
      </vt:variant>
      <vt:variant>
        <vt:lpwstr/>
      </vt:variant>
      <vt:variant>
        <vt:i4>1441865</vt:i4>
      </vt:variant>
      <vt:variant>
        <vt:i4>12</vt:i4>
      </vt:variant>
      <vt:variant>
        <vt:i4>0</vt:i4>
      </vt:variant>
      <vt:variant>
        <vt:i4>5</vt:i4>
      </vt:variant>
      <vt:variant>
        <vt:lpwstr>https://www.evidence.nhs.uk/</vt:lpwstr>
      </vt:variant>
      <vt:variant>
        <vt:lpwstr/>
      </vt:variant>
      <vt:variant>
        <vt:i4>7274529</vt:i4>
      </vt:variant>
      <vt:variant>
        <vt:i4>6</vt:i4>
      </vt:variant>
      <vt:variant>
        <vt:i4>0</vt:i4>
      </vt:variant>
      <vt:variant>
        <vt:i4>5</vt:i4>
      </vt:variant>
      <vt:variant>
        <vt:lpwstr>https://www.nice.org.uk/about/what-we-do/accreditation</vt:lpwstr>
      </vt:variant>
      <vt:variant>
        <vt:lpwstr/>
      </vt:variant>
      <vt:variant>
        <vt:i4>852045</vt:i4>
      </vt:variant>
      <vt:variant>
        <vt:i4>3</vt:i4>
      </vt:variant>
      <vt:variant>
        <vt:i4>0</vt:i4>
      </vt:variant>
      <vt:variant>
        <vt:i4>5</vt:i4>
      </vt:variant>
      <vt:variant>
        <vt:lpwstr>https://www.nice.org.uk/Media/Default/About/Who-we-are/Policies-and-procedures/NICE-equality-scheme/equality-objectives-and-equality-programme-16.pdf</vt:lpwstr>
      </vt:variant>
      <vt:variant>
        <vt:lpwstr/>
      </vt:variant>
      <vt:variant>
        <vt:i4>3080239</vt:i4>
      </vt:variant>
      <vt:variant>
        <vt:i4>0</vt:i4>
      </vt:variant>
      <vt:variant>
        <vt:i4>0</vt:i4>
      </vt:variant>
      <vt:variant>
        <vt:i4>5</vt:i4>
      </vt:variant>
      <vt:variant>
        <vt:lpwstr>http://www.agreetrust.org/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2021-02-02T12:58:00Z</dcterms:created>
  <dcterms:modified xsi:type="dcterms:W3CDTF">2021-02-02T12:58:00Z</dcterms:modified>
</cp:coreProperties>
</file>