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F732" w14:textId="774B81F2" w:rsidR="00B23580" w:rsidRPr="004F64E5" w:rsidRDefault="00375BD2" w:rsidP="00EA3DAD">
      <w:pPr>
        <w:pStyle w:val="Heading1"/>
        <w:jc w:val="center"/>
      </w:pPr>
      <w:r>
        <w:t>Changes</w:t>
      </w:r>
      <w:r w:rsidR="00EA3DAD" w:rsidRPr="004F64E5">
        <w:t xml:space="preserve"> to appeal period for technology appraisal and highly specialised technologies appeals</w:t>
      </w:r>
    </w:p>
    <w:p w14:paraId="73C5A0F0" w14:textId="2BB279C8" w:rsidR="00B23580" w:rsidRPr="004F64E5" w:rsidRDefault="00B23580" w:rsidP="00B23580">
      <w:pPr>
        <w:pStyle w:val="Heading1"/>
      </w:pPr>
      <w:r w:rsidRPr="004F64E5">
        <w:t xml:space="preserve">Background </w:t>
      </w:r>
    </w:p>
    <w:p w14:paraId="38532A59" w14:textId="37F3F2D0" w:rsidR="00EF07FB" w:rsidRPr="004F64E5" w:rsidRDefault="00EA17BF" w:rsidP="005A7449">
      <w:pPr>
        <w:pStyle w:val="Numberedlist"/>
      </w:pPr>
      <w:r>
        <w:t>C</w:t>
      </w:r>
      <w:r w:rsidR="00EF07FB" w:rsidRPr="004F64E5">
        <w:t xml:space="preserve">onsultees can </w:t>
      </w:r>
      <w:r w:rsidR="00C36141">
        <w:t xml:space="preserve">appeal against a </w:t>
      </w:r>
      <w:r>
        <w:t>technology appraisal (T</w:t>
      </w:r>
      <w:r w:rsidR="00C36141">
        <w:t>A</w:t>
      </w:r>
      <w:r>
        <w:t>)</w:t>
      </w:r>
      <w:r w:rsidR="00C36141">
        <w:t xml:space="preserve"> or </w:t>
      </w:r>
      <w:r>
        <w:t>highly specialised technologies (</w:t>
      </w:r>
      <w:r w:rsidR="00C36141">
        <w:t>HST</w:t>
      </w:r>
      <w:r>
        <w:t>)</w:t>
      </w:r>
      <w:r w:rsidR="00C36141">
        <w:t xml:space="preserve"> recommendation on the grounds that:</w:t>
      </w:r>
    </w:p>
    <w:p w14:paraId="698C589E" w14:textId="13534976" w:rsidR="00EF07FB" w:rsidRPr="004F64E5" w:rsidRDefault="00EF07FB" w:rsidP="005A7449">
      <w:pPr>
        <w:pStyle w:val="Numberedlist"/>
        <w:numPr>
          <w:ilvl w:val="0"/>
          <w:numId w:val="0"/>
        </w:numPr>
        <w:ind w:left="1146"/>
      </w:pPr>
      <w:r w:rsidRPr="004F64E5">
        <w:t>(a) in making the assessment that preceded the recommendation, NICE</w:t>
      </w:r>
    </w:p>
    <w:p w14:paraId="48309FC2" w14:textId="77777777" w:rsidR="00EF07FB" w:rsidRPr="004F64E5" w:rsidRDefault="00EF07FB" w:rsidP="005A7449">
      <w:pPr>
        <w:pStyle w:val="Numberedlist"/>
        <w:numPr>
          <w:ilvl w:val="0"/>
          <w:numId w:val="0"/>
        </w:numPr>
        <w:ind w:left="1440"/>
      </w:pPr>
      <w:r w:rsidRPr="004F64E5">
        <w:t>(</w:t>
      </w:r>
      <w:proofErr w:type="spellStart"/>
      <w:r w:rsidRPr="004F64E5">
        <w:t>i</w:t>
      </w:r>
      <w:proofErr w:type="spellEnd"/>
      <w:r w:rsidRPr="004F64E5">
        <w:t>) failed to act fairly, or</w:t>
      </w:r>
    </w:p>
    <w:p w14:paraId="0C6DA0B5" w14:textId="5270FF0E" w:rsidR="00EF07FB" w:rsidRPr="004F64E5" w:rsidRDefault="00EF07FB" w:rsidP="005A7449">
      <w:pPr>
        <w:pStyle w:val="Numberedlist"/>
        <w:numPr>
          <w:ilvl w:val="0"/>
          <w:numId w:val="0"/>
        </w:numPr>
        <w:ind w:left="1440"/>
      </w:pPr>
      <w:r w:rsidRPr="004F64E5">
        <w:t>(ii) exceeded its powers; or</w:t>
      </w:r>
    </w:p>
    <w:p w14:paraId="64BB0150" w14:textId="77777777" w:rsidR="00EF07FB" w:rsidRPr="004F64E5" w:rsidRDefault="00EF07FB" w:rsidP="005A7449">
      <w:pPr>
        <w:pStyle w:val="Numberedlist"/>
        <w:numPr>
          <w:ilvl w:val="0"/>
          <w:numId w:val="0"/>
        </w:numPr>
        <w:ind w:left="1276"/>
      </w:pPr>
      <w:r w:rsidRPr="004F64E5">
        <w:t>(b) the recommendation is unreasonable in the light of the evidence submitted to NICE.</w:t>
      </w:r>
    </w:p>
    <w:p w14:paraId="1B5330A1" w14:textId="563761F4" w:rsidR="00E9280A" w:rsidRPr="004F64E5" w:rsidRDefault="000F3EC8" w:rsidP="005A7449">
      <w:pPr>
        <w:pStyle w:val="Numberedlist"/>
        <w:rPr>
          <w:lang w:eastAsia="en-GB"/>
        </w:rPr>
      </w:pPr>
      <w:r w:rsidRPr="004F64E5">
        <w:t>The</w:t>
      </w:r>
      <w:r w:rsidR="00EA17BF">
        <w:t xml:space="preserve"> arrangements for the appeal process are set out in the</w:t>
      </w:r>
      <w:r w:rsidRPr="004F64E5">
        <w:t xml:space="preserve"> </w:t>
      </w:r>
      <w:hyperlink r:id="rId7" w:history="1">
        <w:r w:rsidRPr="004F64E5">
          <w:rPr>
            <w:rStyle w:val="Hyperlink"/>
          </w:rPr>
          <w:t>Guide to the technology appraisal and highly specialised technologies appeal process [PMG41]</w:t>
        </w:r>
      </w:hyperlink>
      <w:r w:rsidR="00EA17BF">
        <w:t xml:space="preserve">. </w:t>
      </w:r>
      <w:r w:rsidR="003E4821">
        <w:t>C</w:t>
      </w:r>
      <w:r w:rsidR="00E9280A" w:rsidRPr="004F64E5">
        <w:rPr>
          <w:lang w:eastAsia="en-GB"/>
        </w:rPr>
        <w:t xml:space="preserve">onsultees </w:t>
      </w:r>
      <w:r w:rsidR="00177F68">
        <w:rPr>
          <w:lang w:eastAsia="en-GB"/>
        </w:rPr>
        <w:t xml:space="preserve">have </w:t>
      </w:r>
      <w:r w:rsidR="00E9280A" w:rsidRPr="004F64E5">
        <w:rPr>
          <w:lang w:eastAsia="en-GB"/>
        </w:rPr>
        <w:t>15 working days from receiving the final draft guidance to submit an appeal</w:t>
      </w:r>
      <w:r w:rsidR="001116B0">
        <w:rPr>
          <w:lang w:eastAsia="en-GB"/>
        </w:rPr>
        <w:t xml:space="preserve"> (</w:t>
      </w:r>
      <w:r w:rsidR="00125BD0">
        <w:rPr>
          <w:lang w:eastAsia="en-GB"/>
        </w:rPr>
        <w:t xml:space="preserve">this is </w:t>
      </w:r>
      <w:r w:rsidR="001116B0">
        <w:rPr>
          <w:lang w:eastAsia="en-GB"/>
        </w:rPr>
        <w:t>known as the appeal period)</w:t>
      </w:r>
      <w:r w:rsidR="00E9280A" w:rsidRPr="004F64E5">
        <w:rPr>
          <w:lang w:eastAsia="en-GB"/>
        </w:rPr>
        <w:t xml:space="preserve">. </w:t>
      </w:r>
    </w:p>
    <w:p w14:paraId="529EDC6D" w14:textId="76410FE8" w:rsidR="000F3EC8" w:rsidRDefault="00F5798B" w:rsidP="005A7449">
      <w:pPr>
        <w:pStyle w:val="Numberedlist"/>
      </w:pPr>
      <w:r>
        <w:t xml:space="preserve">Between 20 January 2025 and 16 February 2025 </w:t>
      </w:r>
      <w:r w:rsidR="00EE1C3C">
        <w:t>NICE</w:t>
      </w:r>
      <w:r>
        <w:t xml:space="preserve"> ran a </w:t>
      </w:r>
      <w:r w:rsidR="00125BD0">
        <w:t>4-</w:t>
      </w:r>
      <w:r>
        <w:t xml:space="preserve">week </w:t>
      </w:r>
      <w:r w:rsidR="00817514">
        <w:t xml:space="preserve">public consultation on proposed changes to </w:t>
      </w:r>
      <w:r w:rsidR="000F3EC8">
        <w:t xml:space="preserve">the appeal process so that a consultee who intends to submit an appeal, or is considering submitting an appeal, </w:t>
      </w:r>
      <w:r w:rsidR="00273486" w:rsidRPr="673872C4">
        <w:rPr>
          <w:lang w:eastAsia="en-GB"/>
        </w:rPr>
        <w:t xml:space="preserve">against </w:t>
      </w:r>
      <w:r w:rsidR="00125BD0" w:rsidRPr="673872C4">
        <w:rPr>
          <w:lang w:eastAsia="en-GB"/>
        </w:rPr>
        <w:t xml:space="preserve">TA or HST </w:t>
      </w:r>
      <w:r w:rsidR="00273486" w:rsidRPr="673872C4">
        <w:rPr>
          <w:lang w:eastAsia="en-GB"/>
        </w:rPr>
        <w:t>guidance that recommends a technology</w:t>
      </w:r>
      <w:r w:rsidR="00273486">
        <w:t xml:space="preserve"> </w:t>
      </w:r>
      <w:r w:rsidR="000F3EC8">
        <w:t>must notify NICE within the first 5 working days of the appeal period. The consultee would then have until the end of the 15 working day</w:t>
      </w:r>
      <w:r w:rsidR="00403FD9">
        <w:t>s</w:t>
      </w:r>
      <w:r w:rsidR="000F3EC8">
        <w:t xml:space="preserve"> appeal period to submit the appeal.</w:t>
      </w:r>
    </w:p>
    <w:p w14:paraId="337B130C" w14:textId="390C3F34" w:rsidR="000F3EC8" w:rsidRPr="004F64E5" w:rsidRDefault="000F3EC8" w:rsidP="005A7449">
      <w:pPr>
        <w:pStyle w:val="Numberedlist"/>
      </w:pPr>
      <w:r w:rsidRPr="004F64E5">
        <w:t>Notifying NICE of an intention to appeal would not commit a consultee to submit an appeal. However, a consultee would be unable to submit an appeal if they had not notified NICE of an intention to appeal within the initial 5 working day</w:t>
      </w:r>
      <w:r w:rsidR="00403FD9">
        <w:t>s</w:t>
      </w:r>
      <w:r w:rsidRPr="004F64E5">
        <w:t xml:space="preserve"> deadline.</w:t>
      </w:r>
    </w:p>
    <w:p w14:paraId="2A04C4C7" w14:textId="435216CE" w:rsidR="00AA73EE" w:rsidRDefault="008C063E" w:rsidP="005A7449">
      <w:pPr>
        <w:pStyle w:val="Numberedlist"/>
      </w:pPr>
      <w:r>
        <w:t>The consultation proposed that</w:t>
      </w:r>
      <w:r w:rsidR="00EC2213">
        <w:t xml:space="preserve"> the </w:t>
      </w:r>
      <w:r w:rsidR="00056DF6">
        <w:t xml:space="preserve">changes would apply </w:t>
      </w:r>
      <w:r w:rsidR="00056DF6">
        <w:rPr>
          <w:lang w:eastAsia="en-GB"/>
        </w:rPr>
        <w:t>when</w:t>
      </w:r>
      <w:r w:rsidR="00056DF6" w:rsidRPr="00E46018">
        <w:rPr>
          <w:lang w:eastAsia="en-GB"/>
        </w:rPr>
        <w:t xml:space="preserve"> the </w:t>
      </w:r>
      <w:r w:rsidR="00056DF6">
        <w:rPr>
          <w:lang w:eastAsia="en-GB"/>
        </w:rPr>
        <w:t xml:space="preserve">final draft guidance recommends the </w:t>
      </w:r>
      <w:r w:rsidR="00056DF6" w:rsidRPr="00E46018">
        <w:rPr>
          <w:lang w:eastAsia="en-GB"/>
        </w:rPr>
        <w:t xml:space="preserve">technology </w:t>
      </w:r>
      <w:r w:rsidR="00056DF6">
        <w:rPr>
          <w:lang w:eastAsia="en-GB"/>
        </w:rPr>
        <w:t xml:space="preserve">can be used, including during a managed access period. </w:t>
      </w:r>
      <w:r w:rsidR="00056DF6">
        <w:t xml:space="preserve">It would also apply when the guidance states a </w:t>
      </w:r>
      <w:r w:rsidR="00056DF6">
        <w:lastRenderedPageBreak/>
        <w:t>technology can be used and NICE has agreed to vary the funding requirement.</w:t>
      </w:r>
    </w:p>
    <w:p w14:paraId="64A4A621" w14:textId="25E1748D" w:rsidR="009C2675" w:rsidRDefault="009C2675" w:rsidP="005A7449">
      <w:pPr>
        <w:pStyle w:val="Numberedlist"/>
      </w:pPr>
      <w:r>
        <w:t>During the current 15 working day</w:t>
      </w:r>
      <w:r w:rsidR="00403FD9">
        <w:t>s</w:t>
      </w:r>
      <w:r>
        <w:t xml:space="preserve"> appeal period there is a separate opportunity for stakeholders to highlight any factual errors in the final draft guidance. To enable guidance that recommends a technology to publish 2 weeks faster than currently it is necessary to maintain alignment between the appeals and factual accuracy processes. The consultation also</w:t>
      </w:r>
      <w:r w:rsidR="009F6460">
        <w:t xml:space="preserve"> therefore</w:t>
      </w:r>
      <w:r>
        <w:t xml:space="preserve"> proposed that stakeholders would in future have 5 working days to highlight factual errors in final draft guidance that recommends a</w:t>
      </w:r>
      <w:r w:rsidRPr="11E6A3A5">
        <w:t xml:space="preserve"> technology</w:t>
      </w:r>
      <w:r>
        <w:t xml:space="preserve"> can be used, including during a managed access period and where NICE has agreed to vary the funding requirement. </w:t>
      </w:r>
    </w:p>
    <w:p w14:paraId="62C118B8" w14:textId="5632CF21" w:rsidR="00D71291" w:rsidRDefault="00966A44" w:rsidP="005A7449">
      <w:pPr>
        <w:pStyle w:val="Numberedlist"/>
      </w:pPr>
      <w:r w:rsidRPr="00966A44">
        <w:t xml:space="preserve">The </w:t>
      </w:r>
      <w:r w:rsidR="009F6460">
        <w:t xml:space="preserve">consultation </w:t>
      </w:r>
      <w:r w:rsidR="00930767">
        <w:t>proposed</w:t>
      </w:r>
      <w:r w:rsidR="00FE2DA1">
        <w:t xml:space="preserve"> that the </w:t>
      </w:r>
      <w:r w:rsidRPr="00966A44">
        <w:t xml:space="preserve">appeal </w:t>
      </w:r>
      <w:r w:rsidR="00AB669E">
        <w:t xml:space="preserve">(and factual accuracy check) </w:t>
      </w:r>
      <w:r w:rsidRPr="00966A44">
        <w:t>arrangements would remain unchanged when the final draft guidance recommends the technology should not be used or more research is needed. So, a consultee would still have the full 15 working day</w:t>
      </w:r>
      <w:r w:rsidR="00403FD9">
        <w:t xml:space="preserve">s </w:t>
      </w:r>
      <w:r w:rsidRPr="00966A44">
        <w:t>appeal period to consider whether to submit an appeal and to do so</w:t>
      </w:r>
      <w:r w:rsidR="006B6304">
        <w:t xml:space="preserve"> (</w:t>
      </w:r>
      <w:proofErr w:type="gramStart"/>
      <w:r w:rsidR="006B6304">
        <w:t>and also</w:t>
      </w:r>
      <w:proofErr w:type="gramEnd"/>
      <w:r w:rsidR="006B6304">
        <w:t xml:space="preserve"> 15 working days to highlight factual inaccuracies)</w:t>
      </w:r>
      <w:r w:rsidRPr="00966A44">
        <w:t>. There would be no requirement to notify NICE of an intention to appeal in the first 5 working days</w:t>
      </w:r>
      <w:r w:rsidR="006B6304">
        <w:t>.</w:t>
      </w:r>
    </w:p>
    <w:p w14:paraId="7EB0B469" w14:textId="6E421455" w:rsidR="006A58D7" w:rsidRPr="004F64E5" w:rsidRDefault="006A58D7" w:rsidP="00AA73EE">
      <w:pPr>
        <w:pStyle w:val="Heading2"/>
      </w:pPr>
      <w:r w:rsidRPr="004F64E5">
        <w:t>Rationale</w:t>
      </w:r>
      <w:r w:rsidR="00FE2DA1">
        <w:t xml:space="preserve"> for the changes</w:t>
      </w:r>
    </w:p>
    <w:p w14:paraId="652697C6" w14:textId="7812E6EE" w:rsidR="00AC26B5" w:rsidRDefault="003F3D16" w:rsidP="005A7449">
      <w:pPr>
        <w:pStyle w:val="Numberedlist"/>
      </w:pPr>
      <w:r w:rsidRPr="004F64E5">
        <w:t xml:space="preserve">Appeals are an important part of the </w:t>
      </w:r>
      <w:r w:rsidR="003B15FF">
        <w:t xml:space="preserve">TA/HST </w:t>
      </w:r>
      <w:r w:rsidRPr="004F64E5">
        <w:t xml:space="preserve">guidance development process but are relatively infrequent. Most </w:t>
      </w:r>
      <w:r w:rsidR="00B4593A">
        <w:t xml:space="preserve">TA/HST </w:t>
      </w:r>
      <w:r w:rsidRPr="004F64E5">
        <w:t>guidance does not receive an appeal</w:t>
      </w:r>
      <w:r w:rsidR="004D07BD">
        <w:t xml:space="preserve">. </w:t>
      </w:r>
      <w:r w:rsidR="00D05791">
        <w:t>The consultation paper noted that b</w:t>
      </w:r>
      <w:r w:rsidRPr="004F64E5">
        <w:t>etween 1 March 2019 and 31 March 2024 NICE published 416 pieces of TA and HST guidance (including terminations) and received appeals on 30 final draft guidance documents. Where appeals are received, these usually relate to guidance that does not recommend the technology (2</w:t>
      </w:r>
      <w:r w:rsidR="002114E3">
        <w:t>3</w:t>
      </w:r>
      <w:r w:rsidRPr="004F64E5">
        <w:t xml:space="preserve"> of the 30 appeals</w:t>
      </w:r>
      <w:r w:rsidR="002114E3">
        <w:t xml:space="preserve"> in this period</w:t>
      </w:r>
      <w:r w:rsidRPr="004F64E5">
        <w:t xml:space="preserve">). </w:t>
      </w:r>
    </w:p>
    <w:p w14:paraId="16D099DD" w14:textId="35622EA7" w:rsidR="0079315F" w:rsidRDefault="00B92064" w:rsidP="005A7449">
      <w:pPr>
        <w:pStyle w:val="Numberedlist"/>
      </w:pPr>
      <w:r>
        <w:t>NICE’s</w:t>
      </w:r>
      <w:r w:rsidR="00AC26B5" w:rsidRPr="00AC26B5">
        <w:t xml:space="preserve"> core purpose is to help practitioners and commissioners get the best care to patients, fast, while ensuring value for the taxpayer. By making this change, </w:t>
      </w:r>
      <w:r>
        <w:t xml:space="preserve">NICE </w:t>
      </w:r>
      <w:r w:rsidR="00AC26B5" w:rsidRPr="00AC26B5">
        <w:t xml:space="preserve">will be able to publish guidance that enables </w:t>
      </w:r>
      <w:r w:rsidR="00AC26B5" w:rsidRPr="00AC26B5">
        <w:lastRenderedPageBreak/>
        <w:t xml:space="preserve">access to new treatments 2 weeks faster than currently (if no notifications of an intention to appeal are received). </w:t>
      </w:r>
    </w:p>
    <w:p w14:paraId="4F40167F" w14:textId="45CBF823" w:rsidR="00E60BFA" w:rsidRDefault="00E60BFA" w:rsidP="005A7449">
      <w:pPr>
        <w:pStyle w:val="Numberedlist"/>
      </w:pPr>
      <w:r>
        <w:t xml:space="preserve">The proposals </w:t>
      </w:r>
      <w:r w:rsidR="00B163DD">
        <w:t>help</w:t>
      </w:r>
      <w:r>
        <w:t xml:space="preserve"> NICE enable access to new technologies more quickly, while maintaining the current arrangements for challenging NICE’s guidance that d</w:t>
      </w:r>
      <w:r w:rsidR="002166D4">
        <w:t>oes</w:t>
      </w:r>
      <w:r>
        <w:t xml:space="preserve"> not recommend a technology.</w:t>
      </w:r>
    </w:p>
    <w:p w14:paraId="66E013A2" w14:textId="09B287A0" w:rsidR="00D05791" w:rsidRDefault="00E60BFA" w:rsidP="00D05791">
      <w:pPr>
        <w:pStyle w:val="Heading1"/>
      </w:pPr>
      <w:r>
        <w:t>C</w:t>
      </w:r>
      <w:r w:rsidR="00D05791">
        <w:t>onsultation</w:t>
      </w:r>
      <w:r w:rsidR="00B769AD">
        <w:t xml:space="preserve"> </w:t>
      </w:r>
      <w:r>
        <w:t>feedback</w:t>
      </w:r>
    </w:p>
    <w:p w14:paraId="117A09C9" w14:textId="1A050194" w:rsidR="007A0562" w:rsidRDefault="00D5223F" w:rsidP="006C069B">
      <w:pPr>
        <w:pStyle w:val="Heading2"/>
      </w:pPr>
      <w:r>
        <w:t>R</w:t>
      </w:r>
      <w:r w:rsidR="00A57356">
        <w:t>esponse</w:t>
      </w:r>
      <w:r>
        <w:t xml:space="preserve"> rate</w:t>
      </w:r>
    </w:p>
    <w:p w14:paraId="658EB483" w14:textId="2BDBC8AE" w:rsidR="00166C08" w:rsidRDefault="00166C08" w:rsidP="005A7449">
      <w:pPr>
        <w:pStyle w:val="Numberedlist"/>
      </w:pPr>
      <w:r w:rsidRPr="00A909E9">
        <w:rPr>
          <w:rFonts w:eastAsia="Aptos"/>
        </w:rPr>
        <w:t>Eleven</w:t>
      </w:r>
      <w:r>
        <w:rPr>
          <w:rFonts w:eastAsia="Aptos"/>
        </w:rPr>
        <w:t xml:space="preserve"> </w:t>
      </w:r>
      <w:r w:rsidR="00637B38">
        <w:rPr>
          <w:rFonts w:eastAsia="Aptos"/>
        </w:rPr>
        <w:t>organisations responded</w:t>
      </w:r>
      <w:r w:rsidR="002875D4">
        <w:rPr>
          <w:rFonts w:eastAsia="Aptos"/>
        </w:rPr>
        <w:t xml:space="preserve"> to the consultation</w:t>
      </w:r>
      <w:r w:rsidR="00B11164">
        <w:rPr>
          <w:rFonts w:eastAsia="Aptos"/>
        </w:rPr>
        <w:t xml:space="preserve">: </w:t>
      </w:r>
    </w:p>
    <w:p w14:paraId="2EAFFB74" w14:textId="0DF2828F" w:rsidR="00166C08" w:rsidRPr="00E60BFA" w:rsidRDefault="00166C08" w:rsidP="005A7449">
      <w:pPr>
        <w:pStyle w:val="Numberedlist"/>
        <w:numPr>
          <w:ilvl w:val="0"/>
          <w:numId w:val="43"/>
        </w:numPr>
        <w:rPr>
          <w:rFonts w:eastAsia="Aptos"/>
        </w:rPr>
      </w:pPr>
      <w:r w:rsidRPr="00E60BFA">
        <w:rPr>
          <w:rFonts w:eastAsia="Aptos"/>
        </w:rPr>
        <w:t>4 patient groups</w:t>
      </w:r>
      <w:r w:rsidR="002A69E0">
        <w:rPr>
          <w:rFonts w:eastAsia="Aptos"/>
        </w:rPr>
        <w:t xml:space="preserve">: </w:t>
      </w:r>
      <w:r w:rsidR="00E60BFA" w:rsidRPr="00E60BFA">
        <w:rPr>
          <w:rFonts w:eastAsia="Aptos"/>
        </w:rPr>
        <w:t xml:space="preserve">1 </w:t>
      </w:r>
      <w:r w:rsidRPr="00E60BFA">
        <w:rPr>
          <w:rFonts w:eastAsia="Aptos"/>
        </w:rPr>
        <w:t>supported</w:t>
      </w:r>
      <w:r w:rsidR="00B20EBE" w:rsidRPr="00E60BFA">
        <w:rPr>
          <w:rFonts w:eastAsia="Aptos"/>
        </w:rPr>
        <w:t xml:space="preserve"> </w:t>
      </w:r>
      <w:r w:rsidR="00DE5F56" w:rsidRPr="00E60BFA">
        <w:rPr>
          <w:rFonts w:eastAsia="Aptos"/>
        </w:rPr>
        <w:t xml:space="preserve">the proposals </w:t>
      </w:r>
      <w:r w:rsidR="00E60BFA" w:rsidRPr="00E60BFA">
        <w:rPr>
          <w:rFonts w:eastAsia="Aptos"/>
        </w:rPr>
        <w:t xml:space="preserve">and </w:t>
      </w:r>
      <w:r w:rsidRPr="00E60BFA">
        <w:rPr>
          <w:rFonts w:eastAsia="Aptos"/>
        </w:rPr>
        <w:t xml:space="preserve">3 </w:t>
      </w:r>
      <w:r w:rsidR="007A3F51" w:rsidRPr="00E60BFA">
        <w:rPr>
          <w:rFonts w:eastAsia="Aptos"/>
        </w:rPr>
        <w:t>opposed</w:t>
      </w:r>
      <w:r w:rsidRPr="00E60BFA">
        <w:rPr>
          <w:rFonts w:eastAsia="Aptos"/>
        </w:rPr>
        <w:t xml:space="preserve"> </w:t>
      </w:r>
      <w:r w:rsidR="00DE5F56" w:rsidRPr="00E60BFA">
        <w:rPr>
          <w:rFonts w:eastAsia="Aptos"/>
        </w:rPr>
        <w:t>the</w:t>
      </w:r>
      <w:r w:rsidR="002A69E0">
        <w:rPr>
          <w:rFonts w:eastAsia="Aptos"/>
        </w:rPr>
        <w:t>m</w:t>
      </w:r>
      <w:r w:rsidR="00DE5F56" w:rsidRPr="00E60BFA">
        <w:rPr>
          <w:rFonts w:eastAsia="Aptos"/>
        </w:rPr>
        <w:t xml:space="preserve"> </w:t>
      </w:r>
    </w:p>
    <w:p w14:paraId="44A05C44" w14:textId="231956F1" w:rsidR="0045543A" w:rsidRDefault="00166C08" w:rsidP="005A7449">
      <w:pPr>
        <w:pStyle w:val="Numberedlist"/>
        <w:numPr>
          <w:ilvl w:val="0"/>
          <w:numId w:val="43"/>
        </w:numPr>
        <w:rPr>
          <w:rFonts w:eastAsia="Aptos"/>
        </w:rPr>
      </w:pPr>
      <w:r w:rsidRPr="0045543A">
        <w:rPr>
          <w:rFonts w:eastAsia="Aptos"/>
        </w:rPr>
        <w:t>2 professional bodies</w:t>
      </w:r>
      <w:r w:rsidR="002A69E0">
        <w:rPr>
          <w:rFonts w:eastAsia="Aptos"/>
        </w:rPr>
        <w:t xml:space="preserve">: </w:t>
      </w:r>
      <w:r w:rsidRPr="0045543A">
        <w:rPr>
          <w:rFonts w:eastAsia="Aptos"/>
        </w:rPr>
        <w:t>both supported</w:t>
      </w:r>
      <w:r w:rsidR="00E05D89" w:rsidRPr="0045543A">
        <w:rPr>
          <w:rFonts w:eastAsia="Aptos"/>
        </w:rPr>
        <w:t xml:space="preserve"> the proposa</w:t>
      </w:r>
      <w:r w:rsidR="0045543A">
        <w:rPr>
          <w:rFonts w:eastAsia="Aptos"/>
        </w:rPr>
        <w:t>l</w:t>
      </w:r>
      <w:r w:rsidR="00DE5F56">
        <w:rPr>
          <w:rFonts w:eastAsia="Aptos"/>
        </w:rPr>
        <w:t>s</w:t>
      </w:r>
    </w:p>
    <w:p w14:paraId="49CFE359" w14:textId="0D44796D" w:rsidR="00166C08" w:rsidRPr="00E60BFA" w:rsidRDefault="00166C08" w:rsidP="005A7449">
      <w:pPr>
        <w:pStyle w:val="Numberedlist"/>
        <w:numPr>
          <w:ilvl w:val="0"/>
          <w:numId w:val="43"/>
        </w:numPr>
        <w:rPr>
          <w:rFonts w:eastAsia="Aptos"/>
        </w:rPr>
      </w:pPr>
      <w:r w:rsidRPr="00E60BFA">
        <w:rPr>
          <w:rFonts w:eastAsia="Aptos"/>
        </w:rPr>
        <w:t>2 life sciences companies</w:t>
      </w:r>
      <w:r w:rsidR="002A69E0">
        <w:rPr>
          <w:rFonts w:eastAsia="Aptos"/>
        </w:rPr>
        <w:t xml:space="preserve">: </w:t>
      </w:r>
      <w:r w:rsidR="00E60BFA" w:rsidRPr="00E60BFA">
        <w:rPr>
          <w:rFonts w:eastAsia="Aptos"/>
        </w:rPr>
        <w:t xml:space="preserve">1 supported the proposals and 1 opposed </w:t>
      </w:r>
      <w:r w:rsidR="002A69E0">
        <w:rPr>
          <w:rFonts w:eastAsia="Aptos"/>
        </w:rPr>
        <w:t>them</w:t>
      </w:r>
    </w:p>
    <w:p w14:paraId="4F52D5B0" w14:textId="77777777" w:rsidR="002A69E0" w:rsidRPr="00E60BFA" w:rsidRDefault="00166C08" w:rsidP="002A69E0">
      <w:pPr>
        <w:pStyle w:val="Numberedlist"/>
        <w:numPr>
          <w:ilvl w:val="0"/>
          <w:numId w:val="43"/>
        </w:numPr>
        <w:rPr>
          <w:rFonts w:eastAsia="Aptos"/>
        </w:rPr>
      </w:pPr>
      <w:r w:rsidRPr="00E60BFA">
        <w:rPr>
          <w:rFonts w:eastAsia="Aptos"/>
        </w:rPr>
        <w:t xml:space="preserve">2 </w:t>
      </w:r>
      <w:r w:rsidR="00C27A04" w:rsidRPr="00E60BFA">
        <w:rPr>
          <w:rFonts w:eastAsia="Aptos"/>
        </w:rPr>
        <w:t>industry bodies</w:t>
      </w:r>
      <w:r w:rsidR="002A69E0">
        <w:rPr>
          <w:rFonts w:eastAsia="Aptos"/>
        </w:rPr>
        <w:t xml:space="preserve">: </w:t>
      </w:r>
      <w:r w:rsidR="002A69E0" w:rsidRPr="00E60BFA">
        <w:rPr>
          <w:rFonts w:eastAsia="Aptos"/>
        </w:rPr>
        <w:t xml:space="preserve">1 supported the proposals and 1 opposed </w:t>
      </w:r>
      <w:r w:rsidR="002A69E0">
        <w:rPr>
          <w:rFonts w:eastAsia="Aptos"/>
        </w:rPr>
        <w:t>them</w:t>
      </w:r>
    </w:p>
    <w:p w14:paraId="24899D82" w14:textId="6F483408" w:rsidR="00166C08" w:rsidRDefault="00166C08" w:rsidP="005A7449">
      <w:pPr>
        <w:pStyle w:val="Numberedlist"/>
        <w:numPr>
          <w:ilvl w:val="0"/>
          <w:numId w:val="43"/>
        </w:numPr>
        <w:rPr>
          <w:rFonts w:eastAsia="Aptos"/>
        </w:rPr>
      </w:pPr>
      <w:r w:rsidRPr="75399399">
        <w:rPr>
          <w:rFonts w:eastAsia="Aptos"/>
        </w:rPr>
        <w:t>1 market access consultancy</w:t>
      </w:r>
      <w:r w:rsidR="002A69E0">
        <w:rPr>
          <w:rFonts w:eastAsia="Aptos"/>
        </w:rPr>
        <w:t>:</w:t>
      </w:r>
      <w:r w:rsidR="007A076E">
        <w:rPr>
          <w:rFonts w:eastAsia="Aptos"/>
        </w:rPr>
        <w:t xml:space="preserve"> which supported the proposal</w:t>
      </w:r>
      <w:r w:rsidR="00682BE2">
        <w:rPr>
          <w:rFonts w:eastAsia="Aptos"/>
        </w:rPr>
        <w:t>.</w:t>
      </w:r>
    </w:p>
    <w:p w14:paraId="4615388E" w14:textId="1452FB03" w:rsidR="00A57356" w:rsidRPr="00A57356" w:rsidRDefault="00A57356" w:rsidP="005A7449">
      <w:pPr>
        <w:pStyle w:val="Numberedlist"/>
      </w:pPr>
      <w:proofErr w:type="gramStart"/>
      <w:r>
        <w:t>Overall</w:t>
      </w:r>
      <w:proofErr w:type="gramEnd"/>
      <w:r>
        <w:t xml:space="preserve"> therefore, a small majority (6</w:t>
      </w:r>
      <w:r w:rsidR="00896BDD">
        <w:t xml:space="preserve"> of the 11)</w:t>
      </w:r>
      <w:r>
        <w:t xml:space="preserve"> organisational responses were in favour of the proposals.</w:t>
      </w:r>
    </w:p>
    <w:p w14:paraId="723714AB" w14:textId="01ABA6D7" w:rsidR="00166C08" w:rsidRDefault="00682BE2" w:rsidP="005A7449">
      <w:pPr>
        <w:pStyle w:val="Numberedlist"/>
      </w:pPr>
      <w:r>
        <w:rPr>
          <w:rFonts w:eastAsia="Aptos"/>
        </w:rPr>
        <w:t xml:space="preserve">Five individuals responded: </w:t>
      </w:r>
      <w:r w:rsidR="009341F2" w:rsidRPr="009341F2">
        <w:rPr>
          <w:rFonts w:eastAsia="Aptos"/>
        </w:rPr>
        <w:t xml:space="preserve">1 supported the change, </w:t>
      </w:r>
      <w:r w:rsidR="00166C08" w:rsidRPr="75399399">
        <w:t>2 were neutral and 2 were against</w:t>
      </w:r>
      <w:r w:rsidR="009341F2">
        <w:t>.</w:t>
      </w:r>
    </w:p>
    <w:p w14:paraId="4F9AC2EB" w14:textId="6283895B" w:rsidR="006C069B" w:rsidRDefault="00A06682" w:rsidP="00A06682">
      <w:pPr>
        <w:pStyle w:val="Heading2"/>
      </w:pPr>
      <w:r>
        <w:t>Feedback themes</w:t>
      </w:r>
    </w:p>
    <w:p w14:paraId="30239F69" w14:textId="11F492C6" w:rsidR="00F10984" w:rsidRPr="005A7449" w:rsidRDefault="00F10984" w:rsidP="005A7449">
      <w:pPr>
        <w:pStyle w:val="Numberedlist"/>
      </w:pPr>
      <w:r w:rsidRPr="005A7449">
        <w:t xml:space="preserve">The organisations in favour of the proposals </w:t>
      </w:r>
      <w:r w:rsidR="00896BDD" w:rsidRPr="005A7449">
        <w:t xml:space="preserve">cited </w:t>
      </w:r>
      <w:r w:rsidRPr="005A7449">
        <w:t xml:space="preserve">the acceleration of patient access to </w:t>
      </w:r>
      <w:r w:rsidR="00093FD1" w:rsidRPr="005A7449">
        <w:t xml:space="preserve">the recommended </w:t>
      </w:r>
      <w:r w:rsidRPr="005A7449">
        <w:t>technologies</w:t>
      </w:r>
      <w:r w:rsidR="00093FD1" w:rsidRPr="005A7449">
        <w:t xml:space="preserve">. </w:t>
      </w:r>
    </w:p>
    <w:p w14:paraId="46BA2E8E" w14:textId="77777777" w:rsidR="008709D0" w:rsidRDefault="00F10984" w:rsidP="005A7449">
      <w:pPr>
        <w:pStyle w:val="Numberedlist"/>
      </w:pPr>
      <w:r>
        <w:t xml:space="preserve">The main </w:t>
      </w:r>
      <w:r w:rsidR="00093FD1">
        <w:t xml:space="preserve">concern </w:t>
      </w:r>
      <w:r w:rsidR="00682BE2">
        <w:t xml:space="preserve">raised by those against the proposals </w:t>
      </w:r>
      <w:r w:rsidR="00093FD1">
        <w:t>was</w:t>
      </w:r>
      <w:r>
        <w:t xml:space="preserve"> the </w:t>
      </w:r>
      <w:r w:rsidR="002061E7">
        <w:t xml:space="preserve">reduced </w:t>
      </w:r>
      <w:r>
        <w:t>timescale</w:t>
      </w:r>
      <w:r w:rsidR="00733896">
        <w:t xml:space="preserve"> fo</w:t>
      </w:r>
      <w:r w:rsidR="002007BA">
        <w:t>r deciding whether to appeal and provide factual accuracy comments</w:t>
      </w:r>
      <w:r w:rsidR="002061E7">
        <w:t>.</w:t>
      </w:r>
    </w:p>
    <w:p w14:paraId="61A75755" w14:textId="67E737F7" w:rsidR="00F10984" w:rsidRDefault="005B7E85" w:rsidP="005A7449">
      <w:pPr>
        <w:pStyle w:val="Numberedlist"/>
      </w:pPr>
      <w:r>
        <w:t xml:space="preserve">It was suggested that </w:t>
      </w:r>
      <w:r w:rsidR="006D46D7">
        <w:t xml:space="preserve">the different timelines for making an appeal and/or highlighting factual inaccuracies depending on the type of recommendation may be confusing. </w:t>
      </w:r>
      <w:r w:rsidR="008709D0">
        <w:t>Fe</w:t>
      </w:r>
      <w:r w:rsidR="00E84FC5">
        <w:t xml:space="preserve">edback highlighted there was </w:t>
      </w:r>
      <w:r w:rsidR="00E84FC5">
        <w:lastRenderedPageBreak/>
        <w:t xml:space="preserve">some uncertainty about the types of recommendations </w:t>
      </w:r>
      <w:r w:rsidR="00172DBE">
        <w:t xml:space="preserve">to which </w:t>
      </w:r>
      <w:r w:rsidR="00E84FC5">
        <w:t>the new arrangements would apply</w:t>
      </w:r>
      <w:r w:rsidR="0074561F">
        <w:t>. I</w:t>
      </w:r>
      <w:r w:rsidR="0060032C">
        <w:t xml:space="preserve">t was also suggested that NICE should reconsider the types of recommendation the new process </w:t>
      </w:r>
      <w:r w:rsidR="0074561F">
        <w:t>applies to.</w:t>
      </w:r>
      <w:r w:rsidR="00E84FC5">
        <w:t xml:space="preserve"> </w:t>
      </w:r>
    </w:p>
    <w:p w14:paraId="140B67E5" w14:textId="0C76AABD" w:rsidR="00A06682" w:rsidRDefault="008709D0" w:rsidP="008709D0">
      <w:pPr>
        <w:pStyle w:val="Numberedlist"/>
      </w:pPr>
      <w:r>
        <w:t xml:space="preserve">Respondents </w:t>
      </w:r>
      <w:r w:rsidR="00B70C24">
        <w:t>commented</w:t>
      </w:r>
      <w:r w:rsidR="00B5782C">
        <w:t xml:space="preserve"> on the</w:t>
      </w:r>
      <w:r w:rsidR="00F75E41">
        <w:t xml:space="preserve"> </w:t>
      </w:r>
      <w:r w:rsidR="005A622D">
        <w:t xml:space="preserve">future </w:t>
      </w:r>
      <w:r w:rsidR="00F75E41">
        <w:t xml:space="preserve">communication of these changes and the need to be very clear about the </w:t>
      </w:r>
      <w:r w:rsidR="0074561F">
        <w:t xml:space="preserve">new </w:t>
      </w:r>
      <w:r w:rsidR="00F75E41">
        <w:t>process</w:t>
      </w:r>
      <w:r w:rsidR="00134131">
        <w:t xml:space="preserve"> and ensuring it is as simple as possible</w:t>
      </w:r>
      <w:r w:rsidR="00F75E41">
        <w:t xml:space="preserve">. </w:t>
      </w:r>
    </w:p>
    <w:p w14:paraId="4ADD04EA" w14:textId="6433372C" w:rsidR="00F62CF5" w:rsidRDefault="00E60BFA" w:rsidP="008C23DF">
      <w:pPr>
        <w:pStyle w:val="Heading1"/>
      </w:pPr>
      <w:r>
        <w:t>NICE’s response</w:t>
      </w:r>
    </w:p>
    <w:p w14:paraId="7F7EF163" w14:textId="3E78F8BC" w:rsidR="00277056" w:rsidRDefault="00114A78" w:rsidP="005A7449">
      <w:pPr>
        <w:pStyle w:val="Numberedlist"/>
      </w:pPr>
      <w:r>
        <w:t xml:space="preserve">NICE’s guidance executive </w:t>
      </w:r>
      <w:r w:rsidR="004116B7">
        <w:t xml:space="preserve">(GE) carefully </w:t>
      </w:r>
      <w:r>
        <w:t xml:space="preserve">considered the feedback and issues raised. </w:t>
      </w:r>
      <w:r w:rsidR="004116B7">
        <w:t xml:space="preserve">Having reflected on the benefits and risks of the proposals, it </w:t>
      </w:r>
      <w:r w:rsidR="00277056">
        <w:t>was agreed to proceed with the changes</w:t>
      </w:r>
      <w:r w:rsidR="00F91CFC">
        <w:t xml:space="preserve"> as it was felt they strike an appropriate balance between enabling access to new technologies while maintaining the existing arrangements for challenging guidance that does not recommend a technology</w:t>
      </w:r>
      <w:r w:rsidR="00277056">
        <w:t xml:space="preserve">. In taking this decision, GE were mindful of the </w:t>
      </w:r>
      <w:r w:rsidR="008C23DF" w:rsidRPr="00444A8F">
        <w:t xml:space="preserve">overall majority </w:t>
      </w:r>
      <w:r w:rsidR="005A622D" w:rsidRPr="00444A8F">
        <w:t xml:space="preserve">of responding organisations in favour </w:t>
      </w:r>
      <w:r w:rsidR="008C23DF" w:rsidRPr="00444A8F">
        <w:t>of the proposals</w:t>
      </w:r>
      <w:r w:rsidR="00465421" w:rsidRPr="00444A8F">
        <w:t xml:space="preserve"> and the low number of responses</w:t>
      </w:r>
      <w:r w:rsidR="005A622D" w:rsidRPr="00444A8F">
        <w:t xml:space="preserve"> in the context of the extensive </w:t>
      </w:r>
      <w:r w:rsidR="00E60BFA">
        <w:t>publication of the consultation</w:t>
      </w:r>
      <w:r w:rsidR="00277056">
        <w:t xml:space="preserve">. </w:t>
      </w:r>
    </w:p>
    <w:p w14:paraId="52C84EAE" w14:textId="32DF4EF7" w:rsidR="009710BB" w:rsidRPr="00444A8F" w:rsidRDefault="00277056" w:rsidP="005A7449">
      <w:pPr>
        <w:pStyle w:val="Numberedlist"/>
      </w:pPr>
      <w:r>
        <w:t xml:space="preserve">GE agreed the following </w:t>
      </w:r>
      <w:r w:rsidR="009710BB" w:rsidRPr="00444A8F">
        <w:t>mitigating actions</w:t>
      </w:r>
      <w:r>
        <w:t xml:space="preserve"> having reflected on the stakeholder feedback</w:t>
      </w:r>
      <w:r w:rsidR="009710BB" w:rsidRPr="00444A8F">
        <w:t xml:space="preserve">: </w:t>
      </w:r>
    </w:p>
    <w:p w14:paraId="1C01704E" w14:textId="711E96EB" w:rsidR="009710BB" w:rsidRDefault="00E61B7B" w:rsidP="005A7449">
      <w:pPr>
        <w:pStyle w:val="Numberedlist"/>
        <w:numPr>
          <w:ilvl w:val="0"/>
          <w:numId w:val="41"/>
        </w:numPr>
      </w:pPr>
      <w:r>
        <w:t>We will e</w:t>
      </w:r>
      <w:r w:rsidR="009710BB">
        <w:t>nsur</w:t>
      </w:r>
      <w:r>
        <w:t>e</w:t>
      </w:r>
      <w:r w:rsidR="00B84621">
        <w:t xml:space="preserve"> </w:t>
      </w:r>
      <w:r w:rsidR="009710BB">
        <w:t xml:space="preserve">the communication to stakeholders that accompanies </w:t>
      </w:r>
      <w:r w:rsidR="00F4093C">
        <w:t xml:space="preserve">each piece of </w:t>
      </w:r>
      <w:r w:rsidR="009710BB">
        <w:t>final draft guidance clearly states the timeframe for submitting factual accuracy comments and an appeal</w:t>
      </w:r>
      <w:r w:rsidR="00F4093C">
        <w:t xml:space="preserve"> for that topic</w:t>
      </w:r>
      <w:r w:rsidR="009710BB">
        <w:t>.</w:t>
      </w:r>
    </w:p>
    <w:p w14:paraId="7E3E1F6C" w14:textId="1846B004" w:rsidR="009710BB" w:rsidRDefault="00F02C5E" w:rsidP="005A7449">
      <w:pPr>
        <w:pStyle w:val="Numberedlist"/>
        <w:numPr>
          <w:ilvl w:val="0"/>
          <w:numId w:val="41"/>
        </w:numPr>
      </w:pPr>
      <w:r>
        <w:t>The</w:t>
      </w:r>
      <w:r w:rsidR="009710BB">
        <w:t xml:space="preserve"> process for notifying NICE of an intention to appeal </w:t>
      </w:r>
      <w:r>
        <w:t xml:space="preserve">will be </w:t>
      </w:r>
      <w:r w:rsidR="009710BB">
        <w:t>straightforward</w:t>
      </w:r>
      <w:r w:rsidR="00F91CFC">
        <w:t xml:space="preserve"> (a</w:t>
      </w:r>
      <w:r w:rsidR="00AD6509">
        <w:t xml:space="preserve"> short email to the appeals team)</w:t>
      </w:r>
      <w:r w:rsidR="009710BB">
        <w:t>, and as noted above, clearly explained</w:t>
      </w:r>
      <w:r>
        <w:t xml:space="preserve"> in the communication that accompanies each piece of final draft </w:t>
      </w:r>
      <w:r w:rsidR="00733C76">
        <w:t>guidance</w:t>
      </w:r>
      <w:r w:rsidR="009710BB">
        <w:t xml:space="preserve">. </w:t>
      </w:r>
    </w:p>
    <w:p w14:paraId="30487031" w14:textId="40DD3CD1" w:rsidR="009710BB" w:rsidRDefault="00AD6509" w:rsidP="00AD6509">
      <w:pPr>
        <w:pStyle w:val="Numberedlist"/>
      </w:pPr>
      <w:r>
        <w:t xml:space="preserve">It was also agreed to </w:t>
      </w:r>
      <w:r w:rsidR="00375612">
        <w:t>m</w:t>
      </w:r>
      <w:r w:rsidR="009710BB">
        <w:t>onitor the revised process for 12 months and consider whether to amend the process and/or revert to the</w:t>
      </w:r>
      <w:r w:rsidR="00F4093C">
        <w:t xml:space="preserve"> </w:t>
      </w:r>
      <w:r w:rsidR="00DF596A">
        <w:t>previous appeal</w:t>
      </w:r>
      <w:r w:rsidR="009710BB">
        <w:t xml:space="preserve"> process if it appears the overall impact of the change is negative.</w:t>
      </w:r>
    </w:p>
    <w:p w14:paraId="6604C850" w14:textId="0F291AFE" w:rsidR="009710BB" w:rsidRDefault="009710BB" w:rsidP="005431EF">
      <w:pPr>
        <w:pStyle w:val="Numberedlist"/>
      </w:pPr>
      <w:r>
        <w:t xml:space="preserve">As a further mitigation to the shortened timescale, the technology appraisal programme </w:t>
      </w:r>
      <w:proofErr w:type="gramStart"/>
      <w:r>
        <w:t>have</w:t>
      </w:r>
      <w:proofErr w:type="gramEnd"/>
      <w:r>
        <w:t xml:space="preserve"> confirmed that factual inaccuracies </w:t>
      </w:r>
      <w:r w:rsidR="005431EF">
        <w:t xml:space="preserve">can </w:t>
      </w:r>
      <w:r>
        <w:t>continue to be remedied after the guidance has published if needed.</w:t>
      </w:r>
    </w:p>
    <w:p w14:paraId="75D8695B" w14:textId="22D8D4DB" w:rsidR="00815020" w:rsidRDefault="009553F6" w:rsidP="005A7449">
      <w:pPr>
        <w:pStyle w:val="Numberedlist"/>
      </w:pPr>
      <w:r>
        <w:lastRenderedPageBreak/>
        <w:t>The</w:t>
      </w:r>
      <w:r w:rsidR="00815020">
        <w:t xml:space="preserve"> </w:t>
      </w:r>
      <w:hyperlink r:id="rId8" w:history="1">
        <w:r w:rsidR="00815020" w:rsidRPr="004F64E5">
          <w:rPr>
            <w:rStyle w:val="Hyperlink"/>
          </w:rPr>
          <w:t>Guide to the technology appraisal and highly specialised technologies appeal process [PMG41]</w:t>
        </w:r>
      </w:hyperlink>
      <w:r w:rsidR="00815020">
        <w:t xml:space="preserve"> has been updated to reflect these new arrangements and </w:t>
      </w:r>
      <w:r>
        <w:t xml:space="preserve">was </w:t>
      </w:r>
      <w:r w:rsidR="00815020">
        <w:t xml:space="preserve">published on 1 April 2025. </w:t>
      </w:r>
      <w:r w:rsidR="005431EF">
        <w:t xml:space="preserve">In response to the consultation feedback the process guide </w:t>
      </w:r>
      <w:r w:rsidR="00DF596A">
        <w:t xml:space="preserve">clearly states </w:t>
      </w:r>
      <w:r w:rsidR="00EF4AF1">
        <w:t xml:space="preserve">the appeal arrangement for each type of recommendation used in NICE’s TA and HST guidance. </w:t>
      </w:r>
    </w:p>
    <w:p w14:paraId="6F050958" w14:textId="4AC8F0CA" w:rsidR="00CF2143" w:rsidRPr="00EC5A79" w:rsidRDefault="00815020" w:rsidP="005A7449">
      <w:pPr>
        <w:pStyle w:val="Numberedlist"/>
        <w:rPr>
          <w:rFonts w:asciiTheme="minorHAnsi" w:hAnsiTheme="minorHAnsi"/>
          <w:color w:val="000000" w:themeColor="text1"/>
        </w:rPr>
      </w:pPr>
      <w:r>
        <w:t>As proposed in the consultation, the r</w:t>
      </w:r>
      <w:r w:rsidR="006713B5">
        <w:t xml:space="preserve">evised process will apply to </w:t>
      </w:r>
      <w:r w:rsidR="00FF38C7" w:rsidRPr="00E46018">
        <w:t>appeals against any final draft guidance issued to stakeholders 2 months after the amended guide is published</w:t>
      </w:r>
      <w:r w:rsidR="004047A3">
        <w:t xml:space="preserve">. As the new guide published on 1 April 2025 these new arrangements will </w:t>
      </w:r>
      <w:r w:rsidR="00B70B1C" w:rsidRPr="00B70B1C">
        <w:t>apply to appeals against any final draft guidance issued to stakeholders on or after 1 June 2025.</w:t>
      </w:r>
      <w:r w:rsidR="006713B5">
        <w:t xml:space="preserve"> </w:t>
      </w:r>
    </w:p>
    <w:p w14:paraId="251F2261" w14:textId="6C86ECEA" w:rsidR="007811E7" w:rsidRDefault="007811E7" w:rsidP="007811E7">
      <w:pPr>
        <w:pStyle w:val="Numberedlist"/>
        <w:tabs>
          <w:tab w:val="clear" w:pos="993"/>
          <w:tab w:val="left" w:pos="1560"/>
        </w:tabs>
        <w:spacing w:before="0" w:after="0"/>
        <w:ind w:left="426" w:hanging="360"/>
      </w:pPr>
      <w:r w:rsidRPr="004F64E5">
        <w:t xml:space="preserve">An equality and health inequality assessment </w:t>
      </w:r>
      <w:proofErr w:type="gramStart"/>
      <w:r>
        <w:t>was</w:t>
      </w:r>
      <w:proofErr w:type="gramEnd"/>
      <w:r w:rsidRPr="004F64E5">
        <w:t xml:space="preserve"> produced for </w:t>
      </w:r>
      <w:r>
        <w:t>the consultation. T</w:t>
      </w:r>
      <w:r w:rsidRPr="004F64E5">
        <w:t>his acknowledged that some stakeholder groups may find it challenging to indicate within 5 working days whether they intend to appeal. The mitigations</w:t>
      </w:r>
      <w:r>
        <w:t xml:space="preserve"> were to retain the existing arrangements for negative final draft guidance and to state that notifying NICE of an intention to appeal is not a binding commitment to submit an appeal. </w:t>
      </w:r>
      <w:r w:rsidRPr="004F64E5">
        <w:t>In addition,</w:t>
      </w:r>
      <w:r>
        <w:t xml:space="preserve"> it was noted that</w:t>
      </w:r>
      <w:r w:rsidRPr="004F64E5">
        <w:t xml:space="preserve"> th</w:t>
      </w:r>
      <w:r>
        <w:t xml:space="preserve">is potential downside </w:t>
      </w:r>
      <w:r w:rsidRPr="004F64E5">
        <w:t>is offset by the positive equality impact of NICE being able to publish guidance that enables access to new treatments 2 weeks earlier than present.</w:t>
      </w:r>
    </w:p>
    <w:p w14:paraId="60B30D08" w14:textId="3676A09B" w:rsidR="00EC5A79" w:rsidRPr="005D370A" w:rsidRDefault="007811E7" w:rsidP="007811E7">
      <w:pPr>
        <w:pStyle w:val="Numberedlist"/>
        <w:rPr>
          <w:rFonts w:asciiTheme="minorHAnsi" w:hAnsiTheme="minorHAnsi"/>
          <w:color w:val="000000" w:themeColor="text1"/>
        </w:rPr>
      </w:pPr>
      <w:r>
        <w:t>As noted above, these issues featured in the consultation feedback. No new equality issues were identified.</w:t>
      </w:r>
    </w:p>
    <w:sectPr w:rsidR="00EC5A79" w:rsidRPr="005D370A" w:rsidSect="008F6FB7">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1C33" w14:textId="77777777" w:rsidR="00151206" w:rsidRDefault="00151206" w:rsidP="00446BEE">
      <w:r>
        <w:separator/>
      </w:r>
    </w:p>
  </w:endnote>
  <w:endnote w:type="continuationSeparator" w:id="0">
    <w:p w14:paraId="0DE3EE39" w14:textId="77777777" w:rsidR="00151206" w:rsidRDefault="00151206" w:rsidP="00446BEE">
      <w:r>
        <w:continuationSeparator/>
      </w:r>
    </w:p>
  </w:endnote>
  <w:endnote w:type="continuationNotice" w:id="1">
    <w:p w14:paraId="579A588A" w14:textId="77777777" w:rsidR="00151206" w:rsidRDefault="00151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ora SemiBold">
    <w:altName w:val="Cambri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DFBD" w14:textId="6A5154A6" w:rsidR="00446BEE" w:rsidRDefault="00446BEE" w:rsidP="00B163DD">
    <w:pPr>
      <w:pStyle w:val="Footer"/>
      <w:jc w:val="right"/>
    </w:pPr>
    <w:r>
      <w:tab/>
    </w:r>
    <w:r>
      <w:fldChar w:fldCharType="begin"/>
    </w:r>
    <w:r>
      <w:instrText xml:space="preserve"> PAGE </w:instrText>
    </w:r>
    <w:r>
      <w:fldChar w:fldCharType="separate"/>
    </w:r>
    <w:r w:rsidR="00FA2C5A">
      <w:rPr>
        <w:noProof/>
      </w:rPr>
      <w:t>1</w:t>
    </w:r>
    <w:r>
      <w:fldChar w:fldCharType="end"/>
    </w:r>
    <w:r>
      <w:t xml:space="preserve"> of </w:t>
    </w:r>
    <w:r w:rsidR="00A47E30">
      <w:fldChar w:fldCharType="begin"/>
    </w:r>
    <w:r w:rsidR="00A47E30">
      <w:instrText xml:space="preserve"> NUMPAGES  </w:instrText>
    </w:r>
    <w:r w:rsidR="00A47E30">
      <w:fldChar w:fldCharType="separate"/>
    </w:r>
    <w:r w:rsidR="00FA2C5A">
      <w:rPr>
        <w:noProof/>
      </w:rPr>
      <w:t>1</w:t>
    </w:r>
    <w:r w:rsidR="00A47E30">
      <w:rPr>
        <w:noProof/>
      </w:rPr>
      <w:fldChar w:fldCharType="end"/>
    </w:r>
  </w:p>
  <w:p w14:paraId="03E60E16" w14:textId="77777777" w:rsidR="00446BEE" w:rsidRDefault="00446BEE">
    <w:pPr>
      <w:pStyle w:val="Footer"/>
    </w:pPr>
  </w:p>
  <w:p w14:paraId="2BB70CDA"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B2F5E3C" w14:textId="0256393E" w:rsidR="008E7826" w:rsidRDefault="00C6009C" w:rsidP="008E7826">
            <w:pPr>
              <w:pStyle w:val="Footer"/>
            </w:pPr>
            <w:r>
              <w:tab/>
            </w:r>
            <w:r w:rsidR="00403FD9">
              <w:tab/>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A47E30">
              <w:fldChar w:fldCharType="begin"/>
            </w:r>
            <w:r w:rsidR="00A47E30">
              <w:instrText xml:space="preserve"> NUMPAGES  </w:instrText>
            </w:r>
            <w:r w:rsidR="00A47E30">
              <w:fldChar w:fldCharType="separate"/>
            </w:r>
            <w:r w:rsidR="008E7826" w:rsidRPr="008E7826">
              <w:rPr>
                <w:noProof/>
              </w:rPr>
              <w:t>2</w:t>
            </w:r>
            <w:r w:rsidR="00A47E30">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896E" w14:textId="77777777" w:rsidR="00151206" w:rsidRDefault="00151206" w:rsidP="00446BEE">
      <w:r>
        <w:separator/>
      </w:r>
    </w:p>
  </w:footnote>
  <w:footnote w:type="continuationSeparator" w:id="0">
    <w:p w14:paraId="5980AD66" w14:textId="77777777" w:rsidR="00151206" w:rsidRDefault="00151206" w:rsidP="00446BEE">
      <w:r>
        <w:continuationSeparator/>
      </w:r>
    </w:p>
  </w:footnote>
  <w:footnote w:type="continuationNotice" w:id="1">
    <w:p w14:paraId="7E78A0B7" w14:textId="77777777" w:rsidR="00151206" w:rsidRDefault="00151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7882" w14:textId="30D4900C" w:rsidR="00B23580" w:rsidRDefault="00B23580">
    <w:pPr>
      <w:pStyle w:val="Header"/>
    </w:pPr>
    <w:r>
      <w:rPr>
        <w:noProof/>
      </w:rPr>
      <w:drawing>
        <wp:anchor distT="0" distB="0" distL="114300" distR="114300" simplePos="0" relativeHeight="251658241" behindDoc="0" locked="0" layoutInCell="1" allowOverlap="1" wp14:anchorId="7DC59918" wp14:editId="208F27DB">
          <wp:simplePos x="0" y="0"/>
          <wp:positionH relativeFrom="column">
            <wp:posOffset>0</wp:posOffset>
          </wp:positionH>
          <wp:positionV relativeFrom="page">
            <wp:posOffset>448945</wp:posOffset>
          </wp:positionV>
          <wp:extent cx="2444400" cy="252000"/>
          <wp:effectExtent l="0" t="0" r="0" b="0"/>
          <wp:wrapNone/>
          <wp:docPr id="2" name="Picture 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6EAB" w14:textId="77777777" w:rsidR="008F6FB7" w:rsidRDefault="008F6FB7">
    <w:pPr>
      <w:pStyle w:val="Header"/>
    </w:pPr>
    <w:r>
      <w:rPr>
        <w:noProof/>
      </w:rPr>
      <w:drawing>
        <wp:anchor distT="0" distB="0" distL="114300" distR="114300" simplePos="0" relativeHeight="251658240" behindDoc="0" locked="0" layoutInCell="1" allowOverlap="1" wp14:anchorId="369619E4" wp14:editId="54E35C53">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5815"/>
    <w:multiLevelType w:val="hybridMultilevel"/>
    <w:tmpl w:val="AEA0CE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12C84886"/>
    <w:multiLevelType w:val="hybridMultilevel"/>
    <w:tmpl w:val="219CD0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4F104D9"/>
    <w:multiLevelType w:val="hybridMultilevel"/>
    <w:tmpl w:val="2F0C2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AA7F6C"/>
    <w:multiLevelType w:val="hybridMultilevel"/>
    <w:tmpl w:val="72BCF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E22847"/>
    <w:multiLevelType w:val="hybridMultilevel"/>
    <w:tmpl w:val="D4CAC1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2D7E69B4"/>
    <w:multiLevelType w:val="hybridMultilevel"/>
    <w:tmpl w:val="DF320A96"/>
    <w:lvl w:ilvl="0" w:tplc="0809000F">
      <w:start w:val="1"/>
      <w:numFmt w:val="decimal"/>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8" w15:restartNumberingAfterBreak="0">
    <w:nsid w:val="3C151D4C"/>
    <w:multiLevelType w:val="hybridMultilevel"/>
    <w:tmpl w:val="7FEAA8EC"/>
    <w:lvl w:ilvl="0" w:tplc="F55681B0">
      <w:start w:val="1"/>
      <w:numFmt w:val="bullet"/>
      <w:lvlText w:val=""/>
      <w:lvlJc w:val="left"/>
      <w:pPr>
        <w:ind w:left="720" w:hanging="360"/>
      </w:pPr>
      <w:rPr>
        <w:rFonts w:ascii="Symbol" w:hAnsi="Symbol" w:hint="default"/>
      </w:rPr>
    </w:lvl>
    <w:lvl w:ilvl="1" w:tplc="A5B82D8E">
      <w:start w:val="1"/>
      <w:numFmt w:val="bullet"/>
      <w:lvlText w:val="o"/>
      <w:lvlJc w:val="left"/>
      <w:pPr>
        <w:ind w:left="1440" w:hanging="360"/>
      </w:pPr>
      <w:rPr>
        <w:rFonts w:ascii="Courier New" w:hAnsi="Courier New" w:hint="default"/>
      </w:rPr>
    </w:lvl>
    <w:lvl w:ilvl="2" w:tplc="FB8CB6A4">
      <w:start w:val="1"/>
      <w:numFmt w:val="bullet"/>
      <w:lvlText w:val=""/>
      <w:lvlJc w:val="left"/>
      <w:pPr>
        <w:ind w:left="2160" w:hanging="360"/>
      </w:pPr>
      <w:rPr>
        <w:rFonts w:ascii="Wingdings" w:hAnsi="Wingdings" w:hint="default"/>
      </w:rPr>
    </w:lvl>
    <w:lvl w:ilvl="3" w:tplc="4134EEFE">
      <w:start w:val="1"/>
      <w:numFmt w:val="bullet"/>
      <w:lvlText w:val=""/>
      <w:lvlJc w:val="left"/>
      <w:pPr>
        <w:ind w:left="2880" w:hanging="360"/>
      </w:pPr>
      <w:rPr>
        <w:rFonts w:ascii="Symbol" w:hAnsi="Symbol" w:hint="default"/>
      </w:rPr>
    </w:lvl>
    <w:lvl w:ilvl="4" w:tplc="118EE08E">
      <w:start w:val="1"/>
      <w:numFmt w:val="bullet"/>
      <w:lvlText w:val="o"/>
      <w:lvlJc w:val="left"/>
      <w:pPr>
        <w:ind w:left="3600" w:hanging="360"/>
      </w:pPr>
      <w:rPr>
        <w:rFonts w:ascii="Courier New" w:hAnsi="Courier New" w:hint="default"/>
      </w:rPr>
    </w:lvl>
    <w:lvl w:ilvl="5" w:tplc="33F2358A">
      <w:start w:val="1"/>
      <w:numFmt w:val="bullet"/>
      <w:lvlText w:val=""/>
      <w:lvlJc w:val="left"/>
      <w:pPr>
        <w:ind w:left="4320" w:hanging="360"/>
      </w:pPr>
      <w:rPr>
        <w:rFonts w:ascii="Wingdings" w:hAnsi="Wingdings" w:hint="default"/>
      </w:rPr>
    </w:lvl>
    <w:lvl w:ilvl="6" w:tplc="79009394">
      <w:start w:val="1"/>
      <w:numFmt w:val="bullet"/>
      <w:lvlText w:val=""/>
      <w:lvlJc w:val="left"/>
      <w:pPr>
        <w:ind w:left="5040" w:hanging="360"/>
      </w:pPr>
      <w:rPr>
        <w:rFonts w:ascii="Symbol" w:hAnsi="Symbol" w:hint="default"/>
      </w:rPr>
    </w:lvl>
    <w:lvl w:ilvl="7" w:tplc="2BF8478C">
      <w:start w:val="1"/>
      <w:numFmt w:val="bullet"/>
      <w:lvlText w:val="o"/>
      <w:lvlJc w:val="left"/>
      <w:pPr>
        <w:ind w:left="5760" w:hanging="360"/>
      </w:pPr>
      <w:rPr>
        <w:rFonts w:ascii="Courier New" w:hAnsi="Courier New" w:hint="default"/>
      </w:rPr>
    </w:lvl>
    <w:lvl w:ilvl="8" w:tplc="1F985C98">
      <w:start w:val="1"/>
      <w:numFmt w:val="bullet"/>
      <w:lvlText w:val=""/>
      <w:lvlJc w:val="left"/>
      <w:pPr>
        <w:ind w:left="6480" w:hanging="360"/>
      </w:pPr>
      <w:rPr>
        <w:rFonts w:ascii="Wingdings" w:hAnsi="Wingdings" w:hint="default"/>
      </w:rPr>
    </w:lvl>
  </w:abstractNum>
  <w:abstractNum w:abstractNumId="19" w15:restartNumberingAfterBreak="0">
    <w:nsid w:val="45035847"/>
    <w:multiLevelType w:val="hybridMultilevel"/>
    <w:tmpl w:val="9E247AF4"/>
    <w:lvl w:ilvl="0" w:tplc="08090001">
      <w:start w:val="1"/>
      <w:numFmt w:val="bullet"/>
      <w:lvlText w:val=""/>
      <w:lvlJc w:val="left"/>
      <w:pPr>
        <w:ind w:left="1145" w:hanging="360"/>
      </w:pPr>
      <w:rPr>
        <w:rFonts w:ascii="Symbol" w:hAnsi="Symbol" w:hint="default"/>
      </w:r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0" w15:restartNumberingAfterBreak="0">
    <w:nsid w:val="48FE783A"/>
    <w:multiLevelType w:val="hybridMultilevel"/>
    <w:tmpl w:val="6B3C5C7E"/>
    <w:lvl w:ilvl="0" w:tplc="08090001">
      <w:start w:val="1"/>
      <w:numFmt w:val="bullet"/>
      <w:lvlText w:val=""/>
      <w:lvlJc w:val="left"/>
      <w:pPr>
        <w:ind w:left="785" w:hanging="360"/>
      </w:pPr>
      <w:rPr>
        <w:rFonts w:ascii="Symbol" w:hAnsi="Symbol" w:hint="default"/>
      </w:rPr>
    </w:lvl>
    <w:lvl w:ilvl="1" w:tplc="FFFFFFFF">
      <w:start w:val="1"/>
      <w:numFmt w:val="bullet"/>
      <w:lvlText w:val=""/>
      <w:lvlJc w:val="left"/>
      <w:pPr>
        <w:ind w:left="1145" w:hanging="360"/>
      </w:pPr>
      <w:rPr>
        <w:rFonts w:ascii="Symbol" w:hAnsi="Symbol" w:hint="default"/>
      </w:r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1" w15:restartNumberingAfterBreak="0">
    <w:nsid w:val="50922B69"/>
    <w:multiLevelType w:val="hybridMultilevel"/>
    <w:tmpl w:val="00503C9A"/>
    <w:lvl w:ilvl="0" w:tplc="5922BE68">
      <w:start w:val="1"/>
      <w:numFmt w:val="bullet"/>
      <w:lvlText w:val=""/>
      <w:lvlJc w:val="left"/>
      <w:pPr>
        <w:ind w:left="720" w:hanging="360"/>
      </w:pPr>
      <w:rPr>
        <w:rFonts w:ascii="Symbol" w:hAnsi="Symbol" w:hint="default"/>
      </w:rPr>
    </w:lvl>
    <w:lvl w:ilvl="1" w:tplc="107A7662">
      <w:start w:val="1"/>
      <w:numFmt w:val="bullet"/>
      <w:lvlText w:val="o"/>
      <w:lvlJc w:val="left"/>
      <w:pPr>
        <w:ind w:left="1440" w:hanging="360"/>
      </w:pPr>
      <w:rPr>
        <w:rFonts w:ascii="Courier New" w:hAnsi="Courier New" w:hint="default"/>
      </w:rPr>
    </w:lvl>
    <w:lvl w:ilvl="2" w:tplc="F6AA9422">
      <w:start w:val="1"/>
      <w:numFmt w:val="bullet"/>
      <w:lvlText w:val=""/>
      <w:lvlJc w:val="left"/>
      <w:pPr>
        <w:ind w:left="2160" w:hanging="360"/>
      </w:pPr>
      <w:rPr>
        <w:rFonts w:ascii="Wingdings" w:hAnsi="Wingdings" w:hint="default"/>
      </w:rPr>
    </w:lvl>
    <w:lvl w:ilvl="3" w:tplc="762ABA88">
      <w:start w:val="1"/>
      <w:numFmt w:val="bullet"/>
      <w:lvlText w:val=""/>
      <w:lvlJc w:val="left"/>
      <w:pPr>
        <w:ind w:left="2880" w:hanging="360"/>
      </w:pPr>
      <w:rPr>
        <w:rFonts w:ascii="Symbol" w:hAnsi="Symbol" w:hint="default"/>
      </w:rPr>
    </w:lvl>
    <w:lvl w:ilvl="4" w:tplc="AAAABC0A">
      <w:start w:val="1"/>
      <w:numFmt w:val="bullet"/>
      <w:lvlText w:val="o"/>
      <w:lvlJc w:val="left"/>
      <w:pPr>
        <w:ind w:left="3600" w:hanging="360"/>
      </w:pPr>
      <w:rPr>
        <w:rFonts w:ascii="Courier New" w:hAnsi="Courier New" w:hint="default"/>
      </w:rPr>
    </w:lvl>
    <w:lvl w:ilvl="5" w:tplc="77D6CFFA">
      <w:start w:val="1"/>
      <w:numFmt w:val="bullet"/>
      <w:lvlText w:val=""/>
      <w:lvlJc w:val="left"/>
      <w:pPr>
        <w:ind w:left="4320" w:hanging="360"/>
      </w:pPr>
      <w:rPr>
        <w:rFonts w:ascii="Wingdings" w:hAnsi="Wingdings" w:hint="default"/>
      </w:rPr>
    </w:lvl>
    <w:lvl w:ilvl="6" w:tplc="537E5C82">
      <w:start w:val="1"/>
      <w:numFmt w:val="bullet"/>
      <w:lvlText w:val=""/>
      <w:lvlJc w:val="left"/>
      <w:pPr>
        <w:ind w:left="5040" w:hanging="360"/>
      </w:pPr>
      <w:rPr>
        <w:rFonts w:ascii="Symbol" w:hAnsi="Symbol" w:hint="default"/>
      </w:rPr>
    </w:lvl>
    <w:lvl w:ilvl="7" w:tplc="4754D844">
      <w:start w:val="1"/>
      <w:numFmt w:val="bullet"/>
      <w:lvlText w:val="o"/>
      <w:lvlJc w:val="left"/>
      <w:pPr>
        <w:ind w:left="5760" w:hanging="360"/>
      </w:pPr>
      <w:rPr>
        <w:rFonts w:ascii="Courier New" w:hAnsi="Courier New" w:hint="default"/>
      </w:rPr>
    </w:lvl>
    <w:lvl w:ilvl="8" w:tplc="3B7430DA">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3A21F5"/>
    <w:multiLevelType w:val="hybridMultilevel"/>
    <w:tmpl w:val="ED7EC312"/>
    <w:lvl w:ilvl="0" w:tplc="08090001">
      <w:start w:val="1"/>
      <w:numFmt w:val="bullet"/>
      <w:lvlText w:val=""/>
      <w:lvlJc w:val="left"/>
      <w:pPr>
        <w:ind w:left="851" w:hanging="851"/>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8EA2762"/>
    <w:multiLevelType w:val="hybridMultilevel"/>
    <w:tmpl w:val="DAF81D1C"/>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B619A"/>
    <w:multiLevelType w:val="hybridMultilevel"/>
    <w:tmpl w:val="60C61712"/>
    <w:lvl w:ilvl="0" w:tplc="8340B892">
      <w:start w:val="1"/>
      <w:numFmt w:val="decimal"/>
      <w:pStyle w:val="Numberedlist"/>
      <w:lvlText w:val="%1"/>
      <w:lvlJc w:val="left"/>
      <w:pPr>
        <w:ind w:left="785" w:hanging="360"/>
      </w:pPr>
      <w:rPr>
        <w:rFonts w:ascii="Arial" w:hAnsi="Arial" w:cs="Arial" w:hint="default"/>
      </w:rPr>
    </w:lvl>
    <w:lvl w:ilvl="1" w:tplc="08090001">
      <w:start w:val="1"/>
      <w:numFmt w:val="bullet"/>
      <w:lvlText w:val=""/>
      <w:lvlJc w:val="left"/>
      <w:pPr>
        <w:ind w:left="1145" w:hanging="360"/>
      </w:pPr>
      <w:rPr>
        <w:rFonts w:ascii="Symbol" w:hAnsi="Symbol" w:hint="default"/>
      </w:r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8" w15:restartNumberingAfterBreak="0">
    <w:nsid w:val="6FAD7C83"/>
    <w:multiLevelType w:val="hybridMultilevel"/>
    <w:tmpl w:val="25AA576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9" w15:restartNumberingAfterBreak="0">
    <w:nsid w:val="743A1A48"/>
    <w:multiLevelType w:val="hybridMultilevel"/>
    <w:tmpl w:val="3A52BC08"/>
    <w:lvl w:ilvl="0" w:tplc="FFFFFFFF">
      <w:start w:val="1"/>
      <w:numFmt w:val="decimal"/>
      <w:lvlText w:val="%1"/>
      <w:lvlJc w:val="left"/>
      <w:pPr>
        <w:ind w:left="785" w:hanging="360"/>
      </w:pPr>
      <w:rPr>
        <w:rFonts w:hint="default"/>
      </w:rPr>
    </w:lvl>
    <w:lvl w:ilvl="1" w:tplc="08090001">
      <w:start w:val="1"/>
      <w:numFmt w:val="bullet"/>
      <w:lvlText w:val=""/>
      <w:lvlJc w:val="left"/>
      <w:pPr>
        <w:ind w:left="785" w:hanging="360"/>
      </w:pPr>
      <w:rPr>
        <w:rFonts w:ascii="Symbol" w:hAnsi="Symbol" w:hint="default"/>
      </w:rPr>
    </w:lvl>
    <w:lvl w:ilvl="2" w:tplc="FFFFFFFF">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0" w15:restartNumberingAfterBreak="0">
    <w:nsid w:val="7574339D"/>
    <w:multiLevelType w:val="hybridMultilevel"/>
    <w:tmpl w:val="B638F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BCF521"/>
    <w:multiLevelType w:val="hybridMultilevel"/>
    <w:tmpl w:val="DC2E5510"/>
    <w:lvl w:ilvl="0" w:tplc="A1A84724">
      <w:start w:val="1"/>
      <w:numFmt w:val="bullet"/>
      <w:lvlText w:val=""/>
      <w:lvlJc w:val="left"/>
      <w:pPr>
        <w:ind w:left="720" w:hanging="360"/>
      </w:pPr>
      <w:rPr>
        <w:rFonts w:ascii="Symbol" w:hAnsi="Symbol" w:hint="default"/>
      </w:rPr>
    </w:lvl>
    <w:lvl w:ilvl="1" w:tplc="AE42B908">
      <w:start w:val="1"/>
      <w:numFmt w:val="bullet"/>
      <w:lvlText w:val="o"/>
      <w:lvlJc w:val="left"/>
      <w:pPr>
        <w:ind w:left="1440" w:hanging="360"/>
      </w:pPr>
      <w:rPr>
        <w:rFonts w:ascii="Courier New" w:hAnsi="Courier New" w:hint="default"/>
      </w:rPr>
    </w:lvl>
    <w:lvl w:ilvl="2" w:tplc="E8581160">
      <w:start w:val="1"/>
      <w:numFmt w:val="bullet"/>
      <w:lvlText w:val=""/>
      <w:lvlJc w:val="left"/>
      <w:pPr>
        <w:ind w:left="2160" w:hanging="360"/>
      </w:pPr>
      <w:rPr>
        <w:rFonts w:ascii="Wingdings" w:hAnsi="Wingdings" w:hint="default"/>
      </w:rPr>
    </w:lvl>
    <w:lvl w:ilvl="3" w:tplc="1542FAA0">
      <w:start w:val="1"/>
      <w:numFmt w:val="bullet"/>
      <w:lvlText w:val=""/>
      <w:lvlJc w:val="left"/>
      <w:pPr>
        <w:ind w:left="2880" w:hanging="360"/>
      </w:pPr>
      <w:rPr>
        <w:rFonts w:ascii="Symbol" w:hAnsi="Symbol" w:hint="default"/>
      </w:rPr>
    </w:lvl>
    <w:lvl w:ilvl="4" w:tplc="8AFEAE96">
      <w:start w:val="1"/>
      <w:numFmt w:val="bullet"/>
      <w:lvlText w:val="o"/>
      <w:lvlJc w:val="left"/>
      <w:pPr>
        <w:ind w:left="3600" w:hanging="360"/>
      </w:pPr>
      <w:rPr>
        <w:rFonts w:ascii="Courier New" w:hAnsi="Courier New" w:hint="default"/>
      </w:rPr>
    </w:lvl>
    <w:lvl w:ilvl="5" w:tplc="5A68B678">
      <w:start w:val="1"/>
      <w:numFmt w:val="bullet"/>
      <w:lvlText w:val=""/>
      <w:lvlJc w:val="left"/>
      <w:pPr>
        <w:ind w:left="4320" w:hanging="360"/>
      </w:pPr>
      <w:rPr>
        <w:rFonts w:ascii="Wingdings" w:hAnsi="Wingdings" w:hint="default"/>
      </w:rPr>
    </w:lvl>
    <w:lvl w:ilvl="6" w:tplc="A1085156">
      <w:start w:val="1"/>
      <w:numFmt w:val="bullet"/>
      <w:lvlText w:val=""/>
      <w:lvlJc w:val="left"/>
      <w:pPr>
        <w:ind w:left="5040" w:hanging="360"/>
      </w:pPr>
      <w:rPr>
        <w:rFonts w:ascii="Symbol" w:hAnsi="Symbol" w:hint="default"/>
      </w:rPr>
    </w:lvl>
    <w:lvl w:ilvl="7" w:tplc="ABA42610">
      <w:start w:val="1"/>
      <w:numFmt w:val="bullet"/>
      <w:lvlText w:val="o"/>
      <w:lvlJc w:val="left"/>
      <w:pPr>
        <w:ind w:left="5760" w:hanging="360"/>
      </w:pPr>
      <w:rPr>
        <w:rFonts w:ascii="Courier New" w:hAnsi="Courier New" w:hint="default"/>
      </w:rPr>
    </w:lvl>
    <w:lvl w:ilvl="8" w:tplc="A00675D8">
      <w:start w:val="1"/>
      <w:numFmt w:val="bullet"/>
      <w:lvlText w:val=""/>
      <w:lvlJc w:val="left"/>
      <w:pPr>
        <w:ind w:left="6480" w:hanging="360"/>
      </w:pPr>
      <w:rPr>
        <w:rFonts w:ascii="Wingdings" w:hAnsi="Wingdings" w:hint="default"/>
      </w:rPr>
    </w:lvl>
  </w:abstractNum>
  <w:num w:numId="1" w16cid:durableId="63384370">
    <w:abstractNumId w:val="22"/>
  </w:num>
  <w:num w:numId="2" w16cid:durableId="1271931310">
    <w:abstractNumId w:val="26"/>
  </w:num>
  <w:num w:numId="3" w16cid:durableId="987441700">
    <w:abstractNumId w:val="26"/>
    <w:lvlOverride w:ilvl="0">
      <w:startOverride w:val="1"/>
    </w:lvlOverride>
  </w:num>
  <w:num w:numId="4" w16cid:durableId="1499422565">
    <w:abstractNumId w:val="26"/>
    <w:lvlOverride w:ilvl="0">
      <w:startOverride w:val="1"/>
    </w:lvlOverride>
  </w:num>
  <w:num w:numId="5" w16cid:durableId="2069916214">
    <w:abstractNumId w:val="26"/>
    <w:lvlOverride w:ilvl="0">
      <w:startOverride w:val="1"/>
    </w:lvlOverride>
  </w:num>
  <w:num w:numId="6" w16cid:durableId="1714303981">
    <w:abstractNumId w:val="26"/>
    <w:lvlOverride w:ilvl="0">
      <w:startOverride w:val="1"/>
    </w:lvlOverride>
  </w:num>
  <w:num w:numId="7" w16cid:durableId="1383334273">
    <w:abstractNumId w:val="26"/>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4"/>
  </w:num>
  <w:num w:numId="19" w16cid:durableId="1373924523">
    <w:abstractNumId w:val="14"/>
    <w:lvlOverride w:ilvl="0">
      <w:startOverride w:val="1"/>
    </w:lvlOverride>
  </w:num>
  <w:num w:numId="20" w16cid:durableId="399716702">
    <w:abstractNumId w:val="22"/>
  </w:num>
  <w:num w:numId="21" w16cid:durableId="1595244151">
    <w:abstractNumId w:val="26"/>
  </w:num>
  <w:num w:numId="22" w16cid:durableId="368646558">
    <w:abstractNumId w:val="14"/>
  </w:num>
  <w:num w:numId="23" w16cid:durableId="534393170">
    <w:abstractNumId w:val="24"/>
  </w:num>
  <w:num w:numId="24" w16cid:durableId="609512517">
    <w:abstractNumId w:val="27"/>
  </w:num>
  <w:num w:numId="25" w16cid:durableId="386996534">
    <w:abstractNumId w:val="23"/>
  </w:num>
  <w:num w:numId="26" w16cid:durableId="2050715334">
    <w:abstractNumId w:val="15"/>
  </w:num>
  <w:num w:numId="27" w16cid:durableId="229267648">
    <w:abstractNumId w:val="11"/>
  </w:num>
  <w:num w:numId="28" w16cid:durableId="534149902">
    <w:abstractNumId w:val="16"/>
  </w:num>
  <w:num w:numId="29" w16cid:durableId="2092728001">
    <w:abstractNumId w:val="10"/>
  </w:num>
  <w:num w:numId="30" w16cid:durableId="70202201">
    <w:abstractNumId w:val="27"/>
  </w:num>
  <w:num w:numId="31" w16cid:durableId="886185287">
    <w:abstractNumId w:val="27"/>
  </w:num>
  <w:num w:numId="32" w16cid:durableId="1388335552">
    <w:abstractNumId w:val="31"/>
  </w:num>
  <w:num w:numId="33" w16cid:durableId="207768713">
    <w:abstractNumId w:val="25"/>
  </w:num>
  <w:num w:numId="34" w16cid:durableId="438374004">
    <w:abstractNumId w:val="18"/>
  </w:num>
  <w:num w:numId="35" w16cid:durableId="1516336769">
    <w:abstractNumId w:val="21"/>
  </w:num>
  <w:num w:numId="36" w16cid:durableId="1773892979">
    <w:abstractNumId w:val="29"/>
  </w:num>
  <w:num w:numId="37" w16cid:durableId="2086106904">
    <w:abstractNumId w:val="17"/>
  </w:num>
  <w:num w:numId="38" w16cid:durableId="1370568072">
    <w:abstractNumId w:val="19"/>
  </w:num>
  <w:num w:numId="39" w16cid:durableId="643898669">
    <w:abstractNumId w:val="30"/>
  </w:num>
  <w:num w:numId="40" w16cid:durableId="299456908">
    <w:abstractNumId w:val="12"/>
  </w:num>
  <w:num w:numId="41" w16cid:durableId="503907994">
    <w:abstractNumId w:val="20"/>
  </w:num>
  <w:num w:numId="42" w16cid:durableId="89006983">
    <w:abstractNumId w:val="13"/>
  </w:num>
  <w:num w:numId="43" w16cid:durableId="1875271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94"/>
    <w:rsid w:val="000053F8"/>
    <w:rsid w:val="00024D0A"/>
    <w:rsid w:val="0002530C"/>
    <w:rsid w:val="0005236F"/>
    <w:rsid w:val="00056DF6"/>
    <w:rsid w:val="00065F1B"/>
    <w:rsid w:val="00070065"/>
    <w:rsid w:val="000708D5"/>
    <w:rsid w:val="00071556"/>
    <w:rsid w:val="00075AD8"/>
    <w:rsid w:val="00080F94"/>
    <w:rsid w:val="000847D6"/>
    <w:rsid w:val="000916D2"/>
    <w:rsid w:val="00093502"/>
    <w:rsid w:val="00093FD1"/>
    <w:rsid w:val="000A0A6C"/>
    <w:rsid w:val="000A4FEE"/>
    <w:rsid w:val="000B1B88"/>
    <w:rsid w:val="000B5939"/>
    <w:rsid w:val="000E6AF5"/>
    <w:rsid w:val="000E70FB"/>
    <w:rsid w:val="000F3EC8"/>
    <w:rsid w:val="0010320A"/>
    <w:rsid w:val="0010451F"/>
    <w:rsid w:val="00104661"/>
    <w:rsid w:val="001116B0"/>
    <w:rsid w:val="001134E7"/>
    <w:rsid w:val="00114A78"/>
    <w:rsid w:val="0011673B"/>
    <w:rsid w:val="001251AC"/>
    <w:rsid w:val="00125BD0"/>
    <w:rsid w:val="001312BA"/>
    <w:rsid w:val="001336FF"/>
    <w:rsid w:val="00134131"/>
    <w:rsid w:val="00136206"/>
    <w:rsid w:val="00151206"/>
    <w:rsid w:val="00153762"/>
    <w:rsid w:val="00156DB3"/>
    <w:rsid w:val="00157BBE"/>
    <w:rsid w:val="00166B7F"/>
    <w:rsid w:val="00166C08"/>
    <w:rsid w:val="00167855"/>
    <w:rsid w:val="0017169E"/>
    <w:rsid w:val="00172DBE"/>
    <w:rsid w:val="001745A7"/>
    <w:rsid w:val="00175CE1"/>
    <w:rsid w:val="00177F68"/>
    <w:rsid w:val="00187937"/>
    <w:rsid w:val="00193AA3"/>
    <w:rsid w:val="00197D86"/>
    <w:rsid w:val="001A2A16"/>
    <w:rsid w:val="001A6635"/>
    <w:rsid w:val="001A7587"/>
    <w:rsid w:val="001B0EE9"/>
    <w:rsid w:val="001B144D"/>
    <w:rsid w:val="001B5768"/>
    <w:rsid w:val="001B65B3"/>
    <w:rsid w:val="001C1428"/>
    <w:rsid w:val="001C69D4"/>
    <w:rsid w:val="001E60D6"/>
    <w:rsid w:val="001F1DBD"/>
    <w:rsid w:val="001F291F"/>
    <w:rsid w:val="001F2E2B"/>
    <w:rsid w:val="001F45EE"/>
    <w:rsid w:val="002007BA"/>
    <w:rsid w:val="00200BA1"/>
    <w:rsid w:val="00203858"/>
    <w:rsid w:val="00205D1E"/>
    <w:rsid w:val="002061E7"/>
    <w:rsid w:val="002114E3"/>
    <w:rsid w:val="002124D5"/>
    <w:rsid w:val="00215601"/>
    <w:rsid w:val="002166D4"/>
    <w:rsid w:val="002408EA"/>
    <w:rsid w:val="00243C25"/>
    <w:rsid w:val="0025603E"/>
    <w:rsid w:val="0027002F"/>
    <w:rsid w:val="00273486"/>
    <w:rsid w:val="00277056"/>
    <w:rsid w:val="0027747E"/>
    <w:rsid w:val="00280D4A"/>
    <w:rsid w:val="002819D7"/>
    <w:rsid w:val="0028440F"/>
    <w:rsid w:val="002875D4"/>
    <w:rsid w:val="0029122B"/>
    <w:rsid w:val="00294603"/>
    <w:rsid w:val="0029470E"/>
    <w:rsid w:val="00297945"/>
    <w:rsid w:val="002A1D8B"/>
    <w:rsid w:val="002A69E0"/>
    <w:rsid w:val="002B1704"/>
    <w:rsid w:val="002B5B6F"/>
    <w:rsid w:val="002C1A7E"/>
    <w:rsid w:val="002C6B51"/>
    <w:rsid w:val="002D3376"/>
    <w:rsid w:val="002E19FC"/>
    <w:rsid w:val="002F4446"/>
    <w:rsid w:val="00302A0A"/>
    <w:rsid w:val="00302C1A"/>
    <w:rsid w:val="00303AF4"/>
    <w:rsid w:val="00306CAF"/>
    <w:rsid w:val="00307F78"/>
    <w:rsid w:val="00310C69"/>
    <w:rsid w:val="00311ED0"/>
    <w:rsid w:val="00322182"/>
    <w:rsid w:val="00324250"/>
    <w:rsid w:val="0033694D"/>
    <w:rsid w:val="00343895"/>
    <w:rsid w:val="00354FEF"/>
    <w:rsid w:val="0035532E"/>
    <w:rsid w:val="00356EB0"/>
    <w:rsid w:val="003648C5"/>
    <w:rsid w:val="0036751A"/>
    <w:rsid w:val="003722FA"/>
    <w:rsid w:val="00375612"/>
    <w:rsid w:val="00375BD2"/>
    <w:rsid w:val="003A1F11"/>
    <w:rsid w:val="003A2712"/>
    <w:rsid w:val="003B15FF"/>
    <w:rsid w:val="003B61CA"/>
    <w:rsid w:val="003C7600"/>
    <w:rsid w:val="003C7AAF"/>
    <w:rsid w:val="003D65FB"/>
    <w:rsid w:val="003E336C"/>
    <w:rsid w:val="003E37C8"/>
    <w:rsid w:val="003E40A1"/>
    <w:rsid w:val="003E4821"/>
    <w:rsid w:val="003F0A04"/>
    <w:rsid w:val="003F1C1C"/>
    <w:rsid w:val="003F3D16"/>
    <w:rsid w:val="003F4931"/>
    <w:rsid w:val="00400753"/>
    <w:rsid w:val="00401BCB"/>
    <w:rsid w:val="00403FD9"/>
    <w:rsid w:val="004047A3"/>
    <w:rsid w:val="004057CC"/>
    <w:rsid w:val="004075B6"/>
    <w:rsid w:val="004116B7"/>
    <w:rsid w:val="004130F1"/>
    <w:rsid w:val="00416908"/>
    <w:rsid w:val="00420952"/>
    <w:rsid w:val="0042372B"/>
    <w:rsid w:val="00430748"/>
    <w:rsid w:val="00432616"/>
    <w:rsid w:val="004422CE"/>
    <w:rsid w:val="00442BE7"/>
    <w:rsid w:val="00442E77"/>
    <w:rsid w:val="00444A8F"/>
    <w:rsid w:val="00446BEE"/>
    <w:rsid w:val="00453D24"/>
    <w:rsid w:val="0045543A"/>
    <w:rsid w:val="00456772"/>
    <w:rsid w:val="00460931"/>
    <w:rsid w:val="004617A8"/>
    <w:rsid w:val="00465421"/>
    <w:rsid w:val="0046652E"/>
    <w:rsid w:val="0049016E"/>
    <w:rsid w:val="004A6117"/>
    <w:rsid w:val="004B0DE4"/>
    <w:rsid w:val="004B5649"/>
    <w:rsid w:val="004C6B9E"/>
    <w:rsid w:val="004C7AA4"/>
    <w:rsid w:val="004D07BD"/>
    <w:rsid w:val="004E114D"/>
    <w:rsid w:val="004F64E5"/>
    <w:rsid w:val="005025A1"/>
    <w:rsid w:val="005032AA"/>
    <w:rsid w:val="0050604F"/>
    <w:rsid w:val="0050648C"/>
    <w:rsid w:val="005224C8"/>
    <w:rsid w:val="005431EF"/>
    <w:rsid w:val="0055205C"/>
    <w:rsid w:val="005628FB"/>
    <w:rsid w:val="00563897"/>
    <w:rsid w:val="00570E67"/>
    <w:rsid w:val="005774C1"/>
    <w:rsid w:val="0058048A"/>
    <w:rsid w:val="00581ADC"/>
    <w:rsid w:val="0059295D"/>
    <w:rsid w:val="00594C3A"/>
    <w:rsid w:val="00595189"/>
    <w:rsid w:val="005A02D5"/>
    <w:rsid w:val="005A622D"/>
    <w:rsid w:val="005A7449"/>
    <w:rsid w:val="005B0D1D"/>
    <w:rsid w:val="005B124F"/>
    <w:rsid w:val="005B259C"/>
    <w:rsid w:val="005B5BAA"/>
    <w:rsid w:val="005B7E85"/>
    <w:rsid w:val="005D2156"/>
    <w:rsid w:val="005D370A"/>
    <w:rsid w:val="005D52D0"/>
    <w:rsid w:val="005D6977"/>
    <w:rsid w:val="005E3FCE"/>
    <w:rsid w:val="005F043D"/>
    <w:rsid w:val="005F46AB"/>
    <w:rsid w:val="0060021B"/>
    <w:rsid w:val="0060032C"/>
    <w:rsid w:val="006028AC"/>
    <w:rsid w:val="00604D35"/>
    <w:rsid w:val="00616631"/>
    <w:rsid w:val="00624140"/>
    <w:rsid w:val="00630874"/>
    <w:rsid w:val="00636031"/>
    <w:rsid w:val="00637B38"/>
    <w:rsid w:val="00640EDD"/>
    <w:rsid w:val="00647E34"/>
    <w:rsid w:val="006535BE"/>
    <w:rsid w:val="00656AE7"/>
    <w:rsid w:val="00663BE7"/>
    <w:rsid w:val="006709A9"/>
    <w:rsid w:val="006713B5"/>
    <w:rsid w:val="00675C23"/>
    <w:rsid w:val="00677CE5"/>
    <w:rsid w:val="006802A7"/>
    <w:rsid w:val="00682BE2"/>
    <w:rsid w:val="0068571A"/>
    <w:rsid w:val="006921E1"/>
    <w:rsid w:val="0069376F"/>
    <w:rsid w:val="00696C0A"/>
    <w:rsid w:val="00697FE4"/>
    <w:rsid w:val="006A28FB"/>
    <w:rsid w:val="006A58D7"/>
    <w:rsid w:val="006B6304"/>
    <w:rsid w:val="006C069B"/>
    <w:rsid w:val="006C79B6"/>
    <w:rsid w:val="006D392B"/>
    <w:rsid w:val="006D46D7"/>
    <w:rsid w:val="006F260B"/>
    <w:rsid w:val="006F4464"/>
    <w:rsid w:val="006F6BE2"/>
    <w:rsid w:val="006F7A19"/>
    <w:rsid w:val="007035AE"/>
    <w:rsid w:val="007100A8"/>
    <w:rsid w:val="00716FAA"/>
    <w:rsid w:val="00725215"/>
    <w:rsid w:val="0073259F"/>
    <w:rsid w:val="00733896"/>
    <w:rsid w:val="00733C76"/>
    <w:rsid w:val="00735DE6"/>
    <w:rsid w:val="00736348"/>
    <w:rsid w:val="0074561F"/>
    <w:rsid w:val="007538D3"/>
    <w:rsid w:val="00754858"/>
    <w:rsid w:val="00761848"/>
    <w:rsid w:val="00762C96"/>
    <w:rsid w:val="007666F3"/>
    <w:rsid w:val="0077376B"/>
    <w:rsid w:val="007752AA"/>
    <w:rsid w:val="00776D0F"/>
    <w:rsid w:val="007810D3"/>
    <w:rsid w:val="007811E7"/>
    <w:rsid w:val="00781C36"/>
    <w:rsid w:val="00781C41"/>
    <w:rsid w:val="00790F3F"/>
    <w:rsid w:val="0079315F"/>
    <w:rsid w:val="00797061"/>
    <w:rsid w:val="007A0562"/>
    <w:rsid w:val="007A076E"/>
    <w:rsid w:val="007A3F51"/>
    <w:rsid w:val="007A5C89"/>
    <w:rsid w:val="007A7931"/>
    <w:rsid w:val="007B0E15"/>
    <w:rsid w:val="007B3D13"/>
    <w:rsid w:val="007B5AA0"/>
    <w:rsid w:val="007B64A8"/>
    <w:rsid w:val="007C0508"/>
    <w:rsid w:val="007C735D"/>
    <w:rsid w:val="007D0A38"/>
    <w:rsid w:val="007D6ABB"/>
    <w:rsid w:val="007F3F09"/>
    <w:rsid w:val="00804C72"/>
    <w:rsid w:val="00814A54"/>
    <w:rsid w:val="00815020"/>
    <w:rsid w:val="00817514"/>
    <w:rsid w:val="008269CC"/>
    <w:rsid w:val="00832018"/>
    <w:rsid w:val="00833D8A"/>
    <w:rsid w:val="008425A1"/>
    <w:rsid w:val="008439C6"/>
    <w:rsid w:val="00851882"/>
    <w:rsid w:val="00861B92"/>
    <w:rsid w:val="008631CD"/>
    <w:rsid w:val="008709D0"/>
    <w:rsid w:val="008730A7"/>
    <w:rsid w:val="00874D41"/>
    <w:rsid w:val="008814FB"/>
    <w:rsid w:val="00896BDD"/>
    <w:rsid w:val="008A41BF"/>
    <w:rsid w:val="008B0657"/>
    <w:rsid w:val="008B2996"/>
    <w:rsid w:val="008C016E"/>
    <w:rsid w:val="008C063E"/>
    <w:rsid w:val="008C23DF"/>
    <w:rsid w:val="008C5CAE"/>
    <w:rsid w:val="008C7290"/>
    <w:rsid w:val="008D61EA"/>
    <w:rsid w:val="008E1857"/>
    <w:rsid w:val="008E7826"/>
    <w:rsid w:val="008F5E30"/>
    <w:rsid w:val="008F6FB7"/>
    <w:rsid w:val="008F728A"/>
    <w:rsid w:val="0091175F"/>
    <w:rsid w:val="00914D7F"/>
    <w:rsid w:val="00930767"/>
    <w:rsid w:val="009341F2"/>
    <w:rsid w:val="00937311"/>
    <w:rsid w:val="00950D41"/>
    <w:rsid w:val="0095424A"/>
    <w:rsid w:val="009553F6"/>
    <w:rsid w:val="00966A44"/>
    <w:rsid w:val="009706DD"/>
    <w:rsid w:val="009710BB"/>
    <w:rsid w:val="00972C80"/>
    <w:rsid w:val="0097305A"/>
    <w:rsid w:val="00973D5F"/>
    <w:rsid w:val="00980E6F"/>
    <w:rsid w:val="00990FD8"/>
    <w:rsid w:val="009929DD"/>
    <w:rsid w:val="009B07EF"/>
    <w:rsid w:val="009B1C48"/>
    <w:rsid w:val="009C2675"/>
    <w:rsid w:val="009D4FDC"/>
    <w:rsid w:val="009D681F"/>
    <w:rsid w:val="009E4C3A"/>
    <w:rsid w:val="009E680B"/>
    <w:rsid w:val="009F4A2A"/>
    <w:rsid w:val="009F54BF"/>
    <w:rsid w:val="009F6460"/>
    <w:rsid w:val="00A05FE7"/>
    <w:rsid w:val="00A06682"/>
    <w:rsid w:val="00A06974"/>
    <w:rsid w:val="00A15A1F"/>
    <w:rsid w:val="00A21924"/>
    <w:rsid w:val="00A3325A"/>
    <w:rsid w:val="00A37AC2"/>
    <w:rsid w:val="00A40491"/>
    <w:rsid w:val="00A43013"/>
    <w:rsid w:val="00A47E30"/>
    <w:rsid w:val="00A537D7"/>
    <w:rsid w:val="00A5608F"/>
    <w:rsid w:val="00A57356"/>
    <w:rsid w:val="00A642A3"/>
    <w:rsid w:val="00A70DC6"/>
    <w:rsid w:val="00A74904"/>
    <w:rsid w:val="00A80F7D"/>
    <w:rsid w:val="00A82C72"/>
    <w:rsid w:val="00A909E9"/>
    <w:rsid w:val="00A9559A"/>
    <w:rsid w:val="00AA1367"/>
    <w:rsid w:val="00AA73EE"/>
    <w:rsid w:val="00AB669E"/>
    <w:rsid w:val="00AC26B5"/>
    <w:rsid w:val="00AD6509"/>
    <w:rsid w:val="00AF108A"/>
    <w:rsid w:val="00AF46A6"/>
    <w:rsid w:val="00B017BD"/>
    <w:rsid w:val="00B02E55"/>
    <w:rsid w:val="00B036C1"/>
    <w:rsid w:val="00B03837"/>
    <w:rsid w:val="00B05D80"/>
    <w:rsid w:val="00B11164"/>
    <w:rsid w:val="00B163DD"/>
    <w:rsid w:val="00B20EBE"/>
    <w:rsid w:val="00B23580"/>
    <w:rsid w:val="00B30BD3"/>
    <w:rsid w:val="00B31E74"/>
    <w:rsid w:val="00B32729"/>
    <w:rsid w:val="00B4053D"/>
    <w:rsid w:val="00B4593A"/>
    <w:rsid w:val="00B50440"/>
    <w:rsid w:val="00B5253C"/>
    <w:rsid w:val="00B5431F"/>
    <w:rsid w:val="00B5782C"/>
    <w:rsid w:val="00B63694"/>
    <w:rsid w:val="00B65A11"/>
    <w:rsid w:val="00B70B1C"/>
    <w:rsid w:val="00B70C24"/>
    <w:rsid w:val="00B769AD"/>
    <w:rsid w:val="00B823DF"/>
    <w:rsid w:val="00B84621"/>
    <w:rsid w:val="00B92064"/>
    <w:rsid w:val="00BA60BB"/>
    <w:rsid w:val="00BB7CCB"/>
    <w:rsid w:val="00BB7D94"/>
    <w:rsid w:val="00BC0E24"/>
    <w:rsid w:val="00BC184B"/>
    <w:rsid w:val="00BC578D"/>
    <w:rsid w:val="00BE2E82"/>
    <w:rsid w:val="00BE629B"/>
    <w:rsid w:val="00BE7082"/>
    <w:rsid w:val="00BF7FE0"/>
    <w:rsid w:val="00C038B4"/>
    <w:rsid w:val="00C10B91"/>
    <w:rsid w:val="00C17334"/>
    <w:rsid w:val="00C21D3F"/>
    <w:rsid w:val="00C27A04"/>
    <w:rsid w:val="00C36044"/>
    <w:rsid w:val="00C36141"/>
    <w:rsid w:val="00C53A7D"/>
    <w:rsid w:val="00C6009C"/>
    <w:rsid w:val="00C670E3"/>
    <w:rsid w:val="00C71761"/>
    <w:rsid w:val="00C72C44"/>
    <w:rsid w:val="00C7533D"/>
    <w:rsid w:val="00C76252"/>
    <w:rsid w:val="00C77C66"/>
    <w:rsid w:val="00C813CB"/>
    <w:rsid w:val="00C8242E"/>
    <w:rsid w:val="00C85682"/>
    <w:rsid w:val="00C87ED0"/>
    <w:rsid w:val="00C96411"/>
    <w:rsid w:val="00C966B8"/>
    <w:rsid w:val="00CA029E"/>
    <w:rsid w:val="00CA5812"/>
    <w:rsid w:val="00CB2369"/>
    <w:rsid w:val="00CB758F"/>
    <w:rsid w:val="00CC312C"/>
    <w:rsid w:val="00CD4E69"/>
    <w:rsid w:val="00CE4AA6"/>
    <w:rsid w:val="00CF2143"/>
    <w:rsid w:val="00CF2BA4"/>
    <w:rsid w:val="00CF2E5C"/>
    <w:rsid w:val="00CF2ECD"/>
    <w:rsid w:val="00CF42C4"/>
    <w:rsid w:val="00CF58B7"/>
    <w:rsid w:val="00D02A8F"/>
    <w:rsid w:val="00D03703"/>
    <w:rsid w:val="00D05791"/>
    <w:rsid w:val="00D1699D"/>
    <w:rsid w:val="00D25F0B"/>
    <w:rsid w:val="00D351C1"/>
    <w:rsid w:val="00D35EFB"/>
    <w:rsid w:val="00D36E6D"/>
    <w:rsid w:val="00D47D55"/>
    <w:rsid w:val="00D504B3"/>
    <w:rsid w:val="00D51B64"/>
    <w:rsid w:val="00D5223F"/>
    <w:rsid w:val="00D54D67"/>
    <w:rsid w:val="00D638BF"/>
    <w:rsid w:val="00D71291"/>
    <w:rsid w:val="00D71BDF"/>
    <w:rsid w:val="00D772F2"/>
    <w:rsid w:val="00D80E5A"/>
    <w:rsid w:val="00D83F4B"/>
    <w:rsid w:val="00D860AE"/>
    <w:rsid w:val="00D86BF0"/>
    <w:rsid w:val="00DA22A1"/>
    <w:rsid w:val="00DA46DB"/>
    <w:rsid w:val="00DB007A"/>
    <w:rsid w:val="00DB2B19"/>
    <w:rsid w:val="00DC3038"/>
    <w:rsid w:val="00DC4299"/>
    <w:rsid w:val="00DD1CB7"/>
    <w:rsid w:val="00DD2869"/>
    <w:rsid w:val="00DE52D6"/>
    <w:rsid w:val="00DE5F56"/>
    <w:rsid w:val="00DE74CB"/>
    <w:rsid w:val="00DE75E6"/>
    <w:rsid w:val="00DF596A"/>
    <w:rsid w:val="00DF7C51"/>
    <w:rsid w:val="00E023BE"/>
    <w:rsid w:val="00E05D89"/>
    <w:rsid w:val="00E36DBF"/>
    <w:rsid w:val="00E44090"/>
    <w:rsid w:val="00E51079"/>
    <w:rsid w:val="00E51920"/>
    <w:rsid w:val="00E60BFA"/>
    <w:rsid w:val="00E619CA"/>
    <w:rsid w:val="00E61B7B"/>
    <w:rsid w:val="00E61FB3"/>
    <w:rsid w:val="00E64120"/>
    <w:rsid w:val="00E660A1"/>
    <w:rsid w:val="00E6769D"/>
    <w:rsid w:val="00E72AE9"/>
    <w:rsid w:val="00E805C9"/>
    <w:rsid w:val="00E84FC5"/>
    <w:rsid w:val="00E851C4"/>
    <w:rsid w:val="00E91B08"/>
    <w:rsid w:val="00E9280A"/>
    <w:rsid w:val="00E96003"/>
    <w:rsid w:val="00E96E9C"/>
    <w:rsid w:val="00EA17BF"/>
    <w:rsid w:val="00EA204B"/>
    <w:rsid w:val="00EA3DAD"/>
    <w:rsid w:val="00EA6DE5"/>
    <w:rsid w:val="00EB096F"/>
    <w:rsid w:val="00EB4DC8"/>
    <w:rsid w:val="00EB5A9E"/>
    <w:rsid w:val="00EC2213"/>
    <w:rsid w:val="00EC5A79"/>
    <w:rsid w:val="00ED1E43"/>
    <w:rsid w:val="00EE07F2"/>
    <w:rsid w:val="00EE1C3C"/>
    <w:rsid w:val="00EE5180"/>
    <w:rsid w:val="00EF07FB"/>
    <w:rsid w:val="00EF2438"/>
    <w:rsid w:val="00EF4AF1"/>
    <w:rsid w:val="00EF6325"/>
    <w:rsid w:val="00F01A70"/>
    <w:rsid w:val="00F023D7"/>
    <w:rsid w:val="00F02C5E"/>
    <w:rsid w:val="00F055F1"/>
    <w:rsid w:val="00F10984"/>
    <w:rsid w:val="00F20E14"/>
    <w:rsid w:val="00F3255D"/>
    <w:rsid w:val="00F34B4A"/>
    <w:rsid w:val="00F3616A"/>
    <w:rsid w:val="00F4093C"/>
    <w:rsid w:val="00F5798B"/>
    <w:rsid w:val="00F610AF"/>
    <w:rsid w:val="00F62CF5"/>
    <w:rsid w:val="00F7282A"/>
    <w:rsid w:val="00F75E41"/>
    <w:rsid w:val="00F80958"/>
    <w:rsid w:val="00F837AE"/>
    <w:rsid w:val="00F91CFC"/>
    <w:rsid w:val="00FA17B4"/>
    <w:rsid w:val="00FA2C5A"/>
    <w:rsid w:val="00FA426B"/>
    <w:rsid w:val="00FA5E6B"/>
    <w:rsid w:val="00FA66E1"/>
    <w:rsid w:val="00FB5F95"/>
    <w:rsid w:val="00FC1403"/>
    <w:rsid w:val="00FC2D11"/>
    <w:rsid w:val="00FC6230"/>
    <w:rsid w:val="00FD1F73"/>
    <w:rsid w:val="00FD2A1F"/>
    <w:rsid w:val="00FE2DA1"/>
    <w:rsid w:val="00FE62DC"/>
    <w:rsid w:val="00FE6413"/>
    <w:rsid w:val="00FF1194"/>
    <w:rsid w:val="00FF38C7"/>
    <w:rsid w:val="00FF61E7"/>
    <w:rsid w:val="29F696ED"/>
    <w:rsid w:val="3AAAE31F"/>
    <w:rsid w:val="4BA72943"/>
    <w:rsid w:val="5F055D1F"/>
    <w:rsid w:val="623FF2A5"/>
    <w:rsid w:val="673872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7E4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5A7449"/>
    <w:pPr>
      <w:numPr>
        <w:numId w:val="24"/>
      </w:numPr>
      <w:spacing w:before="120" w:after="120"/>
      <w:ind w:left="425" w:hanging="357"/>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link w:val="ParagraphnonumbersChar"/>
    <w:uiPriority w:val="99"/>
    <w:qFormat/>
    <w:rsid w:val="00B23580"/>
    <w:pPr>
      <w:spacing w:before="240" w:after="240" w:line="360" w:lineRule="auto"/>
    </w:pPr>
    <w:rPr>
      <w:rFonts w:ascii="Arial" w:hAnsi="Arial"/>
    </w:rPr>
  </w:style>
  <w:style w:type="character" w:customStyle="1" w:styleId="ParagraphnonumbersChar">
    <w:name w:val="Paragraph no numbers Char"/>
    <w:basedOn w:val="DefaultParagraphFont"/>
    <w:link w:val="Paragraphnonumbers"/>
    <w:uiPriority w:val="99"/>
    <w:rsid w:val="00B23580"/>
    <w:rPr>
      <w:rFonts w:ascii="Arial" w:hAnsi="Arial"/>
      <w:sz w:val="24"/>
      <w:szCs w:val="24"/>
    </w:rPr>
  </w:style>
  <w:style w:type="character" w:styleId="FollowedHyperlink">
    <w:name w:val="FollowedHyperlink"/>
    <w:basedOn w:val="DefaultParagraphFont"/>
    <w:semiHidden/>
    <w:rsid w:val="00B23580"/>
    <w:rPr>
      <w:color w:val="00436C" w:themeColor="followedHyperlink"/>
      <w:u w:val="single"/>
    </w:rPr>
  </w:style>
  <w:style w:type="paragraph" w:customStyle="1" w:styleId="Numberedheading1">
    <w:name w:val="Numbered heading 1"/>
    <w:basedOn w:val="Heading1"/>
    <w:next w:val="Normal"/>
    <w:rsid w:val="00B23580"/>
    <w:pPr>
      <w:numPr>
        <w:numId w:val="26"/>
      </w:numPr>
      <w:tabs>
        <w:tab w:val="clear" w:pos="1134"/>
        <w:tab w:val="num" w:pos="851"/>
      </w:tabs>
      <w:spacing w:line="240" w:lineRule="auto"/>
      <w:ind w:left="851" w:hanging="851"/>
    </w:pPr>
    <w:rPr>
      <w:szCs w:val="24"/>
    </w:rPr>
  </w:style>
  <w:style w:type="paragraph" w:customStyle="1" w:styleId="Numberedheading2">
    <w:name w:val="Numbered heading 2"/>
    <w:basedOn w:val="Heading2"/>
    <w:next w:val="Normal"/>
    <w:rsid w:val="00B23580"/>
    <w:pPr>
      <w:numPr>
        <w:ilvl w:val="1"/>
        <w:numId w:val="26"/>
      </w:numPr>
      <w:spacing w:line="240" w:lineRule="auto"/>
    </w:pPr>
    <w:rPr>
      <w:i/>
      <w:iCs/>
      <w:color w:val="auto"/>
    </w:rPr>
  </w:style>
  <w:style w:type="paragraph" w:customStyle="1" w:styleId="Numberedheading3">
    <w:name w:val="Numbered heading 3"/>
    <w:basedOn w:val="Heading3"/>
    <w:next w:val="Normal"/>
    <w:rsid w:val="00B23580"/>
    <w:pPr>
      <w:numPr>
        <w:ilvl w:val="2"/>
        <w:numId w:val="26"/>
      </w:numPr>
      <w:spacing w:line="240" w:lineRule="auto"/>
    </w:pPr>
  </w:style>
  <w:style w:type="paragraph" w:customStyle="1" w:styleId="Numberedlevel4text">
    <w:name w:val="Numbered level 4 text"/>
    <w:basedOn w:val="Normal"/>
    <w:next w:val="Normal"/>
    <w:rsid w:val="00B23580"/>
    <w:pPr>
      <w:numPr>
        <w:ilvl w:val="3"/>
        <w:numId w:val="26"/>
      </w:numPr>
      <w:spacing w:after="240"/>
    </w:pPr>
    <w:rPr>
      <w:rFonts w:ascii="Arial" w:hAnsi="Arial"/>
      <w:lang w:val="en-US" w:eastAsia="en-US"/>
    </w:rPr>
  </w:style>
  <w:style w:type="paragraph" w:customStyle="1" w:styleId="Paragraphnonumbersnarrow">
    <w:name w:val="Paragraph no numbers narrow"/>
    <w:basedOn w:val="Paragraphnonumbers"/>
    <w:link w:val="ParagraphnonumbersnarrowChar"/>
    <w:qFormat/>
    <w:rsid w:val="00B23580"/>
    <w:pPr>
      <w:spacing w:before="120" w:after="120"/>
    </w:pPr>
    <w:rPr>
      <w:lang w:eastAsia="en-US"/>
    </w:rPr>
  </w:style>
  <w:style w:type="character" w:customStyle="1" w:styleId="ParagraphnonumbersnarrowChar">
    <w:name w:val="Paragraph no numbers narrow Char"/>
    <w:basedOn w:val="ParagraphnonumbersChar"/>
    <w:link w:val="Paragraphnonumbersnarrow"/>
    <w:rsid w:val="00B23580"/>
    <w:rPr>
      <w:rFonts w:ascii="Arial" w:hAnsi="Arial"/>
      <w:sz w:val="24"/>
      <w:szCs w:val="24"/>
      <w:lang w:eastAsia="en-US"/>
    </w:rPr>
  </w:style>
  <w:style w:type="character" w:customStyle="1" w:styleId="ui-provider">
    <w:name w:val="ui-provider"/>
    <w:basedOn w:val="DefaultParagraphFont"/>
    <w:rsid w:val="0002530C"/>
  </w:style>
  <w:style w:type="character" w:customStyle="1" w:styleId="normaltextrun">
    <w:name w:val="normaltextrun"/>
    <w:basedOn w:val="DefaultParagraphFont"/>
    <w:rsid w:val="00CE4AA6"/>
  </w:style>
  <w:style w:type="character" w:customStyle="1" w:styleId="eop">
    <w:name w:val="eop"/>
    <w:basedOn w:val="DefaultParagraphFont"/>
    <w:rsid w:val="00CE4AA6"/>
  </w:style>
  <w:style w:type="paragraph" w:styleId="ListParagraph">
    <w:name w:val="List Paragraph"/>
    <w:basedOn w:val="Normal"/>
    <w:uiPriority w:val="34"/>
    <w:qFormat/>
    <w:rsid w:val="006C069B"/>
    <w:pPr>
      <w:spacing w:after="160" w:line="279" w:lineRule="auto"/>
      <w:ind w:left="720"/>
      <w:contextualSpacing/>
    </w:pPr>
    <w:rPr>
      <w:rFonts w:asciiTheme="minorHAnsi" w:eastAsiaTheme="minorEastAsia" w:hAnsiTheme="minorHAnsi" w:cstheme="minorBidi"/>
      <w:lang w:eastAsia="ja-JP"/>
    </w:rPr>
  </w:style>
  <w:style w:type="paragraph" w:customStyle="1" w:styleId="NICEnormal">
    <w:name w:val="NICE normal"/>
    <w:link w:val="NICEnormalChar"/>
    <w:qFormat/>
    <w:rsid w:val="009C2675"/>
    <w:pPr>
      <w:spacing w:after="240" w:line="360" w:lineRule="auto"/>
    </w:pPr>
    <w:rPr>
      <w:rFonts w:ascii="Arial" w:hAnsi="Arial"/>
      <w:sz w:val="24"/>
      <w:szCs w:val="24"/>
      <w:lang w:eastAsia="en-US"/>
    </w:rPr>
  </w:style>
  <w:style w:type="character" w:customStyle="1" w:styleId="NICEnormalChar">
    <w:name w:val="NICE normal Char"/>
    <w:link w:val="NICEnormal"/>
    <w:rsid w:val="009C2675"/>
    <w:rPr>
      <w:rFonts w:ascii="Arial" w:hAnsi="Arial"/>
      <w:sz w:val="24"/>
      <w:szCs w:val="24"/>
      <w:lang w:eastAsia="en-US"/>
    </w:rPr>
  </w:style>
  <w:style w:type="character" w:styleId="Mention">
    <w:name w:val="Mention"/>
    <w:basedOn w:val="DefaultParagraphFont"/>
    <w:uiPriority w:val="99"/>
    <w:unhideWhenUsed/>
    <w:rsid w:val="002B1704"/>
    <w:rPr>
      <w:color w:val="2B579A"/>
      <w:shd w:val="clear" w:color="auto" w:fill="E1DFDD"/>
    </w:rPr>
  </w:style>
  <w:style w:type="character" w:styleId="UnresolvedMention">
    <w:name w:val="Unresolved Mention"/>
    <w:basedOn w:val="DefaultParagraphFont"/>
    <w:uiPriority w:val="99"/>
    <w:semiHidden/>
    <w:unhideWhenUsed/>
    <w:rsid w:val="00423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process/pmg4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2025-03-31T11:52:00Z</dcterms:created>
  <dcterms:modified xsi:type="dcterms:W3CDTF">2025-03-31T11:52:00Z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2025-03-31T11:52:21Z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708682b9-fd7b-415d-875b-6c15cbe8dc7a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