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0F8C" w14:textId="77777777" w:rsidR="00F51012" w:rsidRPr="00EE12BA" w:rsidRDefault="004D2624" w:rsidP="00EE12BA">
      <w:pPr>
        <w:pStyle w:val="Title"/>
        <w:rPr>
          <w:rFonts w:ascii="Arial" w:eastAsia="Calibri" w:hAnsi="Arial" w:cs="Arial"/>
          <w:b/>
          <w:bCs/>
          <w:sz w:val="32"/>
          <w:szCs w:val="32"/>
        </w:rPr>
      </w:pPr>
      <w:bookmarkStart w:id="0" w:name="_Hlk10814881"/>
      <w:r w:rsidRPr="00EE12BA">
        <w:rPr>
          <w:rFonts w:ascii="Arial" w:eastAsia="Calibri" w:hAnsi="Arial" w:cs="Arial"/>
          <w:b/>
          <w:bCs/>
          <w:sz w:val="32"/>
          <w:szCs w:val="32"/>
        </w:rPr>
        <w:t>L</w:t>
      </w:r>
      <w:r w:rsidR="00F51012" w:rsidRPr="00EE12BA">
        <w:rPr>
          <w:rFonts w:ascii="Arial" w:eastAsia="Calibri" w:hAnsi="Arial" w:cs="Arial"/>
          <w:b/>
          <w:bCs/>
          <w:sz w:val="32"/>
          <w:szCs w:val="32"/>
        </w:rPr>
        <w:t>aunch statement:</w:t>
      </w:r>
    </w:p>
    <w:p w14:paraId="0B2155CA" w14:textId="77777777" w:rsidR="00F51012" w:rsidRPr="00983450" w:rsidRDefault="00F51012" w:rsidP="00F51012">
      <w:pPr>
        <w:spacing w:after="0" w:line="240" w:lineRule="auto"/>
        <w:rPr>
          <w:rFonts w:ascii="Arial" w:eastAsia="Calibri" w:hAnsi="Arial" w:cs="Arial"/>
          <w:b/>
          <w:sz w:val="28"/>
          <w:szCs w:val="28"/>
        </w:rPr>
      </w:pPr>
    </w:p>
    <w:p w14:paraId="18E4D763" w14:textId="3419105A" w:rsidR="00F51012" w:rsidRPr="00983450" w:rsidRDefault="00F51012" w:rsidP="00F51012">
      <w:pPr>
        <w:spacing w:after="0" w:line="240" w:lineRule="auto"/>
        <w:rPr>
          <w:rFonts w:ascii="Arial" w:eastAsia="Calibri" w:hAnsi="Arial" w:cs="Arial"/>
          <w:sz w:val="24"/>
          <w:szCs w:val="24"/>
        </w:rPr>
      </w:pPr>
      <w:bookmarkStart w:id="1" w:name="_Hlk11413908"/>
      <w:r w:rsidRPr="00983450">
        <w:rPr>
          <w:rFonts w:ascii="Arial" w:eastAsia="Calibri" w:hAnsi="Arial" w:cs="Arial"/>
          <w:b/>
          <w:sz w:val="28"/>
          <w:szCs w:val="28"/>
        </w:rPr>
        <w:t>NHS England</w:t>
      </w:r>
      <w:r w:rsidR="00670EDB">
        <w:rPr>
          <w:rFonts w:ascii="Arial" w:eastAsia="Calibri" w:hAnsi="Arial" w:cs="Arial"/>
          <w:b/>
          <w:sz w:val="28"/>
          <w:szCs w:val="28"/>
        </w:rPr>
        <w:t xml:space="preserve"> and NHS Improvement </w:t>
      </w:r>
      <w:r w:rsidR="00670EDB" w:rsidRPr="00983450">
        <w:rPr>
          <w:rFonts w:ascii="Arial" w:eastAsia="Calibri" w:hAnsi="Arial" w:cs="Arial"/>
          <w:b/>
          <w:sz w:val="28"/>
          <w:szCs w:val="28"/>
        </w:rPr>
        <w:t>and</w:t>
      </w:r>
      <w:r w:rsidRPr="00983450">
        <w:rPr>
          <w:rFonts w:ascii="Arial" w:eastAsia="Calibri" w:hAnsi="Arial" w:cs="Arial"/>
          <w:b/>
          <w:sz w:val="28"/>
          <w:szCs w:val="28"/>
        </w:rPr>
        <w:t xml:space="preserve"> NICE begin project to develop and test innovative models for the evaluation and purchase of antimicrobials</w:t>
      </w:r>
    </w:p>
    <w:bookmarkEnd w:id="1"/>
    <w:p w14:paraId="1E27C2DD" w14:textId="77777777" w:rsidR="00F51012" w:rsidRPr="00983450" w:rsidRDefault="00F51012" w:rsidP="00F51012">
      <w:pPr>
        <w:spacing w:after="0" w:line="240" w:lineRule="auto"/>
        <w:rPr>
          <w:rFonts w:ascii="Arial" w:eastAsia="Calibri" w:hAnsi="Arial" w:cs="Arial"/>
          <w:sz w:val="24"/>
          <w:szCs w:val="24"/>
        </w:rPr>
      </w:pPr>
    </w:p>
    <w:p w14:paraId="766B6037" w14:textId="420DEB64" w:rsidR="00F51012" w:rsidRPr="00983450" w:rsidRDefault="00F51012" w:rsidP="00F51012">
      <w:pPr>
        <w:spacing w:after="0" w:line="240" w:lineRule="auto"/>
        <w:contextualSpacing/>
        <w:rPr>
          <w:rFonts w:ascii="Arial" w:eastAsia="Calibri" w:hAnsi="Arial" w:cs="Arial"/>
          <w:sz w:val="24"/>
          <w:szCs w:val="24"/>
        </w:rPr>
      </w:pPr>
      <w:r w:rsidRPr="00983450">
        <w:rPr>
          <w:rFonts w:ascii="Arial" w:eastAsia="Calibri" w:hAnsi="Arial" w:cs="Arial"/>
          <w:sz w:val="24"/>
          <w:szCs w:val="24"/>
        </w:rPr>
        <w:t xml:space="preserve">Antimicrobial resistance (AMR) is one of the most pressing global challenges we face this century. </w:t>
      </w:r>
      <w:r w:rsidR="00913A57">
        <w:rPr>
          <w:rFonts w:ascii="Arial" w:eastAsia="Calibri" w:hAnsi="Arial" w:cs="Arial"/>
          <w:sz w:val="24"/>
          <w:szCs w:val="24"/>
        </w:rPr>
        <w:t>U</w:t>
      </w:r>
      <w:r w:rsidRPr="00983450">
        <w:rPr>
          <w:rFonts w:ascii="Arial" w:eastAsia="Calibri" w:hAnsi="Arial" w:cs="Arial"/>
          <w:sz w:val="24"/>
          <w:szCs w:val="24"/>
        </w:rPr>
        <w:t xml:space="preserve">nchecked, </w:t>
      </w:r>
      <w:r w:rsidR="00913A57">
        <w:rPr>
          <w:rFonts w:ascii="Arial" w:eastAsia="Calibri" w:hAnsi="Arial" w:cs="Arial"/>
          <w:sz w:val="24"/>
          <w:szCs w:val="24"/>
        </w:rPr>
        <w:t>AMR</w:t>
      </w:r>
      <w:r w:rsidRPr="00983450">
        <w:rPr>
          <w:rFonts w:ascii="Arial" w:eastAsia="Calibri" w:hAnsi="Arial" w:cs="Arial"/>
          <w:sz w:val="24"/>
          <w:szCs w:val="24"/>
        </w:rPr>
        <w:t xml:space="preserve"> threatens many of the Sustainable Development Goals including those affecting health, food security, trade, and labour supply. </w:t>
      </w:r>
    </w:p>
    <w:p w14:paraId="10570635" w14:textId="77777777" w:rsidR="00F51012" w:rsidRPr="00983450" w:rsidRDefault="00F51012" w:rsidP="00F51012">
      <w:pPr>
        <w:spacing w:after="0" w:line="240" w:lineRule="auto"/>
        <w:contextualSpacing/>
        <w:rPr>
          <w:rFonts w:ascii="Arial" w:eastAsia="Calibri" w:hAnsi="Arial" w:cs="Arial"/>
          <w:sz w:val="24"/>
          <w:szCs w:val="24"/>
        </w:rPr>
      </w:pPr>
    </w:p>
    <w:p w14:paraId="7595EC34" w14:textId="6FB7D0C2" w:rsidR="00F51012" w:rsidRPr="00983450" w:rsidRDefault="00F51012" w:rsidP="00F51012">
      <w:pPr>
        <w:spacing w:after="0" w:line="240" w:lineRule="auto"/>
        <w:contextualSpacing/>
        <w:rPr>
          <w:rFonts w:ascii="Arial" w:eastAsia="Calibri" w:hAnsi="Arial" w:cs="Arial"/>
          <w:sz w:val="24"/>
          <w:szCs w:val="24"/>
        </w:rPr>
      </w:pPr>
      <w:r w:rsidRPr="00983450">
        <w:rPr>
          <w:rFonts w:ascii="Arial" w:eastAsia="Calibri" w:hAnsi="Arial" w:cs="Arial"/>
          <w:sz w:val="24"/>
          <w:szCs w:val="24"/>
        </w:rPr>
        <w:t xml:space="preserve">While the UK has made progress in reducing </w:t>
      </w:r>
      <w:r w:rsidR="00935996">
        <w:rPr>
          <w:rFonts w:ascii="Arial" w:eastAsia="Calibri" w:hAnsi="Arial" w:cs="Arial"/>
          <w:sz w:val="24"/>
          <w:szCs w:val="24"/>
        </w:rPr>
        <w:t xml:space="preserve">the </w:t>
      </w:r>
      <w:r w:rsidR="00935996" w:rsidRPr="00983450">
        <w:rPr>
          <w:rFonts w:ascii="Arial" w:eastAsia="Calibri" w:hAnsi="Arial" w:cs="Arial"/>
          <w:sz w:val="24"/>
          <w:szCs w:val="24"/>
        </w:rPr>
        <w:t>use</w:t>
      </w:r>
      <w:r w:rsidRPr="00983450">
        <w:rPr>
          <w:rFonts w:ascii="Arial" w:eastAsia="Calibri" w:hAnsi="Arial" w:cs="Arial"/>
          <w:sz w:val="24"/>
          <w:szCs w:val="24"/>
        </w:rPr>
        <w:t xml:space="preserve"> of anti</w:t>
      </w:r>
      <w:r>
        <w:rPr>
          <w:rFonts w:ascii="Arial" w:eastAsia="Calibri" w:hAnsi="Arial" w:cs="Arial"/>
          <w:sz w:val="24"/>
          <w:szCs w:val="24"/>
        </w:rPr>
        <w:t>microbials</w:t>
      </w:r>
      <w:r w:rsidRPr="00983450">
        <w:rPr>
          <w:rFonts w:ascii="Arial" w:eastAsia="Calibri" w:hAnsi="Arial" w:cs="Arial"/>
          <w:sz w:val="24"/>
          <w:szCs w:val="24"/>
        </w:rPr>
        <w:t xml:space="preserve"> in humans and significantly in animals in the last five years, drug-resistant infections in humans increased by 35% from 2013 to 2017</w:t>
      </w:r>
      <w:r w:rsidR="009C1418">
        <w:rPr>
          <w:rFonts w:ascii="Arial" w:eastAsia="Calibri" w:hAnsi="Arial" w:cs="Arial"/>
          <w:sz w:val="24"/>
          <w:szCs w:val="24"/>
        </w:rPr>
        <w:t xml:space="preserve"> in England</w:t>
      </w:r>
      <w:r>
        <w:rPr>
          <w:rFonts w:ascii="Arial" w:eastAsia="Calibri" w:hAnsi="Arial" w:cs="Arial"/>
          <w:sz w:val="24"/>
          <w:szCs w:val="24"/>
        </w:rPr>
        <w:t>.</w:t>
      </w:r>
      <w:r w:rsidR="00BB4D1B">
        <w:rPr>
          <w:rStyle w:val="FootnoteReference"/>
          <w:rFonts w:ascii="Arial" w:eastAsia="Calibri" w:hAnsi="Arial" w:cs="Arial"/>
          <w:sz w:val="24"/>
          <w:szCs w:val="24"/>
        </w:rPr>
        <w:footnoteReference w:id="1"/>
      </w:r>
    </w:p>
    <w:p w14:paraId="139375A3" w14:textId="77777777" w:rsidR="00F51012" w:rsidRPr="00983450" w:rsidRDefault="00F51012" w:rsidP="00F51012">
      <w:pPr>
        <w:spacing w:after="0" w:line="240" w:lineRule="auto"/>
        <w:contextualSpacing/>
        <w:rPr>
          <w:rFonts w:ascii="Arial" w:eastAsia="Calibri" w:hAnsi="Arial" w:cs="Arial"/>
          <w:sz w:val="24"/>
          <w:szCs w:val="24"/>
        </w:rPr>
      </w:pPr>
    </w:p>
    <w:p w14:paraId="1B14B3AD" w14:textId="1046E745" w:rsidR="00F51012" w:rsidRPr="00983450" w:rsidRDefault="00F51012" w:rsidP="00F51012">
      <w:pPr>
        <w:spacing w:after="0" w:line="240" w:lineRule="auto"/>
        <w:rPr>
          <w:rFonts w:ascii="Arial" w:eastAsia="Calibri" w:hAnsi="Arial" w:cs="Arial"/>
          <w:sz w:val="24"/>
          <w:szCs w:val="24"/>
        </w:rPr>
      </w:pPr>
      <w:r w:rsidRPr="00983450">
        <w:rPr>
          <w:rFonts w:ascii="Arial" w:eastAsia="Calibri" w:hAnsi="Arial" w:cs="Arial"/>
          <w:sz w:val="24"/>
          <w:szCs w:val="24"/>
        </w:rPr>
        <w:t xml:space="preserve">For most antimicrobials, there are few replacement or alternative products </w:t>
      </w:r>
      <w:r w:rsidR="00935996" w:rsidRPr="00983450">
        <w:rPr>
          <w:rFonts w:ascii="Arial" w:eastAsia="Calibri" w:hAnsi="Arial" w:cs="Arial"/>
          <w:sz w:val="24"/>
          <w:szCs w:val="24"/>
        </w:rPr>
        <w:t>in development</w:t>
      </w:r>
      <w:r w:rsidRPr="00983450">
        <w:rPr>
          <w:rFonts w:ascii="Arial" w:eastAsia="Calibri" w:hAnsi="Arial" w:cs="Arial"/>
          <w:sz w:val="24"/>
          <w:szCs w:val="24"/>
        </w:rPr>
        <w:t xml:space="preserve"> </w:t>
      </w:r>
      <w:r w:rsidRPr="00983450">
        <w:rPr>
          <w:rFonts w:ascii="Arial" w:eastAsia="Times New Roman" w:hAnsi="Arial" w:cs="Arial"/>
          <w:snapToGrid w:val="0"/>
          <w:sz w:val="24"/>
          <w:szCs w:val="24"/>
        </w:rPr>
        <w:t xml:space="preserve">and </w:t>
      </w:r>
      <w:r w:rsidR="00FA17C5">
        <w:rPr>
          <w:rFonts w:ascii="Arial" w:eastAsia="Times New Roman" w:hAnsi="Arial" w:cs="Arial"/>
          <w:snapToGrid w:val="0"/>
          <w:sz w:val="24"/>
          <w:szCs w:val="24"/>
        </w:rPr>
        <w:t xml:space="preserve">even fewer that </w:t>
      </w:r>
      <w:r w:rsidRPr="00983450">
        <w:rPr>
          <w:rFonts w:ascii="Arial" w:eastAsia="Times New Roman" w:hAnsi="Arial" w:cs="Arial"/>
          <w:snapToGrid w:val="0"/>
          <w:sz w:val="24"/>
          <w:szCs w:val="24"/>
        </w:rPr>
        <w:t>target</w:t>
      </w:r>
      <w:r w:rsidR="00FA17C5">
        <w:rPr>
          <w:rFonts w:ascii="Arial" w:eastAsia="Times New Roman" w:hAnsi="Arial" w:cs="Arial"/>
          <w:snapToGrid w:val="0"/>
          <w:sz w:val="24"/>
          <w:szCs w:val="24"/>
        </w:rPr>
        <w:t xml:space="preserve"> </w:t>
      </w:r>
      <w:r w:rsidRPr="00983450">
        <w:rPr>
          <w:rFonts w:ascii="Arial" w:eastAsia="Times New Roman" w:hAnsi="Arial" w:cs="Arial"/>
          <w:snapToGrid w:val="0"/>
          <w:sz w:val="24"/>
          <w:szCs w:val="24"/>
        </w:rPr>
        <w:t>priority pathogens.</w:t>
      </w:r>
      <w:r w:rsidRPr="00983450">
        <w:rPr>
          <w:rFonts w:ascii="Arial" w:eastAsia="Calibri" w:hAnsi="Arial" w:cs="Arial"/>
          <w:sz w:val="24"/>
          <w:szCs w:val="24"/>
        </w:rPr>
        <w:t xml:space="preserve"> Investment in novel antibiotics </w:t>
      </w:r>
      <w:proofErr w:type="gramStart"/>
      <w:r>
        <w:rPr>
          <w:rFonts w:ascii="Arial" w:eastAsia="Calibri" w:hAnsi="Arial" w:cs="Arial"/>
          <w:sz w:val="24"/>
          <w:szCs w:val="24"/>
        </w:rPr>
        <w:t>can be seen as</w:t>
      </w:r>
      <w:proofErr w:type="gramEnd"/>
      <w:r>
        <w:rPr>
          <w:rFonts w:ascii="Arial" w:eastAsia="Calibri" w:hAnsi="Arial" w:cs="Arial"/>
          <w:sz w:val="24"/>
          <w:szCs w:val="24"/>
        </w:rPr>
        <w:t xml:space="preserve"> </w:t>
      </w:r>
      <w:r w:rsidRPr="00983450">
        <w:rPr>
          <w:rFonts w:ascii="Arial" w:eastAsia="Calibri" w:hAnsi="Arial" w:cs="Arial"/>
          <w:sz w:val="24"/>
          <w:szCs w:val="24"/>
        </w:rPr>
        <w:t xml:space="preserve">commercially unattractive. </w:t>
      </w:r>
      <w:r w:rsidR="002F0BB1" w:rsidRPr="00983450">
        <w:rPr>
          <w:rFonts w:ascii="Arial" w:eastAsia="Calibri" w:hAnsi="Arial" w:cs="Arial"/>
          <w:sz w:val="24"/>
          <w:szCs w:val="24"/>
        </w:rPr>
        <w:t>The high cost and low returns associated with the research and development of novel antimicrobials have led to</w:t>
      </w:r>
      <w:r w:rsidR="002F0BB1">
        <w:rPr>
          <w:rFonts w:ascii="Arial" w:eastAsia="Calibri" w:hAnsi="Arial" w:cs="Arial"/>
          <w:sz w:val="24"/>
          <w:szCs w:val="24"/>
        </w:rPr>
        <w:t xml:space="preserve"> potential </w:t>
      </w:r>
      <w:r w:rsidR="002F0BB1" w:rsidRPr="00983450">
        <w:rPr>
          <w:rFonts w:ascii="Arial" w:eastAsia="Calibri" w:hAnsi="Arial" w:cs="Arial"/>
          <w:sz w:val="24"/>
          <w:szCs w:val="24"/>
        </w:rPr>
        <w:t>market failure</w:t>
      </w:r>
      <w:r w:rsidR="0042255E">
        <w:rPr>
          <w:rFonts w:ascii="Arial" w:eastAsia="Calibri" w:hAnsi="Arial" w:cs="Arial"/>
          <w:sz w:val="24"/>
          <w:szCs w:val="24"/>
        </w:rPr>
        <w:t xml:space="preserve">. </w:t>
      </w:r>
      <w:r w:rsidRPr="00983450">
        <w:rPr>
          <w:rFonts w:ascii="Arial" w:eastAsia="Calibri" w:hAnsi="Arial" w:cs="Arial"/>
          <w:sz w:val="24"/>
          <w:szCs w:val="24"/>
        </w:rPr>
        <w:t xml:space="preserve"> </w:t>
      </w:r>
    </w:p>
    <w:p w14:paraId="043DB5F0" w14:textId="77777777" w:rsidR="00F51012" w:rsidRPr="00983450" w:rsidRDefault="00F51012" w:rsidP="00F51012">
      <w:pPr>
        <w:spacing w:after="0" w:line="240" w:lineRule="auto"/>
        <w:contextualSpacing/>
        <w:rPr>
          <w:rFonts w:ascii="Arial" w:eastAsia="Calibri" w:hAnsi="Arial" w:cs="Arial"/>
          <w:iCs/>
          <w:color w:val="000000"/>
          <w:sz w:val="24"/>
          <w:szCs w:val="24"/>
        </w:rPr>
      </w:pPr>
    </w:p>
    <w:p w14:paraId="4E79739B" w14:textId="77777777" w:rsidR="00F51012" w:rsidRPr="00983450" w:rsidRDefault="00F51012" w:rsidP="00F51012">
      <w:pPr>
        <w:spacing w:after="0" w:line="240" w:lineRule="auto"/>
        <w:contextualSpacing/>
        <w:rPr>
          <w:rFonts w:ascii="Arial" w:eastAsia="Calibri" w:hAnsi="Arial" w:cs="Arial"/>
          <w:sz w:val="24"/>
          <w:szCs w:val="24"/>
        </w:rPr>
      </w:pPr>
      <w:r w:rsidRPr="00983450">
        <w:rPr>
          <w:rFonts w:ascii="Arial" w:eastAsia="Calibri" w:hAnsi="Arial" w:cs="Arial"/>
          <w:iCs/>
          <w:color w:val="000000"/>
          <w:sz w:val="24"/>
          <w:szCs w:val="24"/>
        </w:rPr>
        <w:t xml:space="preserve">Tackling AMR is a </w:t>
      </w:r>
      <w:r w:rsidR="00FA17C5">
        <w:rPr>
          <w:rFonts w:ascii="Arial" w:eastAsia="Calibri" w:hAnsi="Arial" w:cs="Arial"/>
          <w:iCs/>
          <w:color w:val="000000"/>
          <w:sz w:val="24"/>
          <w:szCs w:val="24"/>
        </w:rPr>
        <w:t xml:space="preserve">government </w:t>
      </w:r>
      <w:r w:rsidRPr="00983450">
        <w:rPr>
          <w:rFonts w:ascii="Arial" w:eastAsia="Calibri" w:hAnsi="Arial" w:cs="Arial"/>
          <w:iCs/>
          <w:color w:val="000000"/>
          <w:sz w:val="24"/>
          <w:szCs w:val="24"/>
        </w:rPr>
        <w:t>priority</w:t>
      </w:r>
      <w:r w:rsidR="00FA17C5">
        <w:rPr>
          <w:rFonts w:ascii="Arial" w:eastAsia="Calibri" w:hAnsi="Arial" w:cs="Arial"/>
          <w:iCs/>
          <w:color w:val="000000"/>
          <w:sz w:val="24"/>
          <w:szCs w:val="24"/>
        </w:rPr>
        <w:t xml:space="preserve">. </w:t>
      </w:r>
      <w:r>
        <w:rPr>
          <w:rFonts w:ascii="Arial" w:eastAsia="Calibri" w:hAnsi="Arial" w:cs="Arial"/>
          <w:iCs/>
          <w:color w:val="000000"/>
          <w:sz w:val="24"/>
          <w:szCs w:val="24"/>
        </w:rPr>
        <w:t xml:space="preserve"> </w:t>
      </w:r>
      <w:r w:rsidRPr="00983450">
        <w:rPr>
          <w:rFonts w:ascii="Arial" w:eastAsia="Calibri" w:hAnsi="Arial" w:cs="Arial"/>
          <w:iCs/>
          <w:color w:val="000000"/>
          <w:sz w:val="24"/>
          <w:szCs w:val="24"/>
        </w:rPr>
        <w:t xml:space="preserve">The UK </w:t>
      </w:r>
      <w:r w:rsidR="00FA17C5">
        <w:rPr>
          <w:rFonts w:ascii="Arial" w:eastAsia="Calibri" w:hAnsi="Arial" w:cs="Arial"/>
          <w:iCs/>
          <w:color w:val="000000"/>
          <w:sz w:val="24"/>
          <w:szCs w:val="24"/>
        </w:rPr>
        <w:t xml:space="preserve">government </w:t>
      </w:r>
      <w:r w:rsidRPr="00983450">
        <w:rPr>
          <w:rFonts w:ascii="Arial" w:eastAsia="Calibri" w:hAnsi="Arial" w:cs="Arial"/>
          <w:iCs/>
          <w:color w:val="000000"/>
          <w:sz w:val="24"/>
          <w:szCs w:val="24"/>
        </w:rPr>
        <w:t>published its vision for a world in which</w:t>
      </w:r>
      <w:r w:rsidRPr="00983450">
        <w:rPr>
          <w:rFonts w:ascii="Arial" w:eastAsia="Calibri" w:hAnsi="Arial" w:cs="Arial"/>
          <w:sz w:val="24"/>
          <w:szCs w:val="24"/>
        </w:rPr>
        <w:t xml:space="preserve"> AMR is contained and controlled by 2040, </w:t>
      </w:r>
      <w:r w:rsidRPr="00983450">
        <w:rPr>
          <w:rFonts w:ascii="Arial" w:eastAsia="Calibri" w:hAnsi="Arial" w:cs="Arial"/>
          <w:iCs/>
          <w:color w:val="000000"/>
          <w:sz w:val="24"/>
          <w:szCs w:val="24"/>
        </w:rPr>
        <w:t>and a supporting five-year national action plan, in January this year.</w:t>
      </w:r>
    </w:p>
    <w:p w14:paraId="2454DCB9" w14:textId="77777777" w:rsidR="00F51012" w:rsidRPr="00983450" w:rsidRDefault="00F51012" w:rsidP="00F51012">
      <w:pPr>
        <w:spacing w:after="0" w:line="240" w:lineRule="auto"/>
        <w:contextualSpacing/>
        <w:rPr>
          <w:rFonts w:ascii="Arial" w:eastAsia="Calibri" w:hAnsi="Arial" w:cs="Arial"/>
          <w:sz w:val="24"/>
          <w:szCs w:val="24"/>
        </w:rPr>
      </w:pPr>
    </w:p>
    <w:p w14:paraId="66A46FC2" w14:textId="16F8199D" w:rsidR="00F51012" w:rsidRPr="00983450" w:rsidRDefault="00F51012" w:rsidP="00F51012">
      <w:pPr>
        <w:spacing w:after="0" w:line="240" w:lineRule="auto"/>
        <w:contextualSpacing/>
        <w:rPr>
          <w:rFonts w:ascii="Arial" w:eastAsia="Calibri" w:hAnsi="Arial" w:cs="Arial"/>
          <w:sz w:val="24"/>
          <w:szCs w:val="24"/>
        </w:rPr>
      </w:pPr>
      <w:r>
        <w:rPr>
          <w:rFonts w:ascii="Arial" w:eastAsia="Calibri" w:hAnsi="Arial" w:cs="Arial"/>
          <w:sz w:val="24"/>
          <w:szCs w:val="24"/>
        </w:rPr>
        <w:t>H</w:t>
      </w:r>
      <w:r w:rsidRPr="00983450">
        <w:rPr>
          <w:rFonts w:ascii="Arial" w:eastAsia="Calibri" w:hAnsi="Arial" w:cs="Arial"/>
          <w:sz w:val="24"/>
          <w:szCs w:val="24"/>
        </w:rPr>
        <w:t xml:space="preserve">aving a full </w:t>
      </w:r>
      <w:r w:rsidR="00913A57">
        <w:rPr>
          <w:rFonts w:ascii="Arial" w:eastAsia="Calibri" w:hAnsi="Arial" w:cs="Arial"/>
          <w:sz w:val="24"/>
          <w:szCs w:val="24"/>
        </w:rPr>
        <w:t>antimicrobial</w:t>
      </w:r>
      <w:r w:rsidRPr="00983450">
        <w:rPr>
          <w:rFonts w:ascii="Arial" w:eastAsia="Calibri" w:hAnsi="Arial" w:cs="Arial"/>
          <w:sz w:val="24"/>
          <w:szCs w:val="24"/>
        </w:rPr>
        <w:t xml:space="preserve"> pipeline</w:t>
      </w:r>
      <w:r w:rsidR="00913A57">
        <w:rPr>
          <w:rFonts w:ascii="Arial" w:eastAsia="Calibri" w:hAnsi="Arial" w:cs="Arial"/>
          <w:sz w:val="24"/>
          <w:szCs w:val="24"/>
        </w:rPr>
        <w:t xml:space="preserve"> as well as </w:t>
      </w:r>
      <w:r w:rsidR="00FA17C5">
        <w:rPr>
          <w:rFonts w:ascii="Arial" w:eastAsia="Calibri" w:hAnsi="Arial" w:cs="Arial"/>
          <w:sz w:val="24"/>
          <w:szCs w:val="24"/>
        </w:rPr>
        <w:t xml:space="preserve">supporting </w:t>
      </w:r>
      <w:r w:rsidR="00913A57">
        <w:rPr>
          <w:rFonts w:ascii="Arial" w:eastAsia="Calibri" w:hAnsi="Arial" w:cs="Arial"/>
          <w:sz w:val="24"/>
          <w:szCs w:val="24"/>
        </w:rPr>
        <w:t xml:space="preserve">appropriate access </w:t>
      </w:r>
      <w:r w:rsidRPr="00983450">
        <w:rPr>
          <w:rFonts w:ascii="Arial" w:eastAsia="Calibri" w:hAnsi="Arial" w:cs="Arial"/>
          <w:sz w:val="24"/>
          <w:szCs w:val="24"/>
        </w:rPr>
        <w:t xml:space="preserve">to </w:t>
      </w:r>
      <w:r w:rsidR="00913A57">
        <w:rPr>
          <w:rFonts w:ascii="Arial" w:eastAsia="Calibri" w:hAnsi="Arial" w:cs="Arial"/>
          <w:sz w:val="24"/>
          <w:szCs w:val="24"/>
        </w:rPr>
        <w:t xml:space="preserve">and stewardship of </w:t>
      </w:r>
      <w:r w:rsidRPr="00983450">
        <w:rPr>
          <w:rFonts w:ascii="Arial" w:eastAsia="Calibri" w:hAnsi="Arial" w:cs="Arial"/>
          <w:sz w:val="24"/>
          <w:szCs w:val="24"/>
        </w:rPr>
        <w:t>new and old antimicrobials</w:t>
      </w:r>
      <w:r w:rsidR="00FA17C5">
        <w:rPr>
          <w:rFonts w:ascii="Arial" w:eastAsia="Calibri" w:hAnsi="Arial" w:cs="Arial"/>
          <w:sz w:val="24"/>
          <w:szCs w:val="24"/>
        </w:rPr>
        <w:t>,</w:t>
      </w:r>
      <w:r>
        <w:rPr>
          <w:rFonts w:ascii="Arial" w:eastAsia="Calibri" w:hAnsi="Arial" w:cs="Arial"/>
          <w:sz w:val="24"/>
          <w:szCs w:val="24"/>
        </w:rPr>
        <w:t xml:space="preserve"> will contribute to the fulfilling that vision</w:t>
      </w:r>
      <w:r w:rsidRPr="00983450">
        <w:rPr>
          <w:rFonts w:ascii="Arial" w:eastAsia="Calibri" w:hAnsi="Arial" w:cs="Arial"/>
          <w:sz w:val="24"/>
          <w:szCs w:val="24"/>
        </w:rPr>
        <w:t xml:space="preserve">. </w:t>
      </w:r>
    </w:p>
    <w:p w14:paraId="4D605B6A" w14:textId="77777777" w:rsidR="00F51012" w:rsidRPr="00983450" w:rsidRDefault="00F51012" w:rsidP="00F51012">
      <w:pPr>
        <w:spacing w:after="0" w:line="240" w:lineRule="auto"/>
        <w:contextualSpacing/>
        <w:rPr>
          <w:rFonts w:ascii="Arial" w:eastAsia="Calibri" w:hAnsi="Arial" w:cs="Arial"/>
          <w:sz w:val="24"/>
          <w:szCs w:val="24"/>
        </w:rPr>
      </w:pPr>
    </w:p>
    <w:p w14:paraId="049FC79B" w14:textId="77777777" w:rsidR="00F51012" w:rsidRPr="00983450" w:rsidRDefault="00F51012" w:rsidP="00F51012">
      <w:pPr>
        <w:spacing w:after="0" w:line="240" w:lineRule="auto"/>
        <w:contextualSpacing/>
        <w:rPr>
          <w:rFonts w:ascii="Arial" w:eastAsia="Calibri" w:hAnsi="Arial" w:cs="Arial"/>
          <w:sz w:val="24"/>
          <w:szCs w:val="24"/>
        </w:rPr>
      </w:pPr>
      <w:r w:rsidRPr="00983450">
        <w:rPr>
          <w:rFonts w:ascii="Arial" w:eastAsia="Calibri" w:hAnsi="Arial" w:cs="Arial"/>
          <w:sz w:val="24"/>
          <w:szCs w:val="24"/>
        </w:rPr>
        <w:t>NICE and NHS England</w:t>
      </w:r>
      <w:r>
        <w:rPr>
          <w:rFonts w:ascii="Arial" w:eastAsia="Calibri" w:hAnsi="Arial" w:cs="Arial"/>
          <w:sz w:val="24"/>
          <w:szCs w:val="24"/>
        </w:rPr>
        <w:t xml:space="preserve"> </w:t>
      </w:r>
      <w:r w:rsidR="00FA17C5">
        <w:rPr>
          <w:rFonts w:ascii="Arial" w:eastAsia="Calibri" w:hAnsi="Arial" w:cs="Arial"/>
          <w:sz w:val="24"/>
          <w:szCs w:val="24"/>
        </w:rPr>
        <w:t>&amp;</w:t>
      </w:r>
      <w:r>
        <w:rPr>
          <w:rFonts w:ascii="Arial" w:eastAsia="Calibri" w:hAnsi="Arial" w:cs="Arial"/>
          <w:sz w:val="24"/>
          <w:szCs w:val="24"/>
        </w:rPr>
        <w:t xml:space="preserve"> </w:t>
      </w:r>
      <w:r w:rsidR="00FA17C5">
        <w:rPr>
          <w:rFonts w:ascii="Arial" w:eastAsia="Calibri" w:hAnsi="Arial" w:cs="Arial"/>
          <w:sz w:val="24"/>
          <w:szCs w:val="24"/>
        </w:rPr>
        <w:t xml:space="preserve">NHS </w:t>
      </w:r>
      <w:r>
        <w:rPr>
          <w:rFonts w:ascii="Arial" w:eastAsia="Calibri" w:hAnsi="Arial" w:cs="Arial"/>
          <w:sz w:val="24"/>
          <w:szCs w:val="24"/>
        </w:rPr>
        <w:t>Improvement</w:t>
      </w:r>
      <w:r w:rsidRPr="00983450">
        <w:rPr>
          <w:rFonts w:ascii="Arial" w:eastAsia="Calibri" w:hAnsi="Arial" w:cs="Arial"/>
          <w:sz w:val="24"/>
          <w:szCs w:val="24"/>
        </w:rPr>
        <w:t xml:space="preserve"> were key partners in developing the UK national action plan</w:t>
      </w:r>
      <w:r w:rsidR="00FA17C5">
        <w:rPr>
          <w:rFonts w:ascii="Arial" w:eastAsia="Calibri" w:hAnsi="Arial" w:cs="Arial"/>
          <w:sz w:val="24"/>
          <w:szCs w:val="24"/>
        </w:rPr>
        <w:t xml:space="preserve">. </w:t>
      </w:r>
      <w:r w:rsidRPr="00983450">
        <w:rPr>
          <w:rFonts w:ascii="Arial" w:eastAsia="Calibri" w:hAnsi="Arial" w:cs="Arial"/>
          <w:sz w:val="24"/>
          <w:szCs w:val="24"/>
        </w:rPr>
        <w:t>NHS England has committed to implementing the human health aspects of the plan through the NHS Long Term Plan.</w:t>
      </w:r>
    </w:p>
    <w:p w14:paraId="00B92D79" w14:textId="77777777" w:rsidR="00F51012" w:rsidRPr="00983450" w:rsidRDefault="00F51012" w:rsidP="00F51012">
      <w:pPr>
        <w:spacing w:after="0" w:line="240" w:lineRule="auto"/>
        <w:contextualSpacing/>
        <w:rPr>
          <w:rFonts w:ascii="Arial" w:eastAsia="Calibri" w:hAnsi="Arial" w:cs="Arial"/>
          <w:sz w:val="24"/>
          <w:szCs w:val="24"/>
        </w:rPr>
      </w:pPr>
    </w:p>
    <w:p w14:paraId="5B123C38" w14:textId="77777777" w:rsidR="00F51012" w:rsidRPr="00983450" w:rsidRDefault="00F51012" w:rsidP="00F51012">
      <w:pPr>
        <w:spacing w:after="0" w:line="240" w:lineRule="auto"/>
        <w:contextualSpacing/>
        <w:rPr>
          <w:rFonts w:ascii="Arial" w:eastAsia="Calibri" w:hAnsi="Arial" w:cs="Arial"/>
          <w:sz w:val="24"/>
          <w:szCs w:val="24"/>
        </w:rPr>
      </w:pPr>
      <w:r w:rsidRPr="00983450">
        <w:rPr>
          <w:rFonts w:ascii="Arial" w:eastAsia="Calibri" w:hAnsi="Arial" w:cs="Arial"/>
          <w:sz w:val="24"/>
          <w:szCs w:val="24"/>
        </w:rPr>
        <w:t xml:space="preserve">The national action plan commits to developing and testing a model that </w:t>
      </w:r>
      <w:r w:rsidRPr="00983450">
        <w:rPr>
          <w:rFonts w:ascii="Arial" w:eastAsia="Times New Roman" w:hAnsi="Arial" w:cs="Arial"/>
          <w:iCs/>
          <w:snapToGrid w:val="0"/>
          <w:sz w:val="24"/>
          <w:szCs w:val="24"/>
        </w:rPr>
        <w:t>pays companies for antimicrobials based primarily on their expected value to the NHS, as opposed to the actual volume used. NICE and NHS England are now jointly leading a project to deliver that commitment, working closely with the DHSC and stakeholders</w:t>
      </w:r>
      <w:r>
        <w:rPr>
          <w:rFonts w:ascii="Arial" w:eastAsia="Times New Roman" w:hAnsi="Arial" w:cs="Arial"/>
          <w:iCs/>
          <w:snapToGrid w:val="0"/>
          <w:sz w:val="24"/>
          <w:szCs w:val="24"/>
        </w:rPr>
        <w:t xml:space="preserve"> including industry</w:t>
      </w:r>
      <w:r w:rsidRPr="00983450">
        <w:rPr>
          <w:rFonts w:ascii="Arial" w:eastAsia="Times New Roman" w:hAnsi="Arial" w:cs="Arial"/>
          <w:iCs/>
          <w:snapToGrid w:val="0"/>
          <w:sz w:val="24"/>
          <w:szCs w:val="24"/>
        </w:rPr>
        <w:t>.</w:t>
      </w:r>
    </w:p>
    <w:p w14:paraId="659D1233" w14:textId="77777777" w:rsidR="00F51012" w:rsidRPr="00983450" w:rsidRDefault="00F51012" w:rsidP="00F51012">
      <w:pPr>
        <w:spacing w:after="0" w:line="240" w:lineRule="auto"/>
        <w:contextualSpacing/>
        <w:rPr>
          <w:rFonts w:ascii="Arial" w:eastAsia="Calibri" w:hAnsi="Arial" w:cs="Arial"/>
          <w:sz w:val="24"/>
          <w:szCs w:val="24"/>
        </w:rPr>
      </w:pPr>
    </w:p>
    <w:p w14:paraId="55D01C5F" w14:textId="77777777" w:rsidR="00F51012" w:rsidRPr="00983450" w:rsidRDefault="002F0BB1" w:rsidP="00F51012">
      <w:pPr>
        <w:spacing w:after="0" w:line="240" w:lineRule="auto"/>
        <w:rPr>
          <w:rFonts w:ascii="Arial" w:eastAsia="Calibri" w:hAnsi="Arial" w:cs="Arial"/>
          <w:sz w:val="24"/>
          <w:szCs w:val="24"/>
        </w:rPr>
      </w:pPr>
      <w:r>
        <w:rPr>
          <w:rFonts w:ascii="Arial" w:eastAsia="Times New Roman" w:hAnsi="Arial" w:cs="Arial"/>
          <w:sz w:val="24"/>
          <w:szCs w:val="24"/>
        </w:rPr>
        <w:t xml:space="preserve">Although the UK </w:t>
      </w:r>
      <w:r w:rsidR="00F51012" w:rsidRPr="00983450">
        <w:rPr>
          <w:rFonts w:ascii="Arial" w:eastAsia="Times New Roman" w:hAnsi="Arial" w:cs="Arial"/>
          <w:snapToGrid w:val="0"/>
          <w:sz w:val="24"/>
          <w:szCs w:val="24"/>
        </w:rPr>
        <w:t>represents only a small part of the global market for these drugs, the learning from this project</w:t>
      </w:r>
      <w:r>
        <w:rPr>
          <w:rFonts w:ascii="Arial" w:eastAsia="Times New Roman" w:hAnsi="Arial" w:cs="Arial"/>
          <w:snapToGrid w:val="0"/>
          <w:sz w:val="24"/>
          <w:szCs w:val="24"/>
        </w:rPr>
        <w:t xml:space="preserve"> will be shared</w:t>
      </w:r>
      <w:r w:rsidR="00F51012" w:rsidRPr="00983450">
        <w:rPr>
          <w:rFonts w:ascii="Arial" w:eastAsia="Times New Roman" w:hAnsi="Arial" w:cs="Arial"/>
          <w:snapToGrid w:val="0"/>
          <w:sz w:val="24"/>
          <w:szCs w:val="24"/>
        </w:rPr>
        <w:t xml:space="preserve"> with the rest of the world so </w:t>
      </w:r>
      <w:r w:rsidR="00F51012" w:rsidRPr="00983450">
        <w:rPr>
          <w:rFonts w:ascii="Arial" w:eastAsia="Times New Roman" w:hAnsi="Arial" w:cs="Arial"/>
          <w:snapToGrid w:val="0"/>
          <w:sz w:val="24"/>
          <w:szCs w:val="24"/>
        </w:rPr>
        <w:lastRenderedPageBreak/>
        <w:t>that other healthcare systems can also find workable models to support the introduction of these vital medicines.</w:t>
      </w:r>
      <w:r w:rsidR="00F51012" w:rsidRPr="00983450">
        <w:rPr>
          <w:rFonts w:ascii="Arial" w:eastAsia="Times New Roman" w:hAnsi="Arial" w:cs="Arial"/>
          <w:sz w:val="24"/>
          <w:szCs w:val="24"/>
        </w:rPr>
        <w:t xml:space="preserve"> </w:t>
      </w:r>
    </w:p>
    <w:p w14:paraId="2BDD4D4B" w14:textId="77777777" w:rsidR="00F51012" w:rsidRPr="00983450" w:rsidRDefault="00F51012" w:rsidP="00F51012">
      <w:pPr>
        <w:spacing w:after="0" w:line="240" w:lineRule="auto"/>
        <w:rPr>
          <w:rFonts w:ascii="Arial" w:eastAsia="Calibri" w:hAnsi="Arial" w:cs="Arial"/>
          <w:sz w:val="24"/>
          <w:szCs w:val="24"/>
        </w:rPr>
      </w:pPr>
    </w:p>
    <w:p w14:paraId="63EAF57C" w14:textId="1BDE8956" w:rsidR="002F0BB1" w:rsidRDefault="00F51012" w:rsidP="00F51012">
      <w:pPr>
        <w:autoSpaceDE w:val="0"/>
        <w:autoSpaceDN w:val="0"/>
        <w:adjustRightInd w:val="0"/>
        <w:spacing w:after="0" w:line="240" w:lineRule="auto"/>
        <w:rPr>
          <w:rFonts w:ascii="Arial" w:eastAsia="Times New Roman" w:hAnsi="Arial" w:cs="Arial"/>
          <w:sz w:val="24"/>
          <w:szCs w:val="24"/>
          <w:lang w:eastAsia="en-GB"/>
        </w:rPr>
      </w:pPr>
      <w:r w:rsidRPr="00983450">
        <w:rPr>
          <w:rFonts w:ascii="Arial" w:eastAsia="Calibri" w:hAnsi="Arial" w:cs="Arial"/>
          <w:sz w:val="24"/>
          <w:szCs w:val="24"/>
        </w:rPr>
        <w:t xml:space="preserve">The need to review and adapt the existing health technology assessment (HTA) approach to antibiotics is widely recognised. </w:t>
      </w:r>
      <w:r w:rsidRPr="00983450">
        <w:rPr>
          <w:rFonts w:ascii="Arial" w:eastAsia="Times New Roman" w:hAnsi="Arial" w:cs="Arial"/>
          <w:sz w:val="24"/>
          <w:szCs w:val="24"/>
          <w:lang w:eastAsia="en-GB"/>
        </w:rPr>
        <w:t xml:space="preserve">In 2018, NICE and DHSC co-sponsored research looking at </w:t>
      </w:r>
      <w:hyperlink r:id="rId8" w:history="1">
        <w:r w:rsidRPr="00D15A23">
          <w:rPr>
            <w:rStyle w:val="Hyperlink"/>
            <w:rFonts w:ascii="Arial" w:eastAsia="Times New Roman" w:hAnsi="Arial" w:cs="Arial"/>
            <w:sz w:val="24"/>
            <w:szCs w:val="24"/>
            <w:lang w:eastAsia="en-GB"/>
          </w:rPr>
          <w:t>HTA methods</w:t>
        </w:r>
      </w:hyperlink>
      <w:r w:rsidRPr="00983450">
        <w:rPr>
          <w:rFonts w:ascii="Arial" w:eastAsia="Times New Roman" w:hAnsi="Arial" w:cs="Arial"/>
          <w:sz w:val="24"/>
          <w:szCs w:val="24"/>
          <w:lang w:eastAsia="en-GB"/>
        </w:rPr>
        <w:t xml:space="preserve">. </w:t>
      </w:r>
      <w:r w:rsidRPr="00946869">
        <w:rPr>
          <w:rFonts w:ascii="Arial" w:eastAsia="Times New Roman" w:hAnsi="Arial" w:cs="Arial"/>
          <w:sz w:val="24"/>
          <w:szCs w:val="24"/>
          <w:lang w:eastAsia="en-GB"/>
        </w:rPr>
        <w:t xml:space="preserve">The work was undertaken by </w:t>
      </w:r>
      <w:r w:rsidR="00946869" w:rsidRPr="00946869">
        <w:rPr>
          <w:rFonts w:ascii="Arial" w:hAnsi="Arial" w:cs="Arial"/>
          <w:sz w:val="24"/>
          <w:szCs w:val="24"/>
          <w:lang w:eastAsia="en-GB"/>
        </w:rPr>
        <w:t xml:space="preserve">leading health economics researchers from the National Institute for Health Research (NIHR) Economic Methods of Evaluation in Health &amp; Care Interventions </w:t>
      </w:r>
      <w:r w:rsidRPr="00946869">
        <w:rPr>
          <w:rFonts w:ascii="Arial" w:eastAsia="Times New Roman" w:hAnsi="Arial" w:cs="Arial"/>
          <w:sz w:val="24"/>
          <w:szCs w:val="24"/>
          <w:lang w:eastAsia="en-GB"/>
        </w:rPr>
        <w:t>(EEPRU). The research confirmed that capturing the full value of a new antimicrobial is complex</w:t>
      </w:r>
      <w:r w:rsidR="002F0BB1" w:rsidRPr="00946869">
        <w:rPr>
          <w:rFonts w:ascii="Arial" w:eastAsia="Times New Roman" w:hAnsi="Arial" w:cs="Arial"/>
          <w:sz w:val="24"/>
          <w:szCs w:val="24"/>
          <w:lang w:eastAsia="en-GB"/>
        </w:rPr>
        <w:t>. R</w:t>
      </w:r>
      <w:r w:rsidRPr="00946869">
        <w:rPr>
          <w:rFonts w:ascii="Arial" w:eastAsia="Times New Roman" w:hAnsi="Arial" w:cs="Arial"/>
          <w:sz w:val="24"/>
          <w:szCs w:val="24"/>
          <w:lang w:eastAsia="en-GB"/>
        </w:rPr>
        <w:t xml:space="preserve">obustly estimating benefits across all attributes of value, supported by published evidence, may not always be feasible or </w:t>
      </w:r>
      <w:r w:rsidRPr="00983450">
        <w:rPr>
          <w:rFonts w:ascii="Arial" w:eastAsia="Times New Roman" w:hAnsi="Arial" w:cs="Arial"/>
          <w:sz w:val="24"/>
          <w:szCs w:val="24"/>
          <w:lang w:eastAsia="en-GB"/>
        </w:rPr>
        <w:t xml:space="preserve">practical. </w:t>
      </w:r>
    </w:p>
    <w:p w14:paraId="47D87B93" w14:textId="77777777" w:rsidR="002F0BB1" w:rsidRDefault="002F0BB1" w:rsidP="00F51012">
      <w:pPr>
        <w:autoSpaceDE w:val="0"/>
        <w:autoSpaceDN w:val="0"/>
        <w:adjustRightInd w:val="0"/>
        <w:spacing w:after="0" w:line="240" w:lineRule="auto"/>
        <w:rPr>
          <w:rFonts w:ascii="Arial" w:eastAsia="Times New Roman" w:hAnsi="Arial" w:cs="Arial"/>
          <w:sz w:val="24"/>
          <w:szCs w:val="24"/>
          <w:lang w:eastAsia="en-GB"/>
        </w:rPr>
      </w:pPr>
    </w:p>
    <w:p w14:paraId="570994F6" w14:textId="77777777" w:rsidR="00F51012" w:rsidRDefault="00F51012" w:rsidP="00F51012">
      <w:pPr>
        <w:autoSpaceDE w:val="0"/>
        <w:autoSpaceDN w:val="0"/>
        <w:adjustRightInd w:val="0"/>
        <w:spacing w:after="0" w:line="240" w:lineRule="auto"/>
        <w:rPr>
          <w:rFonts w:ascii="Arial" w:eastAsia="Times New Roman" w:hAnsi="Arial" w:cs="Arial"/>
          <w:sz w:val="24"/>
          <w:szCs w:val="24"/>
          <w:lang w:eastAsia="en-GB"/>
        </w:rPr>
      </w:pPr>
      <w:r w:rsidRPr="00983450">
        <w:rPr>
          <w:rFonts w:ascii="Arial" w:eastAsia="Times New Roman" w:hAnsi="Arial" w:cs="Arial"/>
          <w:sz w:val="24"/>
          <w:szCs w:val="24"/>
          <w:lang w:eastAsia="en-GB"/>
        </w:rPr>
        <w:t>However, it concluded that an adapted HTA framework, informed by health economic modelling and expert opinion, could be developed to capture the full value of novel antimicrobials.</w:t>
      </w:r>
    </w:p>
    <w:p w14:paraId="25A4840D" w14:textId="77777777" w:rsidR="002F0BB1" w:rsidRDefault="002F0BB1" w:rsidP="00F51012">
      <w:pPr>
        <w:autoSpaceDE w:val="0"/>
        <w:autoSpaceDN w:val="0"/>
        <w:adjustRightInd w:val="0"/>
        <w:spacing w:after="0" w:line="240" w:lineRule="auto"/>
        <w:rPr>
          <w:rFonts w:ascii="Arial" w:eastAsia="Times New Roman" w:hAnsi="Arial" w:cs="Arial"/>
          <w:sz w:val="24"/>
          <w:szCs w:val="24"/>
          <w:lang w:eastAsia="en-GB"/>
        </w:rPr>
      </w:pPr>
    </w:p>
    <w:p w14:paraId="336AA2AB" w14:textId="6BCE2174" w:rsidR="002F0BB1" w:rsidRPr="00983450" w:rsidRDefault="002F0BB1" w:rsidP="002F0BB1">
      <w:pPr>
        <w:spacing w:after="0" w:line="240" w:lineRule="auto"/>
        <w:rPr>
          <w:rFonts w:ascii="Arial" w:eastAsia="Calibri" w:hAnsi="Arial" w:cs="Arial"/>
          <w:sz w:val="24"/>
          <w:szCs w:val="24"/>
        </w:rPr>
      </w:pPr>
      <w:r>
        <w:rPr>
          <w:rFonts w:ascii="Arial" w:eastAsia="Times New Roman" w:hAnsi="Arial" w:cs="Arial"/>
          <w:sz w:val="24"/>
          <w:szCs w:val="24"/>
          <w:lang w:eastAsia="en-GB"/>
        </w:rPr>
        <w:t>NICE and NHS England &amp; NHS Improvement have now established a jointly led project</w:t>
      </w:r>
      <w:r w:rsidR="00946869">
        <w:rPr>
          <w:rFonts w:ascii="Arial" w:eastAsia="Times New Roman" w:hAnsi="Arial" w:cs="Arial"/>
          <w:sz w:val="24"/>
          <w:szCs w:val="24"/>
          <w:lang w:eastAsia="en-GB"/>
        </w:rPr>
        <w:t xml:space="preserve"> supported by EEPRU</w:t>
      </w:r>
      <w:r>
        <w:rPr>
          <w:rFonts w:ascii="Arial" w:eastAsia="Times New Roman" w:hAnsi="Arial" w:cs="Arial"/>
          <w:sz w:val="24"/>
          <w:szCs w:val="24"/>
          <w:lang w:eastAsia="en-GB"/>
        </w:rPr>
        <w:t xml:space="preserve"> </w:t>
      </w:r>
      <w:r w:rsidRPr="009C1418">
        <w:rPr>
          <w:rFonts w:ascii="Arial" w:eastAsia="Times New Roman" w:hAnsi="Arial" w:cs="Arial"/>
          <w:sz w:val="24"/>
          <w:szCs w:val="24"/>
          <w:lang w:eastAsia="en-GB"/>
        </w:rPr>
        <w:t>to develop and test innovative models for the evaluation and purchase of antimicrobials</w:t>
      </w:r>
      <w:r>
        <w:rPr>
          <w:rFonts w:ascii="Arial" w:eastAsia="Times New Roman" w:hAnsi="Arial" w:cs="Arial"/>
          <w:sz w:val="24"/>
          <w:szCs w:val="24"/>
          <w:lang w:eastAsia="en-GB"/>
        </w:rPr>
        <w:t>.</w:t>
      </w:r>
    </w:p>
    <w:p w14:paraId="10727D83" w14:textId="77777777" w:rsidR="00F51012" w:rsidRPr="00983450" w:rsidRDefault="00F51012" w:rsidP="00EE12BA">
      <w:pPr>
        <w:pStyle w:val="Heading1"/>
        <w:numPr>
          <w:ilvl w:val="0"/>
          <w:numId w:val="0"/>
        </w:numPr>
        <w:spacing w:after="0"/>
        <w:rPr>
          <w:rFonts w:eastAsia="Calibri"/>
        </w:rPr>
      </w:pPr>
      <w:r w:rsidRPr="00983450">
        <w:rPr>
          <w:rFonts w:eastAsia="Calibri"/>
        </w:rPr>
        <w:t>The project</w:t>
      </w:r>
    </w:p>
    <w:p w14:paraId="1345C809" w14:textId="77777777" w:rsidR="00F51012" w:rsidRPr="00983450" w:rsidRDefault="00F51012" w:rsidP="00F51012">
      <w:pPr>
        <w:spacing w:after="0" w:line="240" w:lineRule="auto"/>
        <w:rPr>
          <w:rFonts w:ascii="Arial" w:eastAsia="Calibri" w:hAnsi="Arial" w:cs="Arial"/>
          <w:sz w:val="24"/>
          <w:szCs w:val="24"/>
          <w:lang w:eastAsia="en-GB"/>
        </w:rPr>
      </w:pPr>
    </w:p>
    <w:p w14:paraId="7717B2A5" w14:textId="0B22E9AB" w:rsidR="00F51012" w:rsidRDefault="00F51012" w:rsidP="00F51012">
      <w:pPr>
        <w:spacing w:after="0" w:line="240" w:lineRule="auto"/>
        <w:rPr>
          <w:rFonts w:ascii="Arial" w:eastAsia="Calibri" w:hAnsi="Arial" w:cs="Arial"/>
          <w:iCs/>
          <w:color w:val="000000"/>
          <w:sz w:val="24"/>
          <w:szCs w:val="24"/>
          <w:lang w:eastAsia="en-GB"/>
        </w:rPr>
      </w:pPr>
      <w:r w:rsidRPr="00983450">
        <w:rPr>
          <w:rFonts w:ascii="Arial" w:eastAsia="Times New Roman" w:hAnsi="Arial" w:cs="Arial"/>
          <w:sz w:val="24"/>
          <w:szCs w:val="24"/>
          <w:lang w:eastAsia="en-GB"/>
        </w:rPr>
        <w:t>The project is assessing t</w:t>
      </w:r>
      <w:r w:rsidRPr="00983450">
        <w:rPr>
          <w:rFonts w:ascii="Arial" w:eastAsia="Calibri" w:hAnsi="Arial" w:cs="Arial"/>
          <w:iCs/>
          <w:color w:val="000000"/>
          <w:sz w:val="24"/>
          <w:szCs w:val="24"/>
          <w:lang w:eastAsia="en-GB"/>
        </w:rPr>
        <w:t>he extent to which the framework outlined in the EEPRU report can be used by NICE and NHS England</w:t>
      </w:r>
      <w:r w:rsidR="00D15A23">
        <w:rPr>
          <w:rFonts w:ascii="Arial" w:eastAsia="Calibri" w:hAnsi="Arial" w:cs="Arial"/>
          <w:iCs/>
          <w:color w:val="000000"/>
          <w:sz w:val="24"/>
          <w:szCs w:val="24"/>
          <w:lang w:eastAsia="en-GB"/>
        </w:rPr>
        <w:t xml:space="preserve"> </w:t>
      </w:r>
      <w:r w:rsidR="002F0BB1">
        <w:rPr>
          <w:rFonts w:ascii="Arial" w:eastAsia="Calibri" w:hAnsi="Arial" w:cs="Arial"/>
          <w:iCs/>
          <w:color w:val="000000"/>
          <w:sz w:val="24"/>
          <w:szCs w:val="24"/>
          <w:lang w:eastAsia="en-GB"/>
        </w:rPr>
        <w:t>&amp;</w:t>
      </w:r>
      <w:r w:rsidR="00D15A23">
        <w:rPr>
          <w:rFonts w:ascii="Arial" w:eastAsia="Calibri" w:hAnsi="Arial" w:cs="Arial"/>
          <w:iCs/>
          <w:color w:val="000000"/>
          <w:sz w:val="24"/>
          <w:szCs w:val="24"/>
          <w:lang w:eastAsia="en-GB"/>
        </w:rPr>
        <w:t xml:space="preserve"> NHS Improvement</w:t>
      </w:r>
      <w:r w:rsidRPr="00983450">
        <w:rPr>
          <w:rFonts w:ascii="Arial" w:eastAsia="Calibri" w:hAnsi="Arial" w:cs="Arial"/>
          <w:iCs/>
          <w:color w:val="000000"/>
          <w:sz w:val="24"/>
          <w:szCs w:val="24"/>
          <w:lang w:eastAsia="en-GB"/>
        </w:rPr>
        <w:t xml:space="preserve"> to inform </w:t>
      </w:r>
      <w:r w:rsidR="002026BA">
        <w:rPr>
          <w:rFonts w:ascii="Arial" w:eastAsia="Calibri" w:hAnsi="Arial" w:cs="Arial"/>
          <w:iCs/>
          <w:color w:val="000000"/>
          <w:sz w:val="24"/>
          <w:szCs w:val="24"/>
          <w:lang w:eastAsia="en-GB"/>
        </w:rPr>
        <w:t>the assessment</w:t>
      </w:r>
      <w:r w:rsidR="002F0BB1">
        <w:rPr>
          <w:rFonts w:ascii="Arial" w:eastAsia="Calibri" w:hAnsi="Arial" w:cs="Arial"/>
          <w:iCs/>
          <w:color w:val="000000"/>
          <w:sz w:val="24"/>
          <w:szCs w:val="24"/>
          <w:lang w:eastAsia="en-GB"/>
        </w:rPr>
        <w:t xml:space="preserve"> of </w:t>
      </w:r>
      <w:r w:rsidRPr="00983450">
        <w:rPr>
          <w:rFonts w:ascii="Arial" w:eastAsia="Calibri" w:hAnsi="Arial" w:cs="Arial"/>
          <w:iCs/>
          <w:color w:val="000000"/>
          <w:sz w:val="24"/>
          <w:szCs w:val="24"/>
          <w:lang w:eastAsia="en-GB"/>
        </w:rPr>
        <w:t>value</w:t>
      </w:r>
      <w:r w:rsidR="002F0BB1">
        <w:rPr>
          <w:rFonts w:ascii="Arial" w:eastAsia="Calibri" w:hAnsi="Arial" w:cs="Arial"/>
          <w:iCs/>
          <w:color w:val="000000"/>
          <w:sz w:val="24"/>
          <w:szCs w:val="24"/>
          <w:lang w:eastAsia="en-GB"/>
        </w:rPr>
        <w:t xml:space="preserve"> and </w:t>
      </w:r>
      <w:r w:rsidRPr="00BB4D1B">
        <w:rPr>
          <w:rFonts w:ascii="Arial" w:eastAsia="Calibri" w:hAnsi="Arial" w:cs="Arial"/>
          <w:iCs/>
          <w:color w:val="000000"/>
          <w:sz w:val="24"/>
          <w:szCs w:val="24"/>
          <w:lang w:eastAsia="en-GB"/>
        </w:rPr>
        <w:t>reimbursement</w:t>
      </w:r>
      <w:r w:rsidR="002F0BB1">
        <w:rPr>
          <w:rFonts w:ascii="Arial" w:eastAsia="Calibri" w:hAnsi="Arial" w:cs="Arial"/>
          <w:iCs/>
          <w:color w:val="000000"/>
          <w:sz w:val="24"/>
          <w:szCs w:val="24"/>
          <w:lang w:eastAsia="en-GB"/>
        </w:rPr>
        <w:t xml:space="preserve"> </w:t>
      </w:r>
      <w:r w:rsidRPr="00983450">
        <w:rPr>
          <w:rFonts w:ascii="Arial" w:eastAsia="Calibri" w:hAnsi="Arial" w:cs="Arial"/>
          <w:iCs/>
          <w:color w:val="000000"/>
          <w:sz w:val="24"/>
          <w:szCs w:val="24"/>
          <w:lang w:eastAsia="en-GB"/>
        </w:rPr>
        <w:t>decisions</w:t>
      </w:r>
      <w:r w:rsidR="002F0BB1">
        <w:rPr>
          <w:rFonts w:ascii="Arial" w:eastAsia="Calibri" w:hAnsi="Arial" w:cs="Arial"/>
          <w:iCs/>
          <w:color w:val="000000"/>
          <w:sz w:val="24"/>
          <w:szCs w:val="24"/>
          <w:lang w:eastAsia="en-GB"/>
        </w:rPr>
        <w:t xml:space="preserve"> for antimicrobials</w:t>
      </w:r>
      <w:r w:rsidRPr="00983450">
        <w:rPr>
          <w:rFonts w:ascii="Arial" w:eastAsia="Calibri" w:hAnsi="Arial" w:cs="Arial"/>
          <w:iCs/>
          <w:color w:val="000000"/>
          <w:sz w:val="24"/>
          <w:szCs w:val="24"/>
          <w:lang w:eastAsia="en-GB"/>
        </w:rPr>
        <w:t>.</w:t>
      </w:r>
    </w:p>
    <w:p w14:paraId="632D58AE" w14:textId="77777777" w:rsidR="00F51012" w:rsidRPr="00983450" w:rsidRDefault="00F51012" w:rsidP="00F51012">
      <w:pPr>
        <w:spacing w:after="0" w:line="240" w:lineRule="auto"/>
        <w:rPr>
          <w:rFonts w:ascii="Arial" w:eastAsia="Calibri" w:hAnsi="Arial" w:cs="Arial"/>
          <w:iCs/>
          <w:color w:val="000000"/>
          <w:sz w:val="24"/>
          <w:szCs w:val="24"/>
          <w:lang w:eastAsia="en-GB"/>
        </w:rPr>
      </w:pPr>
    </w:p>
    <w:p w14:paraId="5DAFE50C" w14:textId="19B68B26" w:rsidR="00F51012" w:rsidRPr="00983450" w:rsidRDefault="00F51012" w:rsidP="00F51012">
      <w:pPr>
        <w:widowControl w:val="0"/>
        <w:spacing w:after="0" w:line="240" w:lineRule="auto"/>
        <w:contextualSpacing/>
        <w:rPr>
          <w:rFonts w:ascii="Arial" w:eastAsia="Calibri" w:hAnsi="Arial" w:cs="Arial"/>
          <w:sz w:val="24"/>
          <w:szCs w:val="24"/>
        </w:rPr>
      </w:pPr>
      <w:r w:rsidRPr="00983450">
        <w:rPr>
          <w:rFonts w:ascii="Arial" w:eastAsia="Calibri" w:hAnsi="Arial" w:cs="Arial"/>
          <w:iCs/>
          <w:color w:val="000000"/>
          <w:sz w:val="24"/>
          <w:szCs w:val="24"/>
          <w:lang w:eastAsia="en-GB"/>
        </w:rPr>
        <w:t xml:space="preserve">The first phase will focus on potential adaptations to the </w:t>
      </w:r>
      <w:r w:rsidR="002F0BB1">
        <w:rPr>
          <w:rFonts w:ascii="Arial" w:eastAsia="Calibri" w:hAnsi="Arial" w:cs="Arial"/>
          <w:iCs/>
          <w:color w:val="000000"/>
          <w:sz w:val="24"/>
          <w:szCs w:val="24"/>
          <w:lang w:eastAsia="en-GB"/>
        </w:rPr>
        <w:t xml:space="preserve">current </w:t>
      </w:r>
      <w:r w:rsidRPr="00983450">
        <w:rPr>
          <w:rFonts w:ascii="Arial" w:eastAsia="Calibri" w:hAnsi="Arial" w:cs="Arial"/>
          <w:iCs/>
          <w:color w:val="000000"/>
          <w:sz w:val="24"/>
          <w:szCs w:val="24"/>
          <w:lang w:eastAsia="en-GB"/>
        </w:rPr>
        <w:t xml:space="preserve">HTA framework, the development of an outline reimbursement and payment model, and the selection of two products which will undergo the trial assessment and commercial discussions. This </w:t>
      </w:r>
      <w:r w:rsidR="002F0BB1">
        <w:rPr>
          <w:rFonts w:ascii="Arial" w:eastAsia="Calibri" w:hAnsi="Arial" w:cs="Arial"/>
          <w:iCs/>
          <w:color w:val="000000"/>
          <w:sz w:val="24"/>
          <w:szCs w:val="24"/>
          <w:lang w:eastAsia="en-GB"/>
        </w:rPr>
        <w:t xml:space="preserve">phase </w:t>
      </w:r>
      <w:r w:rsidRPr="00983450">
        <w:rPr>
          <w:rFonts w:ascii="Arial" w:eastAsia="Calibri" w:hAnsi="Arial" w:cs="Arial"/>
          <w:iCs/>
          <w:color w:val="000000"/>
          <w:sz w:val="24"/>
          <w:szCs w:val="24"/>
          <w:lang w:eastAsia="en-GB"/>
        </w:rPr>
        <w:t xml:space="preserve">is anticipated to be completed by the end of 2019. </w:t>
      </w:r>
      <w:r w:rsidRPr="00983450">
        <w:rPr>
          <w:rFonts w:ascii="Arial" w:eastAsia="Calibri" w:hAnsi="Arial" w:cs="Arial"/>
          <w:sz w:val="24"/>
          <w:szCs w:val="24"/>
        </w:rPr>
        <w:t>The reimbursement and payment model will include a strong emphasis on companies needing to ensure that optimal stewardship arrangements are maintained through the introduction of the product</w:t>
      </w:r>
      <w:r w:rsidR="00913A57">
        <w:rPr>
          <w:rFonts w:ascii="Arial" w:eastAsia="Calibri" w:hAnsi="Arial" w:cs="Arial"/>
          <w:sz w:val="24"/>
          <w:szCs w:val="24"/>
        </w:rPr>
        <w:t xml:space="preserve"> and that they are making efforts to keep environmental contamination of antimicrobials to a minimum. </w:t>
      </w:r>
      <w:r w:rsidRPr="00983450">
        <w:rPr>
          <w:rFonts w:ascii="Arial" w:eastAsia="Calibri" w:hAnsi="Arial" w:cs="Arial"/>
          <w:sz w:val="24"/>
          <w:szCs w:val="24"/>
        </w:rPr>
        <w:t xml:space="preserve"> </w:t>
      </w:r>
    </w:p>
    <w:p w14:paraId="3FF2F565" w14:textId="77777777" w:rsidR="00F51012" w:rsidRPr="00983450" w:rsidRDefault="00F51012" w:rsidP="00F51012">
      <w:pPr>
        <w:spacing w:after="0" w:line="240" w:lineRule="auto"/>
        <w:rPr>
          <w:rFonts w:ascii="Arial" w:eastAsia="Calibri" w:hAnsi="Arial" w:cs="Arial"/>
          <w:iCs/>
          <w:color w:val="000000"/>
          <w:sz w:val="24"/>
          <w:szCs w:val="24"/>
          <w:lang w:eastAsia="en-GB"/>
        </w:rPr>
      </w:pPr>
    </w:p>
    <w:p w14:paraId="66BCFD14" w14:textId="77777777" w:rsidR="00F51012" w:rsidRPr="00983450" w:rsidRDefault="00F51012" w:rsidP="00F51012">
      <w:pPr>
        <w:spacing w:after="0" w:line="240" w:lineRule="auto"/>
        <w:rPr>
          <w:rFonts w:ascii="Arial" w:eastAsia="Calibri" w:hAnsi="Arial" w:cs="Arial"/>
          <w:iCs/>
          <w:color w:val="000000"/>
          <w:sz w:val="24"/>
          <w:szCs w:val="24"/>
          <w:lang w:eastAsia="en-GB"/>
        </w:rPr>
      </w:pPr>
      <w:r w:rsidRPr="00983450">
        <w:rPr>
          <w:rFonts w:ascii="Arial" w:eastAsia="Calibri" w:hAnsi="Arial" w:cs="Arial"/>
          <w:iCs/>
          <w:color w:val="000000"/>
          <w:sz w:val="24"/>
          <w:szCs w:val="24"/>
          <w:lang w:eastAsia="en-GB"/>
        </w:rPr>
        <w:t xml:space="preserve">The second phase of the project will be the undertaking of the assessment of the two selected products, which is expected to conclude by end of 2020. </w:t>
      </w:r>
    </w:p>
    <w:p w14:paraId="7B45DCDA" w14:textId="77777777" w:rsidR="00F51012" w:rsidRPr="00983450" w:rsidRDefault="00F51012" w:rsidP="00F51012">
      <w:pPr>
        <w:tabs>
          <w:tab w:val="left" w:pos="567"/>
        </w:tabs>
        <w:spacing w:after="0" w:line="240" w:lineRule="auto"/>
        <w:rPr>
          <w:rFonts w:ascii="Arial" w:eastAsia="Times New Roman" w:hAnsi="Arial" w:cs="Arial"/>
          <w:sz w:val="24"/>
          <w:szCs w:val="24"/>
          <w:lang w:eastAsia="en-GB"/>
        </w:rPr>
      </w:pPr>
    </w:p>
    <w:p w14:paraId="42368950" w14:textId="77777777" w:rsidR="00F51012" w:rsidRPr="00983450" w:rsidRDefault="00F51012" w:rsidP="00F51012">
      <w:pPr>
        <w:spacing w:after="0" w:line="240" w:lineRule="auto"/>
        <w:rPr>
          <w:rFonts w:ascii="Arial" w:eastAsia="Calibri" w:hAnsi="Arial" w:cs="Arial"/>
          <w:sz w:val="24"/>
          <w:szCs w:val="24"/>
          <w:lang w:eastAsia="en-GB"/>
        </w:rPr>
      </w:pPr>
      <w:r w:rsidRPr="00983450">
        <w:rPr>
          <w:rFonts w:ascii="Arial" w:eastAsia="Calibri" w:hAnsi="Arial" w:cs="Arial"/>
          <w:iCs/>
          <w:color w:val="000000"/>
          <w:sz w:val="24"/>
          <w:szCs w:val="24"/>
          <w:lang w:eastAsia="en-GB"/>
        </w:rPr>
        <w:t xml:space="preserve">The project will be evaluated to consider </w:t>
      </w:r>
      <w:r w:rsidRPr="00983450">
        <w:rPr>
          <w:rFonts w:ascii="Arial" w:eastAsia="Calibri" w:hAnsi="Arial" w:cs="Arial"/>
          <w:sz w:val="24"/>
          <w:szCs w:val="24"/>
          <w:lang w:eastAsia="en-GB"/>
        </w:rPr>
        <w:t xml:space="preserve">how successfully the challenges of assessing the value for an antimicrobial can be addressed through adaptations to the current HTA framework, and different approaches to pricing and reimbursement. </w:t>
      </w:r>
    </w:p>
    <w:p w14:paraId="413E8E1D" w14:textId="77777777" w:rsidR="00F51012" w:rsidRPr="00983450" w:rsidRDefault="00F51012" w:rsidP="00F51012">
      <w:pPr>
        <w:spacing w:after="0" w:line="240" w:lineRule="auto"/>
        <w:rPr>
          <w:rFonts w:ascii="Arial" w:eastAsia="Calibri" w:hAnsi="Arial" w:cs="Arial"/>
          <w:sz w:val="24"/>
          <w:szCs w:val="24"/>
          <w:lang w:eastAsia="en-GB"/>
        </w:rPr>
      </w:pPr>
    </w:p>
    <w:p w14:paraId="17DED663" w14:textId="77777777" w:rsidR="00F51012" w:rsidRPr="00983450" w:rsidRDefault="00F51012" w:rsidP="00F51012">
      <w:pPr>
        <w:spacing w:after="0" w:line="240" w:lineRule="auto"/>
        <w:rPr>
          <w:rFonts w:ascii="Arial" w:eastAsia="Calibri" w:hAnsi="Arial" w:cs="Times New Roman"/>
          <w:sz w:val="24"/>
          <w:szCs w:val="24"/>
        </w:rPr>
      </w:pPr>
      <w:r w:rsidRPr="00983450">
        <w:rPr>
          <w:rFonts w:ascii="Arial" w:eastAsia="Calibri" w:hAnsi="Arial" w:cs="Times New Roman"/>
          <w:sz w:val="24"/>
          <w:szCs w:val="24"/>
        </w:rPr>
        <w:t>Evaluation and communication will be ongoing throughout the project and the evaluation will be critical in shaping UK policy on the wider application of the model.</w:t>
      </w:r>
    </w:p>
    <w:p w14:paraId="5AD3645D" w14:textId="77777777" w:rsidR="00F51012" w:rsidRPr="00983450" w:rsidRDefault="00F51012" w:rsidP="00F51012">
      <w:pPr>
        <w:spacing w:after="0" w:line="240" w:lineRule="auto"/>
        <w:rPr>
          <w:rFonts w:ascii="Arial" w:eastAsia="Calibri" w:hAnsi="Arial" w:cs="Times New Roman"/>
          <w:sz w:val="24"/>
          <w:szCs w:val="24"/>
        </w:rPr>
      </w:pPr>
    </w:p>
    <w:p w14:paraId="7ABE19CD" w14:textId="77777777" w:rsidR="00F51012" w:rsidRDefault="00F51012" w:rsidP="00F51012">
      <w:pPr>
        <w:tabs>
          <w:tab w:val="left" w:pos="426"/>
        </w:tabs>
        <w:spacing w:after="0" w:line="240" w:lineRule="auto"/>
        <w:ind w:left="142" w:hanging="142"/>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The nine main workstreams of the project can be summarised as follows:</w:t>
      </w:r>
    </w:p>
    <w:p w14:paraId="69F0BB64" w14:textId="77777777" w:rsidR="00F51012" w:rsidRPr="00983450" w:rsidRDefault="00F51012" w:rsidP="00F51012">
      <w:pPr>
        <w:tabs>
          <w:tab w:val="left" w:pos="426"/>
        </w:tabs>
        <w:spacing w:after="0" w:line="240" w:lineRule="auto"/>
        <w:ind w:left="142" w:hanging="142"/>
        <w:rPr>
          <w:rFonts w:ascii="Arial" w:eastAsia="Times New Roman" w:hAnsi="Arial" w:cs="Times New Roman"/>
          <w:sz w:val="24"/>
          <w:szCs w:val="24"/>
          <w:lang w:eastAsia="en-GB"/>
        </w:rPr>
      </w:pPr>
    </w:p>
    <w:p w14:paraId="5351D726" w14:textId="77777777" w:rsidR="00F51012" w:rsidRPr="00983450" w:rsidRDefault="00F51012" w:rsidP="00F51012">
      <w:pPr>
        <w:tabs>
          <w:tab w:val="left" w:pos="426"/>
        </w:tabs>
        <w:spacing w:after="0" w:line="240" w:lineRule="auto"/>
        <w:ind w:left="568" w:hanging="142"/>
        <w:rPr>
          <w:rFonts w:ascii="Arial" w:eastAsia="Times New Roman" w:hAnsi="Arial" w:cs="Times New Roman"/>
          <w:i/>
          <w:sz w:val="24"/>
          <w:szCs w:val="24"/>
          <w:lang w:eastAsia="en-GB"/>
        </w:rPr>
      </w:pPr>
      <w:r w:rsidRPr="00983450">
        <w:rPr>
          <w:rFonts w:ascii="Arial" w:eastAsia="Times New Roman" w:hAnsi="Arial" w:cs="Times New Roman"/>
          <w:i/>
          <w:sz w:val="24"/>
          <w:szCs w:val="24"/>
          <w:lang w:eastAsia="en-GB"/>
        </w:rPr>
        <w:t>Phase one:</w:t>
      </w:r>
    </w:p>
    <w:p w14:paraId="05B7B542" w14:textId="77777777" w:rsidR="00F51012" w:rsidRPr="00983450" w:rsidRDefault="00F51012" w:rsidP="00F51012">
      <w:pPr>
        <w:numPr>
          <w:ilvl w:val="0"/>
          <w:numId w:val="1"/>
        </w:numPr>
        <w:tabs>
          <w:tab w:val="left" w:pos="426"/>
        </w:tabs>
        <w:spacing w:after="0" w:line="240" w:lineRule="auto"/>
        <w:ind w:left="1146"/>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Development of an evaluation framework</w:t>
      </w:r>
    </w:p>
    <w:p w14:paraId="73B16064"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Development of a framework for negotiating levels of delinked payments</w:t>
      </w:r>
    </w:p>
    <w:p w14:paraId="76CBDE1A"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 xml:space="preserve">Identification of two products to assess. </w:t>
      </w:r>
    </w:p>
    <w:p w14:paraId="06147C5E" w14:textId="77777777" w:rsidR="00F51012" w:rsidRPr="00983450" w:rsidRDefault="00F51012" w:rsidP="00F51012">
      <w:pPr>
        <w:tabs>
          <w:tab w:val="left" w:pos="426"/>
        </w:tabs>
        <w:spacing w:after="0" w:line="240" w:lineRule="auto"/>
        <w:ind w:left="568" w:hanging="142"/>
        <w:rPr>
          <w:rFonts w:ascii="Arial" w:eastAsia="Times New Roman" w:hAnsi="Arial" w:cs="Times New Roman"/>
          <w:i/>
          <w:sz w:val="24"/>
          <w:szCs w:val="24"/>
          <w:lang w:eastAsia="en-GB"/>
        </w:rPr>
      </w:pPr>
      <w:r w:rsidRPr="00983450">
        <w:rPr>
          <w:rFonts w:ascii="Arial" w:eastAsia="Times New Roman" w:hAnsi="Arial" w:cs="Times New Roman"/>
          <w:i/>
          <w:sz w:val="24"/>
          <w:szCs w:val="24"/>
          <w:lang w:eastAsia="en-GB"/>
        </w:rPr>
        <w:t>Phase two:</w:t>
      </w:r>
    </w:p>
    <w:p w14:paraId="5FAC726E" w14:textId="02FCA03C" w:rsidR="001D5BA3" w:rsidRPr="00983450" w:rsidRDefault="00F51012" w:rsidP="001D5BA3">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The value assessment of the selected products</w:t>
      </w:r>
      <w:r w:rsidR="001D5BA3">
        <w:rPr>
          <w:rFonts w:ascii="Arial" w:eastAsia="Times New Roman" w:hAnsi="Arial" w:cs="Times New Roman"/>
          <w:sz w:val="24"/>
          <w:szCs w:val="24"/>
          <w:lang w:eastAsia="en-GB"/>
        </w:rPr>
        <w:t>, including the development of NICE guidance by a Committee convened for the project</w:t>
      </w:r>
    </w:p>
    <w:p w14:paraId="55D03E62" w14:textId="06AB6658"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 xml:space="preserve">Commercial </w:t>
      </w:r>
      <w:r w:rsidR="002D6B86">
        <w:rPr>
          <w:rFonts w:ascii="Arial" w:eastAsia="Times New Roman" w:hAnsi="Arial" w:cs="Times New Roman"/>
          <w:sz w:val="24"/>
          <w:szCs w:val="24"/>
          <w:lang w:eastAsia="en-GB"/>
        </w:rPr>
        <w:t>discussion</w:t>
      </w:r>
      <w:r w:rsidR="002D6B86" w:rsidRPr="00983450">
        <w:rPr>
          <w:rFonts w:ascii="Arial" w:eastAsia="Times New Roman" w:hAnsi="Arial" w:cs="Times New Roman"/>
          <w:sz w:val="24"/>
          <w:szCs w:val="24"/>
          <w:lang w:eastAsia="en-GB"/>
        </w:rPr>
        <w:t xml:space="preserve"> </w:t>
      </w:r>
      <w:r w:rsidR="002D6B86">
        <w:rPr>
          <w:rFonts w:ascii="Arial" w:eastAsia="Times New Roman" w:hAnsi="Arial" w:cs="Times New Roman"/>
          <w:sz w:val="24"/>
          <w:szCs w:val="24"/>
          <w:lang w:eastAsia="en-GB"/>
        </w:rPr>
        <w:t>on the</w:t>
      </w:r>
      <w:r w:rsidRPr="00983450">
        <w:rPr>
          <w:rFonts w:ascii="Arial" w:eastAsia="Times New Roman" w:hAnsi="Arial" w:cs="Times New Roman"/>
          <w:sz w:val="24"/>
          <w:szCs w:val="24"/>
          <w:lang w:eastAsia="en-GB"/>
        </w:rPr>
        <w:t xml:space="preserve"> selected products</w:t>
      </w:r>
      <w:r w:rsidR="001D5BA3">
        <w:rPr>
          <w:rFonts w:ascii="Arial" w:eastAsia="Times New Roman" w:hAnsi="Arial" w:cs="Times New Roman"/>
          <w:sz w:val="24"/>
          <w:szCs w:val="24"/>
          <w:lang w:eastAsia="en-GB"/>
        </w:rPr>
        <w:t xml:space="preserve"> informed by the NICE guidance </w:t>
      </w:r>
    </w:p>
    <w:p w14:paraId="30F6265F"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Implementation of payments</w:t>
      </w:r>
    </w:p>
    <w:p w14:paraId="6E2ACC25"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Monitoring the use of the selected products</w:t>
      </w:r>
    </w:p>
    <w:p w14:paraId="7AE6AC23" w14:textId="77777777" w:rsidR="00F51012" w:rsidRPr="00983450" w:rsidRDefault="00F51012" w:rsidP="00F51012">
      <w:pPr>
        <w:tabs>
          <w:tab w:val="left" w:pos="426"/>
        </w:tabs>
        <w:spacing w:after="0" w:line="240" w:lineRule="auto"/>
        <w:ind w:left="568" w:hanging="142"/>
        <w:rPr>
          <w:rFonts w:ascii="Arial" w:eastAsia="Times New Roman" w:hAnsi="Arial" w:cs="Times New Roman"/>
          <w:i/>
          <w:sz w:val="24"/>
          <w:szCs w:val="24"/>
          <w:lang w:eastAsia="en-GB"/>
        </w:rPr>
      </w:pPr>
      <w:r w:rsidRPr="00983450">
        <w:rPr>
          <w:rFonts w:ascii="Arial" w:eastAsia="Times New Roman" w:hAnsi="Arial" w:cs="Times New Roman"/>
          <w:i/>
          <w:sz w:val="24"/>
          <w:szCs w:val="24"/>
          <w:lang w:eastAsia="en-GB"/>
        </w:rPr>
        <w:t>Throughout the project:</w:t>
      </w:r>
    </w:p>
    <w:p w14:paraId="7E66AEED"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 xml:space="preserve">Evaluation of the project  </w:t>
      </w:r>
    </w:p>
    <w:p w14:paraId="4451AFCF" w14:textId="77777777" w:rsidR="00F51012" w:rsidRPr="00983450" w:rsidRDefault="00F51012" w:rsidP="00F51012">
      <w:pPr>
        <w:numPr>
          <w:ilvl w:val="0"/>
          <w:numId w:val="1"/>
        </w:numPr>
        <w:tabs>
          <w:tab w:val="left" w:pos="426"/>
        </w:tabs>
        <w:spacing w:after="0" w:line="240" w:lineRule="auto"/>
        <w:ind w:left="1140" w:hanging="357"/>
        <w:contextualSpacing/>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 xml:space="preserve">Communication of the project and ongoing learning. </w:t>
      </w:r>
    </w:p>
    <w:p w14:paraId="0CD27FD4" w14:textId="77777777" w:rsidR="00F51012" w:rsidRPr="00983450" w:rsidRDefault="00F51012" w:rsidP="00F51012">
      <w:pPr>
        <w:spacing w:after="0" w:line="240" w:lineRule="auto"/>
        <w:rPr>
          <w:rFonts w:ascii="Arial" w:eastAsia="Calibri" w:hAnsi="Arial" w:cs="Times New Roman"/>
          <w:sz w:val="24"/>
          <w:szCs w:val="24"/>
        </w:rPr>
      </w:pPr>
    </w:p>
    <w:p w14:paraId="027EA383" w14:textId="77777777" w:rsidR="00F51012" w:rsidRDefault="00F51012" w:rsidP="00F51012">
      <w:pPr>
        <w:tabs>
          <w:tab w:val="left" w:pos="426"/>
        </w:tabs>
        <w:spacing w:after="0" w:line="240" w:lineRule="auto"/>
        <w:rPr>
          <w:rFonts w:ascii="Arial" w:eastAsia="Times New Roman" w:hAnsi="Arial" w:cs="Times New Roman"/>
          <w:sz w:val="24"/>
          <w:szCs w:val="24"/>
          <w:lang w:eastAsia="en-GB"/>
        </w:rPr>
      </w:pPr>
      <w:r w:rsidRPr="00983450">
        <w:rPr>
          <w:rFonts w:ascii="Arial" w:eastAsia="Times New Roman" w:hAnsi="Arial" w:cs="Times New Roman"/>
          <w:sz w:val="24"/>
          <w:szCs w:val="24"/>
          <w:lang w:eastAsia="en-GB"/>
        </w:rPr>
        <w:t xml:space="preserve">A central project team has been established across NICE and NHS England to lead the work, and to facilitate input from experts and a wide range of stakeholders.  </w:t>
      </w:r>
    </w:p>
    <w:p w14:paraId="4F53949B" w14:textId="77777777" w:rsidR="00F51012" w:rsidRDefault="00F51012" w:rsidP="00F51012">
      <w:pPr>
        <w:tabs>
          <w:tab w:val="left" w:pos="426"/>
        </w:tabs>
        <w:spacing w:after="0" w:line="240" w:lineRule="auto"/>
        <w:rPr>
          <w:rFonts w:ascii="Arial" w:eastAsia="Times New Roman" w:hAnsi="Arial" w:cs="Times New Roman"/>
          <w:sz w:val="24"/>
          <w:szCs w:val="24"/>
          <w:lang w:eastAsia="en-GB"/>
        </w:rPr>
      </w:pPr>
    </w:p>
    <w:p w14:paraId="5478EB1B" w14:textId="77777777" w:rsidR="002F0BB1" w:rsidRPr="009C1418" w:rsidRDefault="002F0BB1" w:rsidP="00EE12BA">
      <w:pPr>
        <w:pStyle w:val="Heading1"/>
        <w:numPr>
          <w:ilvl w:val="0"/>
          <w:numId w:val="0"/>
        </w:numPr>
        <w:rPr>
          <w:lang w:eastAsia="en-GB"/>
        </w:rPr>
      </w:pPr>
      <w:r>
        <w:rPr>
          <w:lang w:eastAsia="en-GB"/>
        </w:rPr>
        <w:t>Next Steps</w:t>
      </w:r>
    </w:p>
    <w:p w14:paraId="3DE051C3" w14:textId="77777777" w:rsidR="002F0BB1" w:rsidRDefault="002F0BB1" w:rsidP="00F51012">
      <w:pPr>
        <w:tabs>
          <w:tab w:val="left" w:pos="426"/>
        </w:tabs>
        <w:spacing w:after="0" w:line="240" w:lineRule="auto"/>
        <w:rPr>
          <w:rFonts w:ascii="Arial" w:eastAsia="Times New Roman" w:hAnsi="Arial" w:cs="Times New Roman"/>
          <w:i/>
          <w:sz w:val="24"/>
          <w:szCs w:val="24"/>
          <w:lang w:eastAsia="en-GB"/>
        </w:rPr>
      </w:pPr>
    </w:p>
    <w:p w14:paraId="61AD6F58" w14:textId="77777777" w:rsidR="00F51012" w:rsidRPr="00EE12BA" w:rsidRDefault="00F51012" w:rsidP="00EE12BA">
      <w:pPr>
        <w:pStyle w:val="Heading2"/>
        <w:numPr>
          <w:ilvl w:val="0"/>
          <w:numId w:val="0"/>
        </w:numPr>
        <w:rPr>
          <w:sz w:val="24"/>
          <w:szCs w:val="24"/>
          <w:lang w:eastAsia="en-GB"/>
        </w:rPr>
      </w:pPr>
      <w:r w:rsidRPr="00EE12BA">
        <w:rPr>
          <w:sz w:val="24"/>
          <w:szCs w:val="24"/>
          <w:lang w:eastAsia="en-GB"/>
        </w:rPr>
        <w:t>Call for products</w:t>
      </w:r>
    </w:p>
    <w:p w14:paraId="5F2D1653" w14:textId="77777777" w:rsidR="00F51012" w:rsidRPr="005B4484" w:rsidRDefault="00F51012" w:rsidP="00F51012">
      <w:pPr>
        <w:tabs>
          <w:tab w:val="left" w:pos="426"/>
        </w:tabs>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Two antimicrobials will be used to test the evaluation and commercial arrangements through this project; it is therefore important that companies have notified the project team if they have a product which could be considered through this process.  If a company has not yet notified NICE and NHS England &amp; NHS Improvement of a product to be considered, they should get in contact with </w:t>
      </w:r>
      <w:hyperlink r:id="rId9" w:history="1">
        <w:r w:rsidRPr="008E0E33">
          <w:rPr>
            <w:rStyle w:val="Hyperlink"/>
            <w:rFonts w:ascii="Arial" w:eastAsia="Times New Roman" w:hAnsi="Arial" w:cs="Times New Roman"/>
            <w:sz w:val="24"/>
            <w:szCs w:val="24"/>
            <w:lang w:eastAsia="en-GB"/>
          </w:rPr>
          <w:t>ABpaymentmodels@nice.org.uk</w:t>
        </w:r>
      </w:hyperlink>
    </w:p>
    <w:p w14:paraId="5FBE5DCB" w14:textId="77777777" w:rsidR="00F51012" w:rsidRDefault="00F51012" w:rsidP="00F51012">
      <w:pPr>
        <w:tabs>
          <w:tab w:val="left" w:pos="426"/>
        </w:tabs>
        <w:spacing w:after="0" w:line="240" w:lineRule="auto"/>
        <w:rPr>
          <w:rFonts w:ascii="Arial" w:eastAsia="Times New Roman" w:hAnsi="Arial" w:cs="Times New Roman"/>
          <w:i/>
          <w:sz w:val="24"/>
          <w:szCs w:val="24"/>
          <w:lang w:eastAsia="en-GB"/>
        </w:rPr>
      </w:pPr>
    </w:p>
    <w:p w14:paraId="25212750" w14:textId="77777777" w:rsidR="00F51012" w:rsidRPr="00EE12BA" w:rsidRDefault="00F51012" w:rsidP="00EE12BA">
      <w:pPr>
        <w:pStyle w:val="Heading2"/>
        <w:numPr>
          <w:ilvl w:val="0"/>
          <w:numId w:val="0"/>
        </w:numPr>
        <w:rPr>
          <w:sz w:val="24"/>
          <w:szCs w:val="24"/>
          <w:lang w:eastAsia="en-GB"/>
        </w:rPr>
      </w:pPr>
      <w:r w:rsidRPr="00EE12BA">
        <w:rPr>
          <w:sz w:val="24"/>
          <w:szCs w:val="24"/>
          <w:lang w:eastAsia="en-GB"/>
        </w:rPr>
        <w:t>Targeted engagement</w:t>
      </w:r>
    </w:p>
    <w:p w14:paraId="5B3C3E91" w14:textId="77777777" w:rsidR="00F51012" w:rsidRPr="00983450" w:rsidRDefault="00F51012" w:rsidP="00F51012">
      <w:pPr>
        <w:spacing w:after="0" w:line="240" w:lineRule="auto"/>
        <w:rPr>
          <w:rFonts w:ascii="Arial" w:eastAsia="Calibri" w:hAnsi="Arial" w:cs="Arial"/>
          <w:sz w:val="24"/>
          <w:szCs w:val="24"/>
          <w:lang w:eastAsia="en-GB"/>
        </w:rPr>
      </w:pPr>
      <w:r w:rsidRPr="00983450">
        <w:rPr>
          <w:rFonts w:ascii="Arial" w:eastAsia="Calibri" w:hAnsi="Arial" w:cs="Arial"/>
          <w:sz w:val="24"/>
          <w:szCs w:val="24"/>
          <w:lang w:eastAsia="en-GB"/>
        </w:rPr>
        <w:t xml:space="preserve">A stakeholder advisory group will shortly be established </w:t>
      </w:r>
      <w:r w:rsidRPr="00983450">
        <w:rPr>
          <w:rFonts w:ascii="Arial" w:eastAsia="Calibri" w:hAnsi="Arial" w:cs="Times New Roman"/>
          <w:sz w:val="24"/>
          <w:szCs w:val="24"/>
        </w:rPr>
        <w:t xml:space="preserve">bringing together industry, public health experts, experts in the clinical and health economic evaluation of vaccines, </w:t>
      </w:r>
      <w:r w:rsidRPr="00983450">
        <w:rPr>
          <w:rFonts w:ascii="Arial" w:eastAsia="Calibri" w:hAnsi="Arial" w:cs="Arial"/>
          <w:sz w:val="24"/>
          <w:szCs w:val="24"/>
          <w:lang w:eastAsia="en-GB"/>
        </w:rPr>
        <w:t>with a wide range of national and international representatives to provide advice and challenge to all aspects of the project and to act as global advocates to champion the approach and disseminate learning.</w:t>
      </w:r>
      <w:r w:rsidRPr="00983450">
        <w:rPr>
          <w:rFonts w:ascii="Arial" w:eastAsia="Calibri" w:hAnsi="Arial" w:cs="Times New Roman"/>
          <w:sz w:val="24"/>
          <w:szCs w:val="24"/>
        </w:rPr>
        <w:t xml:space="preserve"> </w:t>
      </w:r>
    </w:p>
    <w:p w14:paraId="31391772" w14:textId="77777777" w:rsidR="00F51012" w:rsidRPr="00983450" w:rsidRDefault="00F51012" w:rsidP="00F51012">
      <w:pPr>
        <w:spacing w:after="0" w:line="240" w:lineRule="auto"/>
        <w:rPr>
          <w:rFonts w:ascii="Arial" w:eastAsia="Calibri" w:hAnsi="Arial" w:cs="Arial"/>
          <w:i/>
          <w:iCs/>
          <w:color w:val="000000"/>
        </w:rPr>
      </w:pPr>
    </w:p>
    <w:p w14:paraId="764530ED" w14:textId="77777777" w:rsidR="00F51012" w:rsidRDefault="00F51012" w:rsidP="00F51012">
      <w:pPr>
        <w:spacing w:after="0" w:line="240" w:lineRule="auto"/>
        <w:rPr>
          <w:rFonts w:ascii="Arial" w:eastAsia="Calibri" w:hAnsi="Arial" w:cs="Arial"/>
          <w:iCs/>
          <w:color w:val="000000"/>
          <w:sz w:val="24"/>
          <w:szCs w:val="24"/>
        </w:rPr>
      </w:pPr>
      <w:r>
        <w:rPr>
          <w:rFonts w:ascii="Arial" w:eastAsia="Calibri" w:hAnsi="Arial" w:cs="Arial"/>
          <w:iCs/>
          <w:color w:val="000000"/>
          <w:sz w:val="24"/>
          <w:szCs w:val="24"/>
        </w:rPr>
        <w:lastRenderedPageBreak/>
        <w:t xml:space="preserve">This group will be used to support a period of targeted engagement which will shortly begin, to secure stakeholder input into the development of key areas of the project, including the proposed approach for topic selection, the approach to evaluation, and the outline commercial model.  </w:t>
      </w:r>
    </w:p>
    <w:p w14:paraId="5772DCFF" w14:textId="77777777" w:rsidR="00F51012" w:rsidRDefault="00F51012" w:rsidP="00F51012">
      <w:pPr>
        <w:spacing w:after="0" w:line="240" w:lineRule="auto"/>
        <w:rPr>
          <w:rFonts w:ascii="Arial" w:eastAsia="Calibri" w:hAnsi="Arial" w:cs="Arial"/>
          <w:iCs/>
          <w:color w:val="000000"/>
          <w:sz w:val="24"/>
          <w:szCs w:val="24"/>
        </w:rPr>
      </w:pPr>
    </w:p>
    <w:p w14:paraId="6C9507DD" w14:textId="77777777" w:rsidR="00F51012" w:rsidRDefault="00F51012" w:rsidP="00F51012">
      <w:pPr>
        <w:tabs>
          <w:tab w:val="left" w:pos="426"/>
        </w:tabs>
        <w:spacing w:after="0" w:line="240" w:lineRule="auto"/>
        <w:rPr>
          <w:rFonts w:cs="Arial"/>
        </w:rPr>
      </w:pPr>
      <w:r w:rsidRPr="00983450">
        <w:rPr>
          <w:rFonts w:ascii="Arial" w:eastAsia="Times New Roman" w:hAnsi="Arial" w:cs="Times New Roman"/>
          <w:sz w:val="24"/>
          <w:szCs w:val="24"/>
          <w:lang w:eastAsia="en-GB"/>
        </w:rPr>
        <w:t xml:space="preserve">NICE, NHS England </w:t>
      </w:r>
      <w:r w:rsidR="002F0BB1">
        <w:rPr>
          <w:rFonts w:ascii="Arial" w:eastAsia="Times New Roman" w:hAnsi="Arial" w:cs="Times New Roman"/>
          <w:sz w:val="24"/>
          <w:szCs w:val="24"/>
          <w:lang w:eastAsia="en-GB"/>
        </w:rPr>
        <w:t xml:space="preserve">&amp; NHS Improvement </w:t>
      </w:r>
      <w:r w:rsidRPr="00983450">
        <w:rPr>
          <w:rFonts w:ascii="Arial" w:eastAsia="Times New Roman" w:hAnsi="Arial" w:cs="Times New Roman"/>
          <w:sz w:val="24"/>
          <w:szCs w:val="24"/>
          <w:lang w:eastAsia="en-GB"/>
        </w:rPr>
        <w:t xml:space="preserve">and DHSC will work closely to ensure that the findings of the project are communicated in a timely way both to support the development of other payment models internationally and to ensure that pharmaceutical industry and other stakeholders have a clear understanding of the progress and evaluation of the project.  </w:t>
      </w:r>
      <w:bookmarkEnd w:id="0"/>
    </w:p>
    <w:p w14:paraId="2C5B9256" w14:textId="4E38DDFC" w:rsidR="000E23F2" w:rsidRDefault="00DB5044"/>
    <w:p w14:paraId="223310E6" w14:textId="59148EDC" w:rsidR="00DB5044" w:rsidRPr="00DB5044" w:rsidRDefault="00DB5044" w:rsidP="00DB5044">
      <w:pPr>
        <w:spacing w:after="0"/>
        <w:rPr>
          <w:rFonts w:ascii="Arial" w:hAnsi="Arial" w:cs="Arial"/>
        </w:rPr>
      </w:pPr>
      <w:r w:rsidRPr="00DB5044">
        <w:rPr>
          <w:rFonts w:ascii="Arial" w:hAnsi="Arial" w:cs="Arial"/>
        </w:rPr>
        <w:t>Andrew Dillon</w:t>
      </w:r>
      <w:r>
        <w:rPr>
          <w:rFonts w:ascii="Arial" w:hAnsi="Arial" w:cs="Arial"/>
        </w:rPr>
        <w:tab/>
      </w:r>
      <w:r>
        <w:rPr>
          <w:rFonts w:ascii="Arial" w:hAnsi="Arial" w:cs="Arial"/>
        </w:rPr>
        <w:tab/>
      </w:r>
      <w:r>
        <w:rPr>
          <w:rFonts w:ascii="Arial" w:hAnsi="Arial" w:cs="Arial"/>
        </w:rPr>
        <w:tab/>
      </w:r>
      <w:r>
        <w:rPr>
          <w:rFonts w:ascii="Arial" w:hAnsi="Arial" w:cs="Arial"/>
        </w:rPr>
        <w:tab/>
        <w:t xml:space="preserve">Stephen </w:t>
      </w:r>
      <w:proofErr w:type="spellStart"/>
      <w:r>
        <w:rPr>
          <w:rFonts w:ascii="Arial" w:hAnsi="Arial" w:cs="Arial"/>
        </w:rPr>
        <w:t>Powis</w:t>
      </w:r>
      <w:proofErr w:type="spellEnd"/>
    </w:p>
    <w:p w14:paraId="2F9D53AE" w14:textId="04B983CA" w:rsidR="00DB5044" w:rsidRPr="00DB5044" w:rsidRDefault="00DB5044" w:rsidP="00DB5044">
      <w:pPr>
        <w:spacing w:after="0"/>
        <w:rPr>
          <w:rFonts w:ascii="Arial" w:hAnsi="Arial" w:cs="Arial"/>
        </w:rPr>
      </w:pPr>
      <w:r w:rsidRPr="00DB5044">
        <w:rPr>
          <w:rFonts w:ascii="Arial" w:hAnsi="Arial" w:cs="Arial"/>
        </w:rPr>
        <w:t>Chief Executive</w:t>
      </w:r>
      <w:r>
        <w:rPr>
          <w:rFonts w:ascii="Arial" w:hAnsi="Arial" w:cs="Arial"/>
        </w:rPr>
        <w:t>, NICE</w:t>
      </w:r>
      <w:r>
        <w:rPr>
          <w:rFonts w:ascii="Arial" w:hAnsi="Arial" w:cs="Arial"/>
        </w:rPr>
        <w:tab/>
      </w:r>
      <w:r>
        <w:rPr>
          <w:rFonts w:ascii="Arial" w:hAnsi="Arial" w:cs="Arial"/>
        </w:rPr>
        <w:tab/>
      </w:r>
      <w:bookmarkStart w:id="2" w:name="_GoBack"/>
      <w:bookmarkEnd w:id="2"/>
      <w:r>
        <w:rPr>
          <w:rFonts w:ascii="Arial" w:hAnsi="Arial" w:cs="Arial"/>
        </w:rPr>
        <w:t>National Medical Director, NHS England</w:t>
      </w:r>
    </w:p>
    <w:p w14:paraId="247597A5" w14:textId="4C7994F8" w:rsidR="00DB5044" w:rsidRPr="00DB5044" w:rsidRDefault="00DB5044" w:rsidP="00DB5044">
      <w:pPr>
        <w:spacing w:after="0"/>
        <w:rPr>
          <w:rFonts w:ascii="Arial" w:hAnsi="Arial" w:cs="Arial"/>
        </w:rPr>
      </w:pPr>
    </w:p>
    <w:sectPr w:rsidR="00DB5044" w:rsidRPr="00DB5044" w:rsidSect="00525B9E">
      <w:headerReference w:type="default" r:id="rId10"/>
      <w:footerReference w:type="default" r:id="rId11"/>
      <w:pgSz w:w="12240" w:h="15840"/>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2866" w14:textId="77777777" w:rsidR="00F823EA" w:rsidRDefault="00F823EA" w:rsidP="00BB4D1B">
      <w:pPr>
        <w:spacing w:after="0" w:line="240" w:lineRule="auto"/>
      </w:pPr>
      <w:r>
        <w:separator/>
      </w:r>
    </w:p>
  </w:endnote>
  <w:endnote w:type="continuationSeparator" w:id="0">
    <w:p w14:paraId="429DA48C" w14:textId="77777777" w:rsidR="00F823EA" w:rsidRDefault="00F823EA" w:rsidP="00BB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30B0" w14:textId="77777777" w:rsidR="00C71711" w:rsidRDefault="00DB5044" w:rsidP="00A61738">
    <w:pPr>
      <w:pStyle w:val="Footer1"/>
      <w:rPr>
        <w:rFonts w:ascii="Arial" w:hAnsi="Arial" w:cs="Arial"/>
        <w:sz w:val="20"/>
        <w:szCs w:val="20"/>
      </w:rPr>
    </w:pPr>
  </w:p>
  <w:p w14:paraId="0C23D144" w14:textId="77777777" w:rsidR="00C71711" w:rsidRPr="001951EA" w:rsidRDefault="004D2624" w:rsidP="00A61738">
    <w:pPr>
      <w:pStyle w:val="Footer1"/>
      <w:rPr>
        <w:rFonts w:ascii="Arial" w:hAnsi="Arial" w:cs="Arial"/>
        <w:sz w:val="20"/>
        <w:szCs w:val="20"/>
      </w:rPr>
    </w:pPr>
    <w:r w:rsidRPr="00E127D8">
      <w:rPr>
        <w:rFonts w:ascii="Arial" w:eastAsia="Times New Roman" w:hAnsi="Arial" w:cs="Arial"/>
        <w:sz w:val="20"/>
        <w:szCs w:val="20"/>
      </w:rPr>
      <w:ptab w:relativeTo="margin" w:alignment="right" w:leader="none"/>
    </w:r>
    <w:r w:rsidRPr="00E127D8">
      <w:rPr>
        <w:rFonts w:ascii="Arial" w:eastAsia="Times New Roman" w:hAnsi="Arial" w:cs="Arial"/>
        <w:sz w:val="20"/>
        <w:szCs w:val="20"/>
      </w:rPr>
      <w:t xml:space="preserve">Page </w:t>
    </w:r>
    <w:r w:rsidRPr="00E127D8">
      <w:rPr>
        <w:rFonts w:ascii="Arial" w:eastAsia="Times New Roman" w:hAnsi="Arial" w:cs="Arial"/>
        <w:sz w:val="20"/>
        <w:szCs w:val="20"/>
      </w:rPr>
      <w:fldChar w:fldCharType="begin"/>
    </w:r>
    <w:r w:rsidRPr="00A61738">
      <w:rPr>
        <w:rFonts w:ascii="Arial" w:hAnsi="Arial" w:cs="Arial"/>
        <w:sz w:val="20"/>
        <w:szCs w:val="20"/>
      </w:rPr>
      <w:instrText xml:space="preserve"> PAGE   \* MERGEFORMAT </w:instrText>
    </w:r>
    <w:r w:rsidRPr="00E127D8">
      <w:rPr>
        <w:rFonts w:ascii="Arial" w:eastAsia="Times New Roman" w:hAnsi="Arial" w:cs="Arial"/>
        <w:sz w:val="20"/>
        <w:szCs w:val="20"/>
      </w:rPr>
      <w:fldChar w:fldCharType="separate"/>
    </w:r>
    <w:r w:rsidRPr="00E127D8">
      <w:rPr>
        <w:rFonts w:ascii="Arial" w:eastAsia="Times New Roman" w:hAnsi="Arial" w:cs="Arial"/>
        <w:noProof/>
        <w:sz w:val="20"/>
        <w:szCs w:val="20"/>
      </w:rPr>
      <w:t>10</w:t>
    </w:r>
    <w:r w:rsidRPr="00E127D8">
      <w:rPr>
        <w:rFonts w:ascii="Arial" w:eastAsia="Times New Roman" w:hAnsi="Arial" w:cs="Arial"/>
        <w:noProof/>
        <w:sz w:val="20"/>
        <w:szCs w:val="20"/>
      </w:rPr>
      <w:fldChar w:fldCharType="end"/>
    </w:r>
  </w:p>
  <w:p w14:paraId="551FE4F5" w14:textId="77777777" w:rsidR="00C71711" w:rsidRDefault="00DB504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DC9DD" w14:textId="77777777" w:rsidR="00F823EA" w:rsidRDefault="00F823EA" w:rsidP="00BB4D1B">
      <w:pPr>
        <w:spacing w:after="0" w:line="240" w:lineRule="auto"/>
      </w:pPr>
      <w:r>
        <w:separator/>
      </w:r>
    </w:p>
  </w:footnote>
  <w:footnote w:type="continuationSeparator" w:id="0">
    <w:p w14:paraId="6F415DD5" w14:textId="77777777" w:rsidR="00F823EA" w:rsidRDefault="00F823EA" w:rsidP="00BB4D1B">
      <w:pPr>
        <w:spacing w:after="0" w:line="240" w:lineRule="auto"/>
      </w:pPr>
      <w:r>
        <w:continuationSeparator/>
      </w:r>
    </w:p>
  </w:footnote>
  <w:footnote w:id="1">
    <w:p w14:paraId="0E2763E5" w14:textId="77777777" w:rsidR="00BB4D1B" w:rsidRPr="00BB4D1B" w:rsidRDefault="00BB4D1B" w:rsidP="00BB4D1B">
      <w:pPr>
        <w:pStyle w:val="FootnoteText"/>
        <w:rPr>
          <w:rFonts w:ascii="Arial" w:hAnsi="Arial" w:cs="Arial"/>
        </w:rPr>
      </w:pPr>
      <w:r>
        <w:rPr>
          <w:rStyle w:val="FootnoteReference"/>
        </w:rPr>
        <w:footnoteRef/>
      </w:r>
      <w:r>
        <w:t xml:space="preserve"> </w:t>
      </w:r>
      <w:r>
        <w:rPr>
          <w:rFonts w:ascii="Arial" w:hAnsi="Arial" w:cs="Arial"/>
        </w:rPr>
        <w:t xml:space="preserve">Public Health England, </w:t>
      </w:r>
      <w:r w:rsidRPr="00BB4D1B">
        <w:rPr>
          <w:rFonts w:ascii="Arial" w:hAnsi="Arial" w:cs="Arial"/>
        </w:rPr>
        <w:t>English Surveillance Programme for</w:t>
      </w:r>
      <w:r>
        <w:rPr>
          <w:rFonts w:ascii="Arial" w:hAnsi="Arial" w:cs="Arial"/>
        </w:rPr>
        <w:t xml:space="preserve"> </w:t>
      </w:r>
      <w:r w:rsidRPr="00BB4D1B">
        <w:rPr>
          <w:rFonts w:ascii="Arial" w:hAnsi="Arial" w:cs="Arial"/>
        </w:rPr>
        <w:t>Antimicrobial Utilisation and Resistance</w:t>
      </w:r>
      <w:r>
        <w:rPr>
          <w:rFonts w:ascii="Arial" w:hAnsi="Arial" w:cs="Arial"/>
        </w:rPr>
        <w:t xml:space="preserve"> </w:t>
      </w:r>
      <w:r w:rsidRPr="00BB4D1B">
        <w:rPr>
          <w:rFonts w:ascii="Arial" w:hAnsi="Arial" w:cs="Arial"/>
        </w:rPr>
        <w:t>(ESPAUR</w:t>
      </w:r>
      <w:r>
        <w:rPr>
          <w:rFonts w:ascii="Arial" w:hAnsi="Arial" w:cs="Arial"/>
        </w:rPr>
        <w:t xml:space="preserve">), October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839D" w14:textId="584597DE" w:rsidR="00C71711" w:rsidRDefault="00EE12BA" w:rsidP="00EE12BA">
    <w:pPr>
      <w:pStyle w:val="Header"/>
      <w:jc w:val="right"/>
    </w:pPr>
    <w:r>
      <w:rPr>
        <w:noProof/>
      </w:rPr>
      <w:drawing>
        <wp:anchor distT="0" distB="0" distL="114300" distR="114300" simplePos="0" relativeHeight="251658240" behindDoc="0" locked="0" layoutInCell="1" allowOverlap="1" wp14:anchorId="31EDB810" wp14:editId="583A57D9">
          <wp:simplePos x="0" y="0"/>
          <wp:positionH relativeFrom="margin">
            <wp:align>left</wp:align>
          </wp:positionH>
          <wp:positionV relativeFrom="paragraph">
            <wp:posOffset>9525</wp:posOffset>
          </wp:positionV>
          <wp:extent cx="3619500" cy="35052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lacktext-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619500" cy="350520"/>
                  </a:xfrm>
                  <a:prstGeom prst="rect">
                    <a:avLst/>
                  </a:prstGeom>
                </pic:spPr>
              </pic:pic>
            </a:graphicData>
          </a:graphic>
        </wp:anchor>
      </w:drawing>
    </w:r>
    <w:r w:rsidR="004D2624">
      <w:rPr>
        <w:noProof/>
      </w:rPr>
      <w:drawing>
        <wp:inline distT="0" distB="0" distL="0" distR="0" wp14:anchorId="52D4F707" wp14:editId="11A73F76">
          <wp:extent cx="893064" cy="359664"/>
          <wp:effectExtent l="0" t="0" r="2540" b="25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lozenge.jpg"/>
                  <pic:cNvPicPr/>
                </pic:nvPicPr>
                <pic:blipFill>
                  <a:blip r:embed="rId2">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inline>
      </w:drawing>
    </w:r>
  </w:p>
  <w:p w14:paraId="7660195D" w14:textId="77777777" w:rsidR="00C71711" w:rsidRDefault="00DB5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E0BD9"/>
    <w:multiLevelType w:val="multilevel"/>
    <w:tmpl w:val="0BE819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4D61AA9"/>
    <w:multiLevelType w:val="hybridMultilevel"/>
    <w:tmpl w:val="9F4A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12"/>
    <w:rsid w:val="00042695"/>
    <w:rsid w:val="001746C3"/>
    <w:rsid w:val="001D5BA3"/>
    <w:rsid w:val="002026BA"/>
    <w:rsid w:val="002573C4"/>
    <w:rsid w:val="002D6B86"/>
    <w:rsid w:val="002F0BB1"/>
    <w:rsid w:val="002F2EA2"/>
    <w:rsid w:val="003D2312"/>
    <w:rsid w:val="0042255E"/>
    <w:rsid w:val="00464E04"/>
    <w:rsid w:val="004D2624"/>
    <w:rsid w:val="00670EDB"/>
    <w:rsid w:val="007413DF"/>
    <w:rsid w:val="00783238"/>
    <w:rsid w:val="00913A57"/>
    <w:rsid w:val="00935996"/>
    <w:rsid w:val="00946869"/>
    <w:rsid w:val="009C1418"/>
    <w:rsid w:val="00A213F8"/>
    <w:rsid w:val="00AD3BAD"/>
    <w:rsid w:val="00B27725"/>
    <w:rsid w:val="00BB4D1B"/>
    <w:rsid w:val="00D15A23"/>
    <w:rsid w:val="00DB5044"/>
    <w:rsid w:val="00EE12BA"/>
    <w:rsid w:val="00F51012"/>
    <w:rsid w:val="00F76045"/>
    <w:rsid w:val="00F823EA"/>
    <w:rsid w:val="00FA1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774B1"/>
  <w15:chartTrackingRefBased/>
  <w15:docId w15:val="{8FD7EE81-1643-4B2B-B8E7-D30269B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12"/>
    <w:pPr>
      <w:spacing w:after="200" w:line="276" w:lineRule="auto"/>
    </w:pPr>
  </w:style>
  <w:style w:type="paragraph" w:styleId="Heading1">
    <w:name w:val="heading 1"/>
    <w:basedOn w:val="Normal"/>
    <w:next w:val="Normal"/>
    <w:link w:val="Heading1Char"/>
    <w:uiPriority w:val="9"/>
    <w:qFormat/>
    <w:rsid w:val="00EE12BA"/>
    <w:pPr>
      <w:keepLines/>
      <w:numPr>
        <w:numId w:val="2"/>
      </w:numPr>
      <w:spacing w:before="120" w:after="120" w:line="240" w:lineRule="auto"/>
      <w:ind w:left="431" w:hanging="431"/>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E12BA"/>
    <w:pPr>
      <w:numPr>
        <w:ilvl w:val="1"/>
        <w:numId w:val="2"/>
      </w:numPr>
      <w:spacing w:before="120" w:after="120" w:line="360" w:lineRule="auto"/>
      <w:ind w:left="578" w:hanging="578"/>
      <w:jc w:val="both"/>
      <w:outlineLvl w:val="1"/>
    </w:pPr>
    <w:rPr>
      <w:rFonts w:ascii="Arial" w:eastAsia="Times New Roman" w:hAnsi="Arial" w:cs="Times New Roman"/>
      <w:b/>
      <w:bCs/>
      <w:iCs/>
      <w:sz w:val="28"/>
      <w:szCs w:val="28"/>
    </w:rPr>
  </w:style>
  <w:style w:type="paragraph" w:styleId="Heading3">
    <w:name w:val="heading 3"/>
    <w:basedOn w:val="Normal"/>
    <w:next w:val="Normal"/>
    <w:link w:val="Heading3Char"/>
    <w:uiPriority w:val="9"/>
    <w:unhideWhenUsed/>
    <w:qFormat/>
    <w:rsid w:val="001D5BA3"/>
    <w:pPr>
      <w:numPr>
        <w:ilvl w:val="2"/>
        <w:numId w:val="2"/>
      </w:numPr>
      <w:spacing w:before="240" w:after="120" w:line="240" w:lineRule="auto"/>
      <w:jc w:val="both"/>
      <w:outlineLvl w:val="2"/>
    </w:pPr>
    <w:rPr>
      <w:rFonts w:ascii="Arial" w:eastAsia="Times New Roman" w:hAnsi="Arial" w:cs="Times New Roman"/>
      <w:b/>
      <w:bCs/>
      <w:color w:val="0070C0"/>
      <w:sz w:val="24"/>
      <w:szCs w:val="26"/>
    </w:rPr>
  </w:style>
  <w:style w:type="paragraph" w:styleId="Heading4">
    <w:name w:val="heading 4"/>
    <w:aliases w:val="Topic,Para indent 3,H4,Sub-Minor"/>
    <w:basedOn w:val="Normal"/>
    <w:next w:val="Normal"/>
    <w:link w:val="Heading4Char"/>
    <w:uiPriority w:val="9"/>
    <w:unhideWhenUsed/>
    <w:qFormat/>
    <w:rsid w:val="001D5BA3"/>
    <w:pPr>
      <w:keepNext/>
      <w:keepLines/>
      <w:numPr>
        <w:ilvl w:val="3"/>
        <w:numId w:val="2"/>
      </w:numPr>
      <w:spacing w:before="200" w:after="120" w:line="240" w:lineRule="auto"/>
      <w:jc w:val="both"/>
      <w:outlineLvl w:val="3"/>
    </w:pPr>
    <w:rPr>
      <w:rFonts w:ascii="Arial" w:eastAsiaTheme="majorEastAsia" w:hAnsi="Arial" w:cstheme="majorBidi"/>
      <w:iCs/>
      <w:sz w:val="24"/>
      <w:szCs w:val="26"/>
    </w:rPr>
  </w:style>
  <w:style w:type="paragraph" w:styleId="Heading5">
    <w:name w:val="heading 5"/>
    <w:aliases w:val="Section"/>
    <w:basedOn w:val="Normal"/>
    <w:next w:val="Normal"/>
    <w:link w:val="Heading5Char"/>
    <w:uiPriority w:val="9"/>
    <w:unhideWhenUsed/>
    <w:qFormat/>
    <w:rsid w:val="001D5BA3"/>
    <w:pPr>
      <w:keepNext/>
      <w:keepLines/>
      <w:numPr>
        <w:ilvl w:val="4"/>
        <w:numId w:val="2"/>
      </w:numPr>
      <w:spacing w:before="200" w:after="120" w:line="240" w:lineRule="auto"/>
      <w:jc w:val="both"/>
      <w:outlineLvl w:val="4"/>
    </w:pPr>
    <w:rPr>
      <w:rFonts w:asciiTheme="majorHAnsi" w:eastAsiaTheme="majorEastAsia" w:hAnsiTheme="majorHAnsi" w:cstheme="majorBidi"/>
      <w:bCs/>
      <w:color w:val="1F3763" w:themeColor="accent1" w:themeShade="7F"/>
      <w:sz w:val="24"/>
      <w:szCs w:val="26"/>
    </w:rPr>
  </w:style>
  <w:style w:type="paragraph" w:styleId="Heading6">
    <w:name w:val="heading 6"/>
    <w:basedOn w:val="Normal"/>
    <w:next w:val="Normal"/>
    <w:link w:val="Heading6Char"/>
    <w:uiPriority w:val="9"/>
    <w:unhideWhenUsed/>
    <w:qFormat/>
    <w:rsid w:val="001D5BA3"/>
    <w:pPr>
      <w:keepNext/>
      <w:keepLines/>
      <w:numPr>
        <w:ilvl w:val="5"/>
        <w:numId w:val="2"/>
      </w:numPr>
      <w:spacing w:before="200" w:after="120" w:line="240" w:lineRule="auto"/>
      <w:jc w:val="both"/>
      <w:outlineLvl w:val="5"/>
    </w:pPr>
    <w:rPr>
      <w:rFonts w:asciiTheme="majorHAnsi" w:eastAsiaTheme="majorEastAsia" w:hAnsiTheme="majorHAnsi" w:cstheme="majorBidi"/>
      <w:bCs/>
      <w:i/>
      <w:iCs/>
      <w:color w:val="1F3763" w:themeColor="accent1" w:themeShade="7F"/>
      <w:sz w:val="24"/>
      <w:szCs w:val="26"/>
    </w:rPr>
  </w:style>
  <w:style w:type="paragraph" w:styleId="Heading7">
    <w:name w:val="heading 7"/>
    <w:basedOn w:val="Normal"/>
    <w:next w:val="Normal"/>
    <w:link w:val="Heading7Char"/>
    <w:uiPriority w:val="9"/>
    <w:unhideWhenUsed/>
    <w:qFormat/>
    <w:rsid w:val="001D5BA3"/>
    <w:pPr>
      <w:keepNext/>
      <w:keepLines/>
      <w:numPr>
        <w:ilvl w:val="6"/>
        <w:numId w:val="2"/>
      </w:numPr>
      <w:spacing w:before="200" w:after="120" w:line="240" w:lineRule="auto"/>
      <w:jc w:val="both"/>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unhideWhenUsed/>
    <w:qFormat/>
    <w:rsid w:val="001D5BA3"/>
    <w:pPr>
      <w:keepNext/>
      <w:keepLines/>
      <w:numPr>
        <w:ilvl w:val="7"/>
        <w:numId w:val="2"/>
      </w:numPr>
      <w:spacing w:before="200" w:after="120" w:line="240" w:lineRule="auto"/>
      <w:jc w:val="both"/>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unhideWhenUsed/>
    <w:qFormat/>
    <w:rsid w:val="001D5BA3"/>
    <w:pPr>
      <w:keepNext/>
      <w:keepLines/>
      <w:numPr>
        <w:ilvl w:val="8"/>
        <w:numId w:val="2"/>
      </w:numPr>
      <w:spacing w:before="200" w:after="120" w:line="240" w:lineRule="auto"/>
      <w:jc w:val="both"/>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F51012"/>
    <w:pPr>
      <w:tabs>
        <w:tab w:val="center" w:pos="4513"/>
        <w:tab w:val="right" w:pos="9026"/>
      </w:tabs>
      <w:spacing w:after="0" w:line="240" w:lineRule="auto"/>
    </w:pPr>
    <w:rPr>
      <w:sz w:val="24"/>
      <w:lang w:val="en-US"/>
    </w:rPr>
  </w:style>
  <w:style w:type="character" w:customStyle="1" w:styleId="FooterChar">
    <w:name w:val="Footer Char"/>
    <w:basedOn w:val="DefaultParagraphFont"/>
    <w:link w:val="Footer1"/>
    <w:uiPriority w:val="99"/>
    <w:rsid w:val="00F51012"/>
    <w:rPr>
      <w:sz w:val="24"/>
      <w:lang w:val="en-US"/>
    </w:rPr>
  </w:style>
  <w:style w:type="paragraph" w:styleId="Header">
    <w:name w:val="header"/>
    <w:basedOn w:val="Normal"/>
    <w:link w:val="HeaderChar"/>
    <w:uiPriority w:val="99"/>
    <w:unhideWhenUsed/>
    <w:rsid w:val="00F51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012"/>
  </w:style>
  <w:style w:type="character" w:styleId="Hyperlink">
    <w:name w:val="Hyperlink"/>
    <w:uiPriority w:val="99"/>
    <w:unhideWhenUsed/>
    <w:rsid w:val="00F51012"/>
    <w:rPr>
      <w:color w:val="0000FF"/>
      <w:u w:val="single"/>
    </w:rPr>
  </w:style>
  <w:style w:type="paragraph" w:styleId="Footer">
    <w:name w:val="footer"/>
    <w:basedOn w:val="Normal"/>
    <w:link w:val="FooterChar1"/>
    <w:uiPriority w:val="99"/>
    <w:unhideWhenUsed/>
    <w:rsid w:val="00F51012"/>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F51012"/>
  </w:style>
  <w:style w:type="character" w:styleId="UnresolvedMention">
    <w:name w:val="Unresolved Mention"/>
    <w:basedOn w:val="DefaultParagraphFont"/>
    <w:uiPriority w:val="99"/>
    <w:semiHidden/>
    <w:unhideWhenUsed/>
    <w:rsid w:val="00D15A23"/>
    <w:rPr>
      <w:color w:val="605E5C"/>
      <w:shd w:val="clear" w:color="auto" w:fill="E1DFDD"/>
    </w:rPr>
  </w:style>
  <w:style w:type="paragraph" w:styleId="FootnoteText">
    <w:name w:val="footnote text"/>
    <w:basedOn w:val="Normal"/>
    <w:link w:val="FootnoteTextChar"/>
    <w:uiPriority w:val="99"/>
    <w:semiHidden/>
    <w:unhideWhenUsed/>
    <w:rsid w:val="00BB4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D1B"/>
    <w:rPr>
      <w:sz w:val="20"/>
      <w:szCs w:val="20"/>
    </w:rPr>
  </w:style>
  <w:style w:type="character" w:styleId="FootnoteReference">
    <w:name w:val="footnote reference"/>
    <w:basedOn w:val="DefaultParagraphFont"/>
    <w:uiPriority w:val="99"/>
    <w:semiHidden/>
    <w:unhideWhenUsed/>
    <w:rsid w:val="00BB4D1B"/>
    <w:rPr>
      <w:vertAlign w:val="superscript"/>
    </w:rPr>
  </w:style>
  <w:style w:type="character" w:styleId="CommentReference">
    <w:name w:val="annotation reference"/>
    <w:basedOn w:val="DefaultParagraphFont"/>
    <w:uiPriority w:val="99"/>
    <w:semiHidden/>
    <w:unhideWhenUsed/>
    <w:rsid w:val="00FA17C5"/>
    <w:rPr>
      <w:sz w:val="16"/>
      <w:szCs w:val="16"/>
    </w:rPr>
  </w:style>
  <w:style w:type="paragraph" w:styleId="CommentText">
    <w:name w:val="annotation text"/>
    <w:basedOn w:val="Normal"/>
    <w:link w:val="CommentTextChar"/>
    <w:uiPriority w:val="99"/>
    <w:unhideWhenUsed/>
    <w:rsid w:val="00FA17C5"/>
    <w:pPr>
      <w:spacing w:line="240" w:lineRule="auto"/>
    </w:pPr>
    <w:rPr>
      <w:sz w:val="20"/>
      <w:szCs w:val="20"/>
    </w:rPr>
  </w:style>
  <w:style w:type="character" w:customStyle="1" w:styleId="CommentTextChar">
    <w:name w:val="Comment Text Char"/>
    <w:basedOn w:val="DefaultParagraphFont"/>
    <w:link w:val="CommentText"/>
    <w:uiPriority w:val="99"/>
    <w:rsid w:val="00FA17C5"/>
    <w:rPr>
      <w:sz w:val="20"/>
      <w:szCs w:val="20"/>
    </w:rPr>
  </w:style>
  <w:style w:type="paragraph" w:styleId="CommentSubject">
    <w:name w:val="annotation subject"/>
    <w:basedOn w:val="CommentText"/>
    <w:next w:val="CommentText"/>
    <w:link w:val="CommentSubjectChar"/>
    <w:uiPriority w:val="99"/>
    <w:semiHidden/>
    <w:unhideWhenUsed/>
    <w:rsid w:val="00FA17C5"/>
    <w:rPr>
      <w:b/>
      <w:bCs/>
    </w:rPr>
  </w:style>
  <w:style w:type="character" w:customStyle="1" w:styleId="CommentSubjectChar">
    <w:name w:val="Comment Subject Char"/>
    <w:basedOn w:val="CommentTextChar"/>
    <w:link w:val="CommentSubject"/>
    <w:uiPriority w:val="99"/>
    <w:semiHidden/>
    <w:rsid w:val="00FA17C5"/>
    <w:rPr>
      <w:b/>
      <w:bCs/>
      <w:sz w:val="20"/>
      <w:szCs w:val="20"/>
    </w:rPr>
  </w:style>
  <w:style w:type="paragraph" w:styleId="BalloonText">
    <w:name w:val="Balloon Text"/>
    <w:basedOn w:val="Normal"/>
    <w:link w:val="BalloonTextChar"/>
    <w:uiPriority w:val="99"/>
    <w:semiHidden/>
    <w:unhideWhenUsed/>
    <w:rsid w:val="00FA1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C5"/>
    <w:rPr>
      <w:rFonts w:ascii="Segoe UI" w:hAnsi="Segoe UI" w:cs="Segoe UI"/>
      <w:sz w:val="18"/>
      <w:szCs w:val="18"/>
    </w:rPr>
  </w:style>
  <w:style w:type="character" w:customStyle="1" w:styleId="Heading1Char">
    <w:name w:val="Heading 1 Char"/>
    <w:basedOn w:val="DefaultParagraphFont"/>
    <w:link w:val="Heading1"/>
    <w:uiPriority w:val="9"/>
    <w:rsid w:val="00EE12B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EE12BA"/>
    <w:rPr>
      <w:rFonts w:ascii="Arial" w:eastAsia="Times New Roman" w:hAnsi="Arial" w:cs="Times New Roman"/>
      <w:b/>
      <w:bCs/>
      <w:iCs/>
      <w:sz w:val="28"/>
      <w:szCs w:val="28"/>
    </w:rPr>
  </w:style>
  <w:style w:type="character" w:customStyle="1" w:styleId="Heading3Char">
    <w:name w:val="Heading 3 Char"/>
    <w:basedOn w:val="DefaultParagraphFont"/>
    <w:link w:val="Heading3"/>
    <w:uiPriority w:val="9"/>
    <w:rsid w:val="001D5BA3"/>
    <w:rPr>
      <w:rFonts w:ascii="Arial" w:eastAsia="Times New Roman" w:hAnsi="Arial" w:cs="Times New Roman"/>
      <w:b/>
      <w:bCs/>
      <w:color w:val="0070C0"/>
      <w:sz w:val="24"/>
      <w:szCs w:val="26"/>
    </w:rPr>
  </w:style>
  <w:style w:type="character" w:customStyle="1" w:styleId="Heading4Char">
    <w:name w:val="Heading 4 Char"/>
    <w:aliases w:val="Topic Char,Para indent 3 Char,H4 Char,Sub-Minor Char"/>
    <w:basedOn w:val="DefaultParagraphFont"/>
    <w:link w:val="Heading4"/>
    <w:uiPriority w:val="9"/>
    <w:rsid w:val="001D5BA3"/>
    <w:rPr>
      <w:rFonts w:ascii="Arial" w:eastAsiaTheme="majorEastAsia" w:hAnsi="Arial" w:cstheme="majorBidi"/>
      <w:iCs/>
      <w:sz w:val="24"/>
      <w:szCs w:val="26"/>
    </w:rPr>
  </w:style>
  <w:style w:type="character" w:customStyle="1" w:styleId="Heading5Char">
    <w:name w:val="Heading 5 Char"/>
    <w:aliases w:val="Section Char"/>
    <w:basedOn w:val="DefaultParagraphFont"/>
    <w:link w:val="Heading5"/>
    <w:uiPriority w:val="9"/>
    <w:rsid w:val="001D5BA3"/>
    <w:rPr>
      <w:rFonts w:asciiTheme="majorHAnsi" w:eastAsiaTheme="majorEastAsia" w:hAnsiTheme="majorHAnsi" w:cstheme="majorBidi"/>
      <w:bCs/>
      <w:color w:val="1F3763" w:themeColor="accent1" w:themeShade="7F"/>
      <w:sz w:val="24"/>
      <w:szCs w:val="26"/>
    </w:rPr>
  </w:style>
  <w:style w:type="character" w:customStyle="1" w:styleId="Heading6Char">
    <w:name w:val="Heading 6 Char"/>
    <w:basedOn w:val="DefaultParagraphFont"/>
    <w:link w:val="Heading6"/>
    <w:uiPriority w:val="9"/>
    <w:rsid w:val="001D5BA3"/>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uiPriority w:val="9"/>
    <w:rsid w:val="001D5BA3"/>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rsid w:val="001D5BA3"/>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rsid w:val="001D5BA3"/>
    <w:rPr>
      <w:rFonts w:asciiTheme="majorHAnsi" w:eastAsiaTheme="majorEastAsia" w:hAnsiTheme="majorHAnsi" w:cstheme="majorBidi"/>
      <w:bCs/>
      <w:i/>
      <w:iCs/>
      <w:color w:val="404040" w:themeColor="text1" w:themeTint="BF"/>
      <w:sz w:val="20"/>
      <w:szCs w:val="20"/>
    </w:rPr>
  </w:style>
  <w:style w:type="paragraph" w:styleId="Title">
    <w:name w:val="Title"/>
    <w:basedOn w:val="Normal"/>
    <w:next w:val="Normal"/>
    <w:link w:val="TitleChar"/>
    <w:uiPriority w:val="10"/>
    <w:qFormat/>
    <w:rsid w:val="00EE1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pru.org.uk/wp-content/uploads/2017/11/eepru-report-amr-oct-2018-05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paymentmodels@nic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75B4-A693-497E-91B2-F57246B7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28FA81E3</Template>
  <TotalTime>7</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Manuel</dc:creator>
  <cp:keywords/>
  <dc:description/>
  <cp:lastModifiedBy>Gaynor Clarkson</cp:lastModifiedBy>
  <cp:revision>4</cp:revision>
  <dcterms:created xsi:type="dcterms:W3CDTF">2019-07-09T09:15:00Z</dcterms:created>
  <dcterms:modified xsi:type="dcterms:W3CDTF">2019-07-09T09:21:00Z</dcterms:modified>
</cp:coreProperties>
</file>