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A640" w14:textId="48B8B0CE" w:rsidR="00DD54BA" w:rsidRDefault="00DD54BA" w:rsidP="007347A7">
      <w:pPr>
        <w:pStyle w:val="Heading1"/>
      </w:pPr>
      <w:bookmarkStart w:id="0" w:name="_Appendix_A_–"/>
      <w:bookmarkStart w:id="1" w:name="_Toc99530973"/>
      <w:bookmarkStart w:id="2" w:name="_Toc99613197"/>
      <w:bookmarkEnd w:id="0"/>
      <w:r>
        <w:t>Appendices – Real-world evidence framework</w:t>
      </w:r>
      <w:bookmarkEnd w:id="1"/>
      <w:bookmarkEnd w:id="2"/>
    </w:p>
    <w:p w14:paraId="7063B9C2" w14:textId="77777777" w:rsidR="00DD54BA" w:rsidRPr="00DD54BA" w:rsidRDefault="00DD54BA" w:rsidP="00DD54BA"/>
    <w:sdt>
      <w:sdtPr>
        <w:rPr>
          <w:rFonts w:ascii="Lato" w:eastAsia="Times New Roman" w:hAnsi="Lato" w:cs="Times New Roman"/>
          <w:color w:val="auto"/>
          <w:sz w:val="22"/>
          <w:szCs w:val="24"/>
          <w:lang w:val="en-GB" w:eastAsia="en-GB"/>
        </w:rPr>
        <w:id w:val="-1255664905"/>
        <w:docPartObj>
          <w:docPartGallery w:val="Table of Contents"/>
          <w:docPartUnique/>
        </w:docPartObj>
      </w:sdtPr>
      <w:sdtEndPr>
        <w:rPr>
          <w:b/>
          <w:bCs/>
          <w:noProof/>
        </w:rPr>
      </w:sdtEndPr>
      <w:sdtContent>
        <w:p w14:paraId="26387DA2" w14:textId="4524054F" w:rsidR="001D7779" w:rsidRDefault="001D7779">
          <w:pPr>
            <w:pStyle w:val="TOCHeading"/>
          </w:pPr>
          <w:r>
            <w:t>Contents</w:t>
          </w:r>
        </w:p>
        <w:p w14:paraId="0C1F4099" w14:textId="7F81956B" w:rsidR="00936390" w:rsidRDefault="00936390">
          <w:pPr>
            <w:pStyle w:val="TOC1"/>
            <w:rPr>
              <w:rFonts w:asciiTheme="minorHAnsi" w:eastAsiaTheme="minorEastAsia" w:hAnsiTheme="minorHAnsi" w:cstheme="minorBidi"/>
              <w:szCs w:val="22"/>
            </w:rPr>
          </w:pPr>
          <w:r w:rsidRPr="00F2241E">
            <w:rPr>
              <w:rStyle w:val="Hyperlink"/>
            </w:rPr>
            <w:t>Appendix 1 – Data Suitability Assessment Tool (DataSAT)</w:t>
          </w:r>
          <w:r>
            <w:rPr>
              <w:webHidden/>
            </w:rPr>
            <w:tab/>
            <w:t>2</w:t>
          </w:r>
        </w:p>
        <w:p w14:paraId="25FDDF30" w14:textId="1F8A942A" w:rsidR="00936390" w:rsidRDefault="00936390">
          <w:pPr>
            <w:pStyle w:val="TOC1"/>
            <w:rPr>
              <w:rFonts w:asciiTheme="minorHAnsi" w:eastAsiaTheme="minorEastAsia" w:hAnsiTheme="minorHAnsi" w:cstheme="minorBidi"/>
              <w:szCs w:val="22"/>
            </w:rPr>
          </w:pPr>
          <w:r w:rsidRPr="00F2241E">
            <w:rPr>
              <w:rStyle w:val="Hyperlink"/>
            </w:rPr>
            <w:t>Appendix 2 – Reporting on methods used to minimise risk of bias</w:t>
          </w:r>
          <w:r>
            <w:rPr>
              <w:webHidden/>
            </w:rPr>
            <w:tab/>
            <w:t>12</w:t>
          </w:r>
        </w:p>
        <w:p w14:paraId="1767F15B" w14:textId="7085728F" w:rsidR="00936390" w:rsidRDefault="00936390">
          <w:pPr>
            <w:pStyle w:val="TOC1"/>
            <w:rPr>
              <w:rFonts w:asciiTheme="minorHAnsi" w:eastAsiaTheme="minorEastAsia" w:hAnsiTheme="minorHAnsi" w:cstheme="minorBidi"/>
              <w:szCs w:val="22"/>
            </w:rPr>
          </w:pPr>
          <w:r w:rsidRPr="00F2241E">
            <w:rPr>
              <w:rStyle w:val="Hyperlink"/>
            </w:rPr>
            <w:t>Appendix 3 – Reporting information for selected analytical methods</w:t>
          </w:r>
          <w:r>
            <w:rPr>
              <w:webHidden/>
            </w:rPr>
            <w:tab/>
            <w:t>18</w:t>
          </w:r>
        </w:p>
        <w:p w14:paraId="6038748F" w14:textId="43A080FF" w:rsidR="001D7779" w:rsidRDefault="003D651C"/>
      </w:sdtContent>
    </w:sdt>
    <w:p w14:paraId="3B151A9A" w14:textId="77777777" w:rsidR="00DD54BA" w:rsidRDefault="00DD54BA" w:rsidP="007347A7">
      <w:pPr>
        <w:pStyle w:val="Heading1"/>
      </w:pPr>
      <w:r>
        <w:br w:type="page"/>
      </w:r>
    </w:p>
    <w:p w14:paraId="2DD1155F" w14:textId="5750352E" w:rsidR="007347A7" w:rsidRPr="00DA1FF3" w:rsidRDefault="007347A7" w:rsidP="007347A7">
      <w:pPr>
        <w:pStyle w:val="Heading1"/>
      </w:pPr>
      <w:bookmarkStart w:id="3" w:name="_Toc99613198"/>
      <w:r w:rsidRPr="00DA1FF3">
        <w:lastRenderedPageBreak/>
        <w:t xml:space="preserve">Appendix </w:t>
      </w:r>
      <w:r w:rsidR="006B6CDA" w:rsidRPr="00DA1FF3">
        <w:t>1</w:t>
      </w:r>
      <w:r w:rsidRPr="00DA1FF3">
        <w:t xml:space="preserve"> – Data Suitability Assessment Tool (</w:t>
      </w:r>
      <w:proofErr w:type="spellStart"/>
      <w:r w:rsidRPr="00DA1FF3">
        <w:t>DataSAT</w:t>
      </w:r>
      <w:proofErr w:type="spellEnd"/>
      <w:r w:rsidRPr="00DA1FF3">
        <w:t>)</w:t>
      </w:r>
      <w:bookmarkEnd w:id="3"/>
    </w:p>
    <w:p w14:paraId="795E6F2F" w14:textId="52606DA1" w:rsidR="007347A7" w:rsidRPr="00DA1FF3" w:rsidRDefault="007347A7" w:rsidP="007347A7">
      <w:pPr>
        <w:pStyle w:val="Heading3"/>
      </w:pPr>
      <w:r w:rsidRPr="00DA1FF3">
        <w:t xml:space="preserve">Research </w:t>
      </w:r>
      <w:r w:rsidR="00D32E54">
        <w:t>q</w:t>
      </w:r>
      <w:r w:rsidRPr="00DA1FF3">
        <w:t>uestion</w:t>
      </w:r>
    </w:p>
    <w:p w14:paraId="36DC5775" w14:textId="0E5C0690" w:rsidR="007347A7" w:rsidRPr="00DA1FF3" w:rsidRDefault="001D7779" w:rsidP="007347A7">
      <w:pPr>
        <w:rPr>
          <w:color w:val="004650"/>
          <w:sz w:val="20"/>
          <w:szCs w:val="20"/>
        </w:rPr>
      </w:pPr>
      <w:r>
        <w:rPr>
          <w:color w:val="004650"/>
          <w:sz w:val="20"/>
          <w:szCs w:val="20"/>
        </w:rPr>
        <w:t>Add the research question here.</w:t>
      </w:r>
    </w:p>
    <w:p w14:paraId="3E14073C" w14:textId="602EF2D3" w:rsidR="007347A7" w:rsidRPr="00DA1FF3" w:rsidRDefault="007347A7" w:rsidP="00382670">
      <w:pPr>
        <w:pStyle w:val="Caption"/>
      </w:pPr>
      <w:bookmarkStart w:id="4" w:name="_Data_Provenance_1"/>
      <w:bookmarkEnd w:id="4"/>
      <w:r w:rsidRPr="00DA1FF3">
        <w:t xml:space="preserve">Data </w:t>
      </w:r>
      <w:r w:rsidR="00D32E54">
        <w:t>p</w:t>
      </w:r>
      <w:r w:rsidRPr="00DA1FF3">
        <w:t>rovenance</w:t>
      </w:r>
    </w:p>
    <w:tbl>
      <w:tblPr>
        <w:tblStyle w:val="Surveillancetable"/>
        <w:tblW w:w="0" w:type="auto"/>
        <w:tblLook w:val="04A0" w:firstRow="1" w:lastRow="0" w:firstColumn="1" w:lastColumn="0" w:noHBand="0" w:noVBand="1"/>
      </w:tblPr>
      <w:tblGrid>
        <w:gridCol w:w="2859"/>
        <w:gridCol w:w="6157"/>
      </w:tblGrid>
      <w:tr w:rsidR="007347A7" w:rsidRPr="00DA1FF3" w14:paraId="4D5F4915" w14:textId="77777777" w:rsidTr="0034027F">
        <w:trPr>
          <w:cnfStyle w:val="100000000000" w:firstRow="1" w:lastRow="0" w:firstColumn="0" w:lastColumn="0" w:oddVBand="0" w:evenVBand="0" w:oddHBand="0" w:evenHBand="0" w:firstRowFirstColumn="0" w:firstRowLastColumn="0" w:lastRowFirstColumn="0" w:lastRowLastColumn="0"/>
          <w:tblHeader/>
        </w:trPr>
        <w:tc>
          <w:tcPr>
            <w:tcW w:w="2892" w:type="dxa"/>
          </w:tcPr>
          <w:p w14:paraId="21665992" w14:textId="77777777" w:rsidR="007347A7" w:rsidRPr="00DA1FF3" w:rsidRDefault="007347A7" w:rsidP="0034027F">
            <w:r w:rsidRPr="00DA1FF3">
              <w:t>Item</w:t>
            </w:r>
          </w:p>
        </w:tc>
        <w:tc>
          <w:tcPr>
            <w:tcW w:w="6248" w:type="dxa"/>
          </w:tcPr>
          <w:p w14:paraId="6E870888" w14:textId="77777777" w:rsidR="007347A7" w:rsidRPr="00DA1FF3" w:rsidRDefault="007347A7" w:rsidP="0034027F">
            <w:r w:rsidRPr="00DA1FF3">
              <w:t>Response</w:t>
            </w:r>
          </w:p>
        </w:tc>
      </w:tr>
      <w:tr w:rsidR="007347A7" w:rsidRPr="00DA1FF3" w14:paraId="2F095A3B" w14:textId="77777777" w:rsidTr="0034027F">
        <w:tc>
          <w:tcPr>
            <w:tcW w:w="2892" w:type="dxa"/>
          </w:tcPr>
          <w:p w14:paraId="5B83983F" w14:textId="77777777" w:rsidR="007347A7" w:rsidRPr="00DA1FF3" w:rsidRDefault="007347A7" w:rsidP="00226891">
            <w:pPr>
              <w:pStyle w:val="Tabletext"/>
            </w:pPr>
            <w:r w:rsidRPr="00DA1FF3">
              <w:t>Data sources</w:t>
            </w:r>
          </w:p>
        </w:tc>
        <w:tc>
          <w:tcPr>
            <w:tcW w:w="6248" w:type="dxa"/>
          </w:tcPr>
          <w:p w14:paraId="62749F1F" w14:textId="5740530B" w:rsidR="007347A7" w:rsidRPr="00DA1FF3" w:rsidRDefault="007347A7" w:rsidP="0034027F">
            <w:r w:rsidRPr="00DA1FF3">
              <w:rPr>
                <w:color w:val="004650"/>
                <w:sz w:val="20"/>
                <w:szCs w:val="22"/>
              </w:rPr>
              <w:t xml:space="preserve">For each contributing data source provide the name, </w:t>
            </w:r>
            <w:proofErr w:type="gramStart"/>
            <w:r w:rsidRPr="00DA1FF3">
              <w:rPr>
                <w:color w:val="004650"/>
                <w:sz w:val="20"/>
                <w:szCs w:val="22"/>
              </w:rPr>
              <w:t>version</w:t>
            </w:r>
            <w:proofErr w:type="gramEnd"/>
            <w:r w:rsidRPr="00DA1FF3">
              <w:rPr>
                <w:color w:val="004650"/>
                <w:sz w:val="20"/>
                <w:szCs w:val="22"/>
              </w:rPr>
              <w:t xml:space="preserve"> and date of data cut. Provide links to their websites, if available.</w:t>
            </w:r>
          </w:p>
        </w:tc>
      </w:tr>
      <w:tr w:rsidR="007347A7" w:rsidRPr="00DA1FF3" w14:paraId="570AA0BD" w14:textId="77777777" w:rsidTr="0034027F">
        <w:tc>
          <w:tcPr>
            <w:tcW w:w="2892" w:type="dxa"/>
          </w:tcPr>
          <w:p w14:paraId="14D7477A" w14:textId="77777777" w:rsidR="007347A7" w:rsidRPr="00DA1FF3" w:rsidRDefault="007347A7" w:rsidP="00226891">
            <w:pPr>
              <w:pStyle w:val="Tabletext"/>
            </w:pPr>
            <w:r w:rsidRPr="00DA1FF3">
              <w:t>Data linkage and data pooling</w:t>
            </w:r>
          </w:p>
        </w:tc>
        <w:tc>
          <w:tcPr>
            <w:tcW w:w="6248" w:type="dxa"/>
          </w:tcPr>
          <w:p w14:paraId="21DDD615" w14:textId="0412DA66" w:rsidR="007347A7" w:rsidRPr="00DA1FF3" w:rsidRDefault="007347A7" w:rsidP="0034027F">
            <w:pPr>
              <w:spacing w:before="60"/>
              <w:rPr>
                <w:color w:val="004650"/>
                <w:sz w:val="20"/>
              </w:rPr>
            </w:pPr>
            <w:r w:rsidRPr="00DA1FF3">
              <w:rPr>
                <w:color w:val="004650"/>
                <w:sz w:val="20"/>
              </w:rPr>
              <w:t xml:space="preserve">Report which datasets were linked, how these were linked, and performance characteristics of the linkage. Note whether linkage was </w:t>
            </w:r>
            <w:r w:rsidR="00D637E5">
              <w:rPr>
                <w:color w:val="004650"/>
                <w:sz w:val="20"/>
              </w:rPr>
              <w:t>done</w:t>
            </w:r>
            <w:r w:rsidRPr="00DA1FF3">
              <w:rPr>
                <w:color w:val="004650"/>
                <w:sz w:val="20"/>
              </w:rPr>
              <w:t xml:space="preserve"> by a third party (such as NHS Digital).</w:t>
            </w:r>
          </w:p>
          <w:p w14:paraId="566AB766" w14:textId="59BEB42C" w:rsidR="007347A7" w:rsidRPr="00DA1FF3" w:rsidRDefault="007347A7" w:rsidP="0034027F">
            <w:pPr>
              <w:spacing w:before="60"/>
              <w:rPr>
                <w:color w:val="004650"/>
                <w:sz w:val="20"/>
              </w:rPr>
            </w:pPr>
            <w:r w:rsidRPr="00DA1FF3">
              <w:rPr>
                <w:color w:val="004650"/>
                <w:sz w:val="20"/>
              </w:rPr>
              <w:t xml:space="preserve">Clearly describe which data sources </w:t>
            </w:r>
            <w:r w:rsidR="00D16BE1">
              <w:rPr>
                <w:color w:val="004650"/>
                <w:sz w:val="20"/>
              </w:rPr>
              <w:t>were</w:t>
            </w:r>
            <w:r w:rsidR="00D16BE1" w:rsidRPr="00DA1FF3">
              <w:rPr>
                <w:color w:val="004650"/>
                <w:sz w:val="20"/>
              </w:rPr>
              <w:t xml:space="preserve"> </w:t>
            </w:r>
            <w:r w:rsidRPr="00DA1FF3">
              <w:rPr>
                <w:color w:val="004650"/>
                <w:sz w:val="20"/>
              </w:rPr>
              <w:t xml:space="preserve">pooled. </w:t>
            </w:r>
          </w:p>
        </w:tc>
      </w:tr>
      <w:tr w:rsidR="007347A7" w:rsidRPr="00DA1FF3" w14:paraId="31D020C7" w14:textId="77777777" w:rsidTr="0034027F">
        <w:tc>
          <w:tcPr>
            <w:tcW w:w="2892" w:type="dxa"/>
          </w:tcPr>
          <w:p w14:paraId="4DC566F3" w14:textId="77777777" w:rsidR="007347A7" w:rsidRPr="00DA1FF3" w:rsidRDefault="007347A7" w:rsidP="00226891">
            <w:pPr>
              <w:pStyle w:val="Tabletext"/>
            </w:pPr>
            <w:r w:rsidRPr="00DA1FF3">
              <w:t>Type of data source</w:t>
            </w:r>
          </w:p>
        </w:tc>
        <w:tc>
          <w:tcPr>
            <w:tcW w:w="6248" w:type="dxa"/>
          </w:tcPr>
          <w:p w14:paraId="290B4E86" w14:textId="5EAF71DF" w:rsidR="007347A7" w:rsidRPr="00DA1FF3" w:rsidRDefault="007347A7" w:rsidP="0034027F">
            <w:pPr>
              <w:rPr>
                <w:color w:val="004650"/>
                <w:sz w:val="20"/>
                <w:szCs w:val="22"/>
              </w:rPr>
            </w:pPr>
            <w:r w:rsidRPr="00DA1FF3">
              <w:rPr>
                <w:color w:val="004650"/>
                <w:sz w:val="20"/>
                <w:szCs w:val="22"/>
              </w:rPr>
              <w:t>Describe the types of data source (for example, electronic health record, registry, audit, survey).</w:t>
            </w:r>
          </w:p>
        </w:tc>
      </w:tr>
      <w:tr w:rsidR="007347A7" w:rsidRPr="00DA1FF3" w14:paraId="1534097B" w14:textId="77777777" w:rsidTr="0034027F">
        <w:tc>
          <w:tcPr>
            <w:tcW w:w="2892" w:type="dxa"/>
          </w:tcPr>
          <w:p w14:paraId="188651AE" w14:textId="77777777" w:rsidR="007347A7" w:rsidRPr="00DA1FF3" w:rsidRDefault="007347A7" w:rsidP="00226891">
            <w:pPr>
              <w:pStyle w:val="Tabletext"/>
            </w:pPr>
            <w:r w:rsidRPr="00DA1FF3">
              <w:t>Purpose of data collection</w:t>
            </w:r>
          </w:p>
        </w:tc>
        <w:tc>
          <w:tcPr>
            <w:tcW w:w="6248" w:type="dxa"/>
          </w:tcPr>
          <w:p w14:paraId="73F83C73" w14:textId="07F01679" w:rsidR="007347A7" w:rsidRPr="00DA1FF3" w:rsidRDefault="007347A7" w:rsidP="0034027F">
            <w:pPr>
              <w:rPr>
                <w:color w:val="004650"/>
                <w:sz w:val="20"/>
                <w:szCs w:val="22"/>
              </w:rPr>
            </w:pPr>
            <w:r w:rsidRPr="00DA1FF3">
              <w:rPr>
                <w:color w:val="004650"/>
                <w:sz w:val="20"/>
                <w:szCs w:val="22"/>
              </w:rPr>
              <w:t xml:space="preserve">Describe the main purpose of data collection (for example, clinical care, reimbursement, device safety, research study) </w:t>
            </w:r>
          </w:p>
        </w:tc>
      </w:tr>
      <w:tr w:rsidR="007347A7" w:rsidRPr="00DA1FF3" w14:paraId="6BC1F332" w14:textId="77777777" w:rsidTr="0034027F">
        <w:tc>
          <w:tcPr>
            <w:tcW w:w="2892" w:type="dxa"/>
          </w:tcPr>
          <w:p w14:paraId="085C7759" w14:textId="77777777" w:rsidR="007347A7" w:rsidRPr="00DA1FF3" w:rsidRDefault="007347A7" w:rsidP="00226891">
            <w:pPr>
              <w:pStyle w:val="Tabletext"/>
            </w:pPr>
            <w:r w:rsidRPr="00DA1FF3">
              <w:t>Data collection</w:t>
            </w:r>
          </w:p>
        </w:tc>
        <w:tc>
          <w:tcPr>
            <w:tcW w:w="6248" w:type="dxa"/>
          </w:tcPr>
          <w:p w14:paraId="5E5B45A1" w14:textId="6DF62345" w:rsidR="007347A7" w:rsidRPr="00DA1FF3" w:rsidRDefault="007347A7" w:rsidP="0034027F">
            <w:pPr>
              <w:rPr>
                <w:color w:val="004650"/>
                <w:sz w:val="20"/>
                <w:szCs w:val="22"/>
              </w:rPr>
            </w:pPr>
            <w:r w:rsidRPr="00DA1FF3">
              <w:rPr>
                <w:color w:val="004650"/>
                <w:sz w:val="20"/>
                <w:szCs w:val="22"/>
              </w:rPr>
              <w:t xml:space="preserve">Describe the main types of data collected (for example, clinical diagnoses, prescriptions, procedures, patient experience data), how data was recorded (for example, clinical coding systems, free text, remote monitoring, survey response), and who collects the data (for example, healthcare professional, self-reported, digital health technology). </w:t>
            </w:r>
            <w:r w:rsidR="00D16BE1">
              <w:rPr>
                <w:color w:val="004650"/>
                <w:sz w:val="20"/>
                <w:szCs w:val="22"/>
              </w:rPr>
              <w:t>If</w:t>
            </w:r>
            <w:r w:rsidR="00D16BE1" w:rsidRPr="00DA1FF3">
              <w:rPr>
                <w:color w:val="004650"/>
                <w:sz w:val="20"/>
                <w:szCs w:val="22"/>
              </w:rPr>
              <w:t xml:space="preserve"> </w:t>
            </w:r>
            <w:r w:rsidRPr="00DA1FF3">
              <w:rPr>
                <w:color w:val="004650"/>
                <w:sz w:val="20"/>
                <w:szCs w:val="22"/>
              </w:rPr>
              <w:t xml:space="preserve">the nature of data collection has changed during the data period (for instance, change in coding system or practices, data capture systems) describe the changes clearly. </w:t>
            </w:r>
          </w:p>
          <w:p w14:paraId="6E8B2972" w14:textId="209ACEA4" w:rsidR="007347A7" w:rsidRPr="00DA1FF3" w:rsidRDefault="00E65AA1" w:rsidP="0034027F">
            <w:r>
              <w:rPr>
                <w:color w:val="004650"/>
                <w:sz w:val="20"/>
                <w:szCs w:val="22"/>
              </w:rPr>
              <w:t>If</w:t>
            </w:r>
            <w:r w:rsidRPr="00DA1FF3">
              <w:rPr>
                <w:color w:val="004650"/>
                <w:sz w:val="20"/>
                <w:szCs w:val="22"/>
              </w:rPr>
              <w:t xml:space="preserve"> </w:t>
            </w:r>
            <w:r w:rsidR="007347A7" w:rsidRPr="00DA1FF3">
              <w:rPr>
                <w:color w:val="004650"/>
                <w:sz w:val="20"/>
                <w:szCs w:val="22"/>
              </w:rPr>
              <w:t xml:space="preserve">additional data collection was </w:t>
            </w:r>
            <w:r w:rsidR="00D637E5">
              <w:rPr>
                <w:color w:val="004650"/>
                <w:sz w:val="20"/>
                <w:szCs w:val="22"/>
              </w:rPr>
              <w:t>done</w:t>
            </w:r>
            <w:r w:rsidR="007347A7" w:rsidRPr="00DA1FF3">
              <w:rPr>
                <w:color w:val="004650"/>
                <w:sz w:val="20"/>
                <w:szCs w:val="22"/>
              </w:rPr>
              <w:t xml:space="preserve"> for a research study please describe</w:t>
            </w:r>
            <w:r w:rsidR="00AE13CE">
              <w:rPr>
                <w:color w:val="004650"/>
                <w:sz w:val="20"/>
                <w:szCs w:val="22"/>
              </w:rPr>
              <w:t>,</w:t>
            </w:r>
            <w:r w:rsidR="007347A7" w:rsidRPr="00DA1FF3">
              <w:rPr>
                <w:color w:val="004650"/>
                <w:sz w:val="20"/>
                <w:szCs w:val="22"/>
              </w:rPr>
              <w:t xml:space="preserve"> including how the validity and consistency of data collection was assured (for example, training). </w:t>
            </w:r>
          </w:p>
        </w:tc>
      </w:tr>
      <w:tr w:rsidR="007347A7" w:rsidRPr="00DA1FF3" w14:paraId="2E7C6C7C" w14:textId="77777777" w:rsidTr="0034027F">
        <w:tc>
          <w:tcPr>
            <w:tcW w:w="2892" w:type="dxa"/>
          </w:tcPr>
          <w:p w14:paraId="0A9BBDE1" w14:textId="77777777" w:rsidR="007347A7" w:rsidRPr="00DA1FF3" w:rsidRDefault="007347A7" w:rsidP="00226891">
            <w:pPr>
              <w:pStyle w:val="Tabletext"/>
            </w:pPr>
            <w:r w:rsidRPr="00DA1FF3">
              <w:t>Care setting</w:t>
            </w:r>
          </w:p>
        </w:tc>
        <w:tc>
          <w:tcPr>
            <w:tcW w:w="6248" w:type="dxa"/>
          </w:tcPr>
          <w:p w14:paraId="13D005D5" w14:textId="13CB07DE" w:rsidR="007347A7" w:rsidRPr="00DA1FF3" w:rsidRDefault="007347A7" w:rsidP="0034027F">
            <w:r w:rsidRPr="00DA1FF3">
              <w:rPr>
                <w:color w:val="004650"/>
                <w:sz w:val="20"/>
                <w:szCs w:val="22"/>
              </w:rPr>
              <w:t>State the setting of care for each dataset used (for example, primary care, secondary care, specialist health centres, social services, home use [for wearable devices, or self-reported data on apps or websites]).</w:t>
            </w:r>
          </w:p>
        </w:tc>
      </w:tr>
      <w:tr w:rsidR="007347A7" w:rsidRPr="00DA1FF3" w14:paraId="571569C0" w14:textId="77777777" w:rsidTr="0034027F">
        <w:tc>
          <w:tcPr>
            <w:tcW w:w="2892" w:type="dxa"/>
          </w:tcPr>
          <w:p w14:paraId="765A9C0C" w14:textId="77777777" w:rsidR="007347A7" w:rsidRPr="00DA1FF3" w:rsidRDefault="007347A7" w:rsidP="00226891">
            <w:pPr>
              <w:pStyle w:val="Tabletext"/>
            </w:pPr>
            <w:r w:rsidRPr="00DA1FF3">
              <w:t>Geographical setting</w:t>
            </w:r>
          </w:p>
        </w:tc>
        <w:tc>
          <w:tcPr>
            <w:tcW w:w="6248" w:type="dxa"/>
          </w:tcPr>
          <w:p w14:paraId="0D2171BF" w14:textId="791EE6A4" w:rsidR="007347A7" w:rsidRPr="00DA1FF3" w:rsidRDefault="007347A7" w:rsidP="0034027F">
            <w:r w:rsidRPr="00DA1FF3">
              <w:rPr>
                <w:color w:val="004650"/>
                <w:sz w:val="20"/>
                <w:szCs w:val="22"/>
              </w:rPr>
              <w:t>State the geographical coverage of the data sources.</w:t>
            </w:r>
          </w:p>
        </w:tc>
      </w:tr>
      <w:tr w:rsidR="007347A7" w:rsidRPr="00DA1FF3" w14:paraId="4EFD1DC2" w14:textId="77777777" w:rsidTr="0034027F">
        <w:tc>
          <w:tcPr>
            <w:tcW w:w="2892" w:type="dxa"/>
          </w:tcPr>
          <w:p w14:paraId="6B86E1E2" w14:textId="77777777" w:rsidR="007347A7" w:rsidRPr="00DA1FF3" w:rsidRDefault="007347A7" w:rsidP="00226891">
            <w:pPr>
              <w:pStyle w:val="Tabletext"/>
            </w:pPr>
            <w:r w:rsidRPr="00DA1FF3">
              <w:t>Population coverage</w:t>
            </w:r>
          </w:p>
        </w:tc>
        <w:tc>
          <w:tcPr>
            <w:tcW w:w="6248" w:type="dxa"/>
          </w:tcPr>
          <w:p w14:paraId="309493F6" w14:textId="0F1B42C0" w:rsidR="007347A7" w:rsidRPr="00DA1FF3" w:rsidRDefault="007347A7" w:rsidP="0034027F">
            <w:r w:rsidRPr="00DA1FF3">
              <w:rPr>
                <w:color w:val="004650"/>
                <w:sz w:val="20"/>
                <w:szCs w:val="22"/>
              </w:rPr>
              <w:t>State how much of the target population is represented by the dataset (for example, population representativeness or patient accrual).</w:t>
            </w:r>
          </w:p>
        </w:tc>
      </w:tr>
      <w:tr w:rsidR="007347A7" w:rsidRPr="00DA1FF3" w14:paraId="6E9D596B" w14:textId="77777777" w:rsidTr="0034027F">
        <w:tc>
          <w:tcPr>
            <w:tcW w:w="2892" w:type="dxa"/>
          </w:tcPr>
          <w:p w14:paraId="5F6B69B3" w14:textId="77777777" w:rsidR="007347A7" w:rsidRPr="00DA1FF3" w:rsidRDefault="007347A7" w:rsidP="00226891">
            <w:pPr>
              <w:pStyle w:val="Tabletext"/>
            </w:pPr>
            <w:r w:rsidRPr="00DA1FF3">
              <w:lastRenderedPageBreak/>
              <w:t>Time period of data</w:t>
            </w:r>
          </w:p>
        </w:tc>
        <w:tc>
          <w:tcPr>
            <w:tcW w:w="6248" w:type="dxa"/>
          </w:tcPr>
          <w:p w14:paraId="36C2EA25" w14:textId="5CFAD5B2" w:rsidR="007347A7" w:rsidRPr="00DA1FF3" w:rsidRDefault="007347A7" w:rsidP="0034027F">
            <w:r w:rsidRPr="00DA1FF3">
              <w:rPr>
                <w:color w:val="004650"/>
                <w:sz w:val="20"/>
                <w:szCs w:val="22"/>
              </w:rPr>
              <w:t xml:space="preserve">State the </w:t>
            </w:r>
            <w:proofErr w:type="gramStart"/>
            <w:r w:rsidRPr="00DA1FF3">
              <w:rPr>
                <w:color w:val="004650"/>
                <w:sz w:val="20"/>
                <w:szCs w:val="22"/>
              </w:rPr>
              <w:t>time period</w:t>
            </w:r>
            <w:proofErr w:type="gramEnd"/>
            <w:r w:rsidRPr="00DA1FF3">
              <w:rPr>
                <w:color w:val="004650"/>
                <w:sz w:val="20"/>
                <w:szCs w:val="22"/>
              </w:rPr>
              <w:t xml:space="preserve"> covered by the data.</w:t>
            </w:r>
          </w:p>
        </w:tc>
      </w:tr>
      <w:tr w:rsidR="007347A7" w:rsidRPr="00DA1FF3" w14:paraId="346E5F1B" w14:textId="77777777" w:rsidTr="0034027F">
        <w:tc>
          <w:tcPr>
            <w:tcW w:w="2892" w:type="dxa"/>
          </w:tcPr>
          <w:p w14:paraId="257C3EC1" w14:textId="77777777" w:rsidR="007347A7" w:rsidRPr="00DA1FF3" w:rsidRDefault="007347A7" w:rsidP="00226891">
            <w:pPr>
              <w:pStyle w:val="Tabletext"/>
            </w:pPr>
            <w:r w:rsidRPr="00DA1FF3">
              <w:t>Data preparation</w:t>
            </w:r>
          </w:p>
        </w:tc>
        <w:tc>
          <w:tcPr>
            <w:tcW w:w="6248" w:type="dxa"/>
          </w:tcPr>
          <w:p w14:paraId="2A8046B5" w14:textId="73835B29" w:rsidR="007347A7" w:rsidRPr="00DA1FF3" w:rsidRDefault="007347A7" w:rsidP="0034027F">
            <w:pPr>
              <w:rPr>
                <w:color w:val="004650"/>
                <w:sz w:val="20"/>
                <w:szCs w:val="22"/>
              </w:rPr>
            </w:pPr>
            <w:r w:rsidRPr="00DA1FF3">
              <w:rPr>
                <w:color w:val="004650"/>
                <w:sz w:val="20"/>
                <w:szCs w:val="22"/>
              </w:rPr>
              <w:t>Provide details of whether raw data were accessed for analysis, or whether the data owner had undertaken any data preparation steps such as cleansing or transformation. Mention whether centralised transformation to a common data model was undertaken. Include links to any relevant information including common data model type and version number and details of mapping.</w:t>
            </w:r>
          </w:p>
          <w:p w14:paraId="16256A5E" w14:textId="098A4C5A" w:rsidR="007347A7" w:rsidRPr="00DA1FF3" w:rsidRDefault="007347A7" w:rsidP="0034027F">
            <w:r w:rsidRPr="00DA1FF3">
              <w:rPr>
                <w:color w:val="004650"/>
                <w:sz w:val="20"/>
                <w:szCs w:val="22"/>
              </w:rPr>
              <w:t>Full details of data preparation specific to addressing the research question is covered in</w:t>
            </w:r>
            <w:r w:rsidR="001D7779">
              <w:rPr>
                <w:color w:val="004650"/>
                <w:sz w:val="20"/>
                <w:szCs w:val="22"/>
              </w:rPr>
              <w:t xml:space="preserve"> data curation</w:t>
            </w:r>
            <w:r w:rsidRPr="00DA1FF3">
              <w:rPr>
                <w:color w:val="004650"/>
                <w:sz w:val="20"/>
                <w:szCs w:val="22"/>
              </w:rPr>
              <w:t>.</w:t>
            </w:r>
          </w:p>
        </w:tc>
      </w:tr>
      <w:tr w:rsidR="007347A7" w:rsidRPr="00DA1FF3" w14:paraId="35CB2A72" w14:textId="77777777" w:rsidTr="0034027F">
        <w:tc>
          <w:tcPr>
            <w:tcW w:w="2892" w:type="dxa"/>
          </w:tcPr>
          <w:p w14:paraId="0943692D" w14:textId="77777777" w:rsidR="007347A7" w:rsidRPr="00DA1FF3" w:rsidRDefault="007347A7" w:rsidP="00226891">
            <w:pPr>
              <w:pStyle w:val="Tabletext"/>
            </w:pPr>
            <w:r w:rsidRPr="00DA1FF3">
              <w:t>Data sharing</w:t>
            </w:r>
          </w:p>
        </w:tc>
        <w:tc>
          <w:tcPr>
            <w:tcW w:w="6248" w:type="dxa"/>
          </w:tcPr>
          <w:p w14:paraId="7A269911" w14:textId="50DA1C0C" w:rsidR="007347A7" w:rsidRPr="00DA1FF3" w:rsidRDefault="007347A7" w:rsidP="0034027F">
            <w:r w:rsidRPr="00DA1FF3">
              <w:rPr>
                <w:color w:val="004650"/>
                <w:sz w:val="20"/>
                <w:szCs w:val="22"/>
              </w:rPr>
              <w:t>Describe how</w:t>
            </w:r>
            <w:r w:rsidR="001D7779">
              <w:rPr>
                <w:color w:val="004650"/>
                <w:sz w:val="20"/>
                <w:szCs w:val="22"/>
              </w:rPr>
              <w:t xml:space="preserve"> others can access data.</w:t>
            </w:r>
            <w:r w:rsidRPr="00DA1FF3">
              <w:rPr>
                <w:sz w:val="20"/>
                <w:szCs w:val="22"/>
              </w:rPr>
              <w:t xml:space="preserve"> </w:t>
            </w:r>
          </w:p>
        </w:tc>
      </w:tr>
      <w:tr w:rsidR="007347A7" w:rsidRPr="00DA1FF3" w14:paraId="333D9308" w14:textId="77777777" w:rsidTr="0034027F">
        <w:tc>
          <w:tcPr>
            <w:tcW w:w="2892" w:type="dxa"/>
          </w:tcPr>
          <w:p w14:paraId="4E282843" w14:textId="77777777" w:rsidR="007347A7" w:rsidRPr="00DA1FF3" w:rsidRDefault="007347A7" w:rsidP="00226891">
            <w:pPr>
              <w:pStyle w:val="Tabletext"/>
            </w:pPr>
            <w:r w:rsidRPr="00DA1FF3">
              <w:t>Data governance</w:t>
            </w:r>
          </w:p>
        </w:tc>
        <w:tc>
          <w:tcPr>
            <w:tcW w:w="6248" w:type="dxa"/>
          </w:tcPr>
          <w:p w14:paraId="759D6BCD" w14:textId="089F0E08" w:rsidR="007347A7" w:rsidRPr="00DA1FF3" w:rsidRDefault="007347A7" w:rsidP="0034027F">
            <w:pPr>
              <w:rPr>
                <w:color w:val="004650"/>
                <w:sz w:val="20"/>
                <w:szCs w:val="22"/>
              </w:rPr>
            </w:pPr>
            <w:r w:rsidRPr="00DA1FF3">
              <w:rPr>
                <w:color w:val="004650"/>
                <w:sz w:val="20"/>
                <w:szCs w:val="22"/>
              </w:rPr>
              <w:t xml:space="preserve">Provide the details of the data controller and funding for each source. Describe the information governance processes for data access and use. </w:t>
            </w:r>
          </w:p>
        </w:tc>
      </w:tr>
      <w:tr w:rsidR="007347A7" w:rsidRPr="00DA1FF3" w14:paraId="3642574D" w14:textId="77777777" w:rsidTr="0034027F">
        <w:tc>
          <w:tcPr>
            <w:tcW w:w="2892" w:type="dxa"/>
          </w:tcPr>
          <w:p w14:paraId="5C3E619C" w14:textId="77777777" w:rsidR="007347A7" w:rsidRPr="00DA1FF3" w:rsidRDefault="007347A7" w:rsidP="00226891">
            <w:pPr>
              <w:pStyle w:val="Tabletext"/>
            </w:pPr>
            <w:r w:rsidRPr="00DA1FF3">
              <w:t>Data specification</w:t>
            </w:r>
          </w:p>
        </w:tc>
        <w:tc>
          <w:tcPr>
            <w:tcW w:w="6248" w:type="dxa"/>
          </w:tcPr>
          <w:p w14:paraId="6033975B" w14:textId="2181846D" w:rsidR="007347A7" w:rsidRPr="00DA1FF3" w:rsidRDefault="007347A7" w:rsidP="0034027F">
            <w:r w:rsidRPr="00DA1FF3">
              <w:rPr>
                <w:color w:val="004650"/>
                <w:sz w:val="20"/>
                <w:szCs w:val="22"/>
              </w:rPr>
              <w:t>Note whether a data specification document is available. This may include a data model, data dictionary, or both.</w:t>
            </w:r>
          </w:p>
        </w:tc>
      </w:tr>
      <w:tr w:rsidR="007347A7" w:rsidRPr="00DA1FF3" w14:paraId="5A542178" w14:textId="77777777" w:rsidTr="0034027F">
        <w:tc>
          <w:tcPr>
            <w:tcW w:w="2892" w:type="dxa"/>
          </w:tcPr>
          <w:p w14:paraId="2A1BE543" w14:textId="77777777" w:rsidR="007347A7" w:rsidRPr="00DA1FF3" w:rsidRDefault="007347A7" w:rsidP="00226891">
            <w:pPr>
              <w:pStyle w:val="Tabletext"/>
            </w:pPr>
            <w:r w:rsidRPr="00DA1FF3">
              <w:t xml:space="preserve">Data management plan and quality assurance methods </w:t>
            </w:r>
          </w:p>
        </w:tc>
        <w:tc>
          <w:tcPr>
            <w:tcW w:w="6248" w:type="dxa"/>
          </w:tcPr>
          <w:p w14:paraId="0B370F57" w14:textId="2E55A538" w:rsidR="007347A7" w:rsidRPr="00DA1FF3" w:rsidRDefault="007347A7" w:rsidP="0034027F">
            <w:r w:rsidRPr="00DA1FF3">
              <w:rPr>
                <w:color w:val="004650"/>
                <w:sz w:val="20"/>
                <w:szCs w:val="22"/>
              </w:rPr>
              <w:t>Note whether a data management plan, documentation of source quality assurance methods is available with links to relevant documents.</w:t>
            </w:r>
          </w:p>
        </w:tc>
      </w:tr>
      <w:tr w:rsidR="007347A7" w:rsidRPr="00DA1FF3" w14:paraId="3703F5E4" w14:textId="77777777" w:rsidTr="0034027F">
        <w:tc>
          <w:tcPr>
            <w:tcW w:w="2892" w:type="dxa"/>
          </w:tcPr>
          <w:p w14:paraId="6894E084" w14:textId="77777777" w:rsidR="007347A7" w:rsidRPr="00DA1FF3" w:rsidRDefault="007347A7" w:rsidP="00226891">
            <w:pPr>
              <w:pStyle w:val="Tabletext"/>
            </w:pPr>
            <w:r w:rsidRPr="00DA1FF3">
              <w:t>Other documents</w:t>
            </w:r>
          </w:p>
        </w:tc>
        <w:tc>
          <w:tcPr>
            <w:tcW w:w="6248" w:type="dxa"/>
          </w:tcPr>
          <w:p w14:paraId="327625AF" w14:textId="506DD6FB" w:rsidR="007347A7" w:rsidRPr="00DA1FF3" w:rsidRDefault="007347A7" w:rsidP="0034027F">
            <w:pPr>
              <w:rPr>
                <w:color w:val="004650"/>
                <w:sz w:val="20"/>
                <w:szCs w:val="22"/>
              </w:rPr>
            </w:pPr>
            <w:r w:rsidRPr="00DA1FF3">
              <w:rPr>
                <w:color w:val="004650"/>
                <w:sz w:val="20"/>
                <w:szCs w:val="22"/>
              </w:rPr>
              <w:t>Note whether any other documentation is available. Provide hyperlinks or citations to key publications, if available.</w:t>
            </w:r>
          </w:p>
          <w:p w14:paraId="79907C78" w14:textId="26B031A9" w:rsidR="007347A7" w:rsidRPr="00DA1FF3" w:rsidRDefault="007347A7" w:rsidP="0034027F">
            <w:r w:rsidRPr="00DA1FF3">
              <w:rPr>
                <w:color w:val="004650"/>
                <w:sz w:val="20"/>
                <w:szCs w:val="22"/>
              </w:rPr>
              <w:t>If the dataset is available from the HDRUK innovation gateway, provide the hyperlink to its profile on the HDRUK website.</w:t>
            </w:r>
          </w:p>
        </w:tc>
      </w:tr>
    </w:tbl>
    <w:p w14:paraId="2DFCEDB1" w14:textId="77777777" w:rsidR="007347A7" w:rsidRPr="00DA1FF3" w:rsidRDefault="007347A7" w:rsidP="007347A7"/>
    <w:p w14:paraId="5B376C2D" w14:textId="77777777" w:rsidR="007347A7" w:rsidRPr="00DA1FF3" w:rsidRDefault="007347A7" w:rsidP="007347A7">
      <w:pPr>
        <w:pStyle w:val="Heading3"/>
      </w:pPr>
      <w:r w:rsidRPr="00DA1FF3">
        <w:br w:type="page"/>
      </w:r>
    </w:p>
    <w:p w14:paraId="783DE21F" w14:textId="290EA9F1" w:rsidR="007347A7" w:rsidRPr="00DA1FF3" w:rsidRDefault="007347A7" w:rsidP="00382670">
      <w:pPr>
        <w:pStyle w:val="Caption"/>
      </w:pPr>
      <w:r w:rsidRPr="00DA1FF3">
        <w:lastRenderedPageBreak/>
        <w:t xml:space="preserve">Data </w:t>
      </w:r>
      <w:r w:rsidR="00D32E54">
        <w:t>q</w:t>
      </w:r>
      <w:r w:rsidRPr="00DA1FF3">
        <w:t>uality</w:t>
      </w:r>
    </w:p>
    <w:p w14:paraId="4300863A" w14:textId="1FE9270C" w:rsidR="007347A7" w:rsidRPr="00DA1FF3" w:rsidRDefault="007347A7" w:rsidP="004052F4">
      <w:r w:rsidRPr="00DA1FF3">
        <w:t xml:space="preserve">Details of data quality should be provided for key study variables including population eligibility criteria, outcomes, interventions or exposures, and covariates. </w:t>
      </w:r>
    </w:p>
    <w:tbl>
      <w:tblPr>
        <w:tblStyle w:val="Surveillancetable"/>
        <w:tblW w:w="0" w:type="auto"/>
        <w:tblLook w:val="04A0" w:firstRow="1" w:lastRow="0" w:firstColumn="1" w:lastColumn="0" w:noHBand="0" w:noVBand="1"/>
      </w:tblPr>
      <w:tblGrid>
        <w:gridCol w:w="1210"/>
        <w:gridCol w:w="2304"/>
        <w:gridCol w:w="1378"/>
        <w:gridCol w:w="1381"/>
        <w:gridCol w:w="1365"/>
        <w:gridCol w:w="1378"/>
      </w:tblGrid>
      <w:tr w:rsidR="007347A7" w:rsidRPr="00DA1FF3" w14:paraId="1522C0B2" w14:textId="77777777" w:rsidTr="0034027F">
        <w:trPr>
          <w:cnfStyle w:val="100000000000" w:firstRow="1" w:lastRow="0" w:firstColumn="0" w:lastColumn="0" w:oddVBand="0" w:evenVBand="0" w:oddHBand="0" w:evenHBand="0" w:firstRowFirstColumn="0" w:firstRowLastColumn="0" w:lastRowFirstColumn="0" w:lastRowLastColumn="0"/>
          <w:tblHeader/>
        </w:trPr>
        <w:tc>
          <w:tcPr>
            <w:tcW w:w="1220" w:type="dxa"/>
          </w:tcPr>
          <w:p w14:paraId="062A2655" w14:textId="77777777" w:rsidR="007347A7" w:rsidRPr="00DA1FF3" w:rsidRDefault="007347A7" w:rsidP="0034027F">
            <w:r w:rsidRPr="00DA1FF3">
              <w:t>Study variable</w:t>
            </w:r>
          </w:p>
        </w:tc>
        <w:tc>
          <w:tcPr>
            <w:tcW w:w="2380" w:type="dxa"/>
          </w:tcPr>
          <w:p w14:paraId="1A0D3464" w14:textId="77777777" w:rsidR="007347A7" w:rsidRPr="00DA1FF3" w:rsidRDefault="007347A7" w:rsidP="0034027F">
            <w:r w:rsidRPr="00DA1FF3">
              <w:t>Target concept</w:t>
            </w:r>
          </w:p>
        </w:tc>
        <w:tc>
          <w:tcPr>
            <w:tcW w:w="1385" w:type="dxa"/>
          </w:tcPr>
          <w:p w14:paraId="079FABEF" w14:textId="77777777" w:rsidR="007347A7" w:rsidRPr="00DA1FF3" w:rsidRDefault="007347A7" w:rsidP="0034027F">
            <w:r w:rsidRPr="00DA1FF3">
              <w:t>Operational definition</w:t>
            </w:r>
          </w:p>
        </w:tc>
        <w:tc>
          <w:tcPr>
            <w:tcW w:w="1385" w:type="dxa"/>
          </w:tcPr>
          <w:p w14:paraId="1393ADDE" w14:textId="77777777" w:rsidR="007347A7" w:rsidRPr="00DA1FF3" w:rsidRDefault="007347A7" w:rsidP="0034027F">
            <w:r w:rsidRPr="00DA1FF3">
              <w:t>Quality dimension</w:t>
            </w:r>
          </w:p>
        </w:tc>
        <w:tc>
          <w:tcPr>
            <w:tcW w:w="1385" w:type="dxa"/>
          </w:tcPr>
          <w:p w14:paraId="2381E069" w14:textId="77777777" w:rsidR="007347A7" w:rsidRPr="00DA1FF3" w:rsidRDefault="007347A7" w:rsidP="0034027F">
            <w:r w:rsidRPr="00DA1FF3">
              <w:t>How assessed</w:t>
            </w:r>
          </w:p>
        </w:tc>
        <w:tc>
          <w:tcPr>
            <w:tcW w:w="1385" w:type="dxa"/>
          </w:tcPr>
          <w:p w14:paraId="488AEFEA" w14:textId="77777777" w:rsidR="007347A7" w:rsidRPr="00DA1FF3" w:rsidRDefault="007347A7" w:rsidP="0034027F">
            <w:r w:rsidRPr="00DA1FF3">
              <w:t>Assessment result</w:t>
            </w:r>
          </w:p>
        </w:tc>
      </w:tr>
      <w:tr w:rsidR="007347A7" w:rsidRPr="00DA1FF3" w14:paraId="26D439A8" w14:textId="77777777" w:rsidTr="0034027F">
        <w:tc>
          <w:tcPr>
            <w:tcW w:w="1220" w:type="dxa"/>
          </w:tcPr>
          <w:p w14:paraId="71473A96" w14:textId="6046B463" w:rsidR="007347A7" w:rsidRPr="00DA1FF3" w:rsidRDefault="007347A7" w:rsidP="0034027F">
            <w:pPr>
              <w:pStyle w:val="Tabletext"/>
              <w:rPr>
                <w:color w:val="004650"/>
              </w:rPr>
            </w:pPr>
            <w:r w:rsidRPr="00DA1FF3">
              <w:rPr>
                <w:color w:val="004650"/>
              </w:rPr>
              <w:t xml:space="preserve">What type of variable (for example, population </w:t>
            </w:r>
            <w:proofErr w:type="gramStart"/>
            <w:r w:rsidRPr="00DA1FF3">
              <w:rPr>
                <w:color w:val="004650"/>
              </w:rPr>
              <w:t>eligibility,</w:t>
            </w:r>
            <w:proofErr w:type="gramEnd"/>
            <w:r w:rsidRPr="00DA1FF3">
              <w:rPr>
                <w:color w:val="004650"/>
              </w:rPr>
              <w:t xml:space="preserve"> outcome)</w:t>
            </w:r>
          </w:p>
        </w:tc>
        <w:tc>
          <w:tcPr>
            <w:tcW w:w="2380" w:type="dxa"/>
          </w:tcPr>
          <w:p w14:paraId="549F8919" w14:textId="298CB5A0" w:rsidR="007347A7" w:rsidRPr="00DA1FF3" w:rsidRDefault="007347A7" w:rsidP="0034027F">
            <w:r w:rsidRPr="00DA1FF3">
              <w:rPr>
                <w:color w:val="004650"/>
                <w:sz w:val="20"/>
                <w:szCs w:val="22"/>
              </w:rPr>
              <w:t>Define the target concept (for example, myocardial infarction [MI])</w:t>
            </w:r>
          </w:p>
        </w:tc>
        <w:tc>
          <w:tcPr>
            <w:tcW w:w="1385" w:type="dxa"/>
          </w:tcPr>
          <w:p w14:paraId="075B609F" w14:textId="7A19A3BF" w:rsidR="007347A7" w:rsidRPr="00DA1FF3" w:rsidRDefault="007347A7" w:rsidP="0034027F">
            <w:pPr>
              <w:rPr>
                <w:color w:val="004650"/>
                <w:sz w:val="20"/>
                <w:szCs w:val="22"/>
              </w:rPr>
            </w:pPr>
            <w:r w:rsidRPr="00DA1FF3">
              <w:rPr>
                <w:color w:val="004650"/>
                <w:sz w:val="20"/>
                <w:szCs w:val="22"/>
              </w:rPr>
              <w:t>Define operational definition. For example, MI defined by an ICD-10 code of I21 in the primary diagnosis position</w:t>
            </w:r>
          </w:p>
        </w:tc>
        <w:tc>
          <w:tcPr>
            <w:tcW w:w="1385" w:type="dxa"/>
          </w:tcPr>
          <w:p w14:paraId="579673C0" w14:textId="600CFF3C" w:rsidR="007347A7" w:rsidRPr="00DA1FF3" w:rsidRDefault="007347A7" w:rsidP="0034027F">
            <w:pPr>
              <w:rPr>
                <w:color w:val="004650"/>
                <w:sz w:val="20"/>
                <w:szCs w:val="22"/>
              </w:rPr>
            </w:pPr>
            <w:r w:rsidRPr="00DA1FF3">
              <w:rPr>
                <w:color w:val="004650"/>
                <w:sz w:val="20"/>
                <w:szCs w:val="22"/>
              </w:rPr>
              <w:t>Choose: accuracy or completeness</w:t>
            </w:r>
          </w:p>
        </w:tc>
        <w:tc>
          <w:tcPr>
            <w:tcW w:w="1385" w:type="dxa"/>
          </w:tcPr>
          <w:p w14:paraId="41E36B3C" w14:textId="3D07E39B" w:rsidR="007347A7" w:rsidRPr="00DA1FF3" w:rsidRDefault="007347A7" w:rsidP="0034027F">
            <w:pPr>
              <w:rPr>
                <w:color w:val="004650"/>
                <w:sz w:val="20"/>
                <w:szCs w:val="22"/>
              </w:rPr>
            </w:pPr>
            <w:r w:rsidRPr="00DA1FF3">
              <w:rPr>
                <w:color w:val="004650"/>
                <w:sz w:val="20"/>
                <w:szCs w:val="22"/>
              </w:rPr>
              <w:t xml:space="preserve">Describe how quality was assessed. Provide reference to previous validation studies </w:t>
            </w:r>
            <w:r w:rsidR="00D16BE1">
              <w:rPr>
                <w:color w:val="004650"/>
                <w:sz w:val="20"/>
                <w:szCs w:val="22"/>
              </w:rPr>
              <w:t>if</w:t>
            </w:r>
            <w:r w:rsidR="00D16BE1" w:rsidRPr="00DA1FF3">
              <w:rPr>
                <w:color w:val="004650"/>
                <w:sz w:val="20"/>
                <w:szCs w:val="22"/>
              </w:rPr>
              <w:t xml:space="preserve"> </w:t>
            </w:r>
            <w:r w:rsidRPr="00DA1FF3">
              <w:rPr>
                <w:color w:val="004650"/>
                <w:sz w:val="20"/>
                <w:szCs w:val="22"/>
              </w:rPr>
              <w:t>applicable.</w:t>
            </w:r>
          </w:p>
        </w:tc>
        <w:tc>
          <w:tcPr>
            <w:tcW w:w="1385" w:type="dxa"/>
          </w:tcPr>
          <w:p w14:paraId="4C95B882" w14:textId="0CED0C48" w:rsidR="007347A7" w:rsidRPr="00DA1FF3" w:rsidRDefault="007347A7" w:rsidP="0034027F">
            <w:pPr>
              <w:rPr>
                <w:color w:val="004650"/>
                <w:sz w:val="20"/>
                <w:szCs w:val="22"/>
              </w:rPr>
            </w:pPr>
            <w:r w:rsidRPr="00DA1FF3">
              <w:rPr>
                <w:color w:val="004650"/>
                <w:sz w:val="20"/>
                <w:szCs w:val="22"/>
              </w:rPr>
              <w:t xml:space="preserve">Provide quantitative assessment of quality </w:t>
            </w:r>
            <w:r w:rsidR="00D16BE1">
              <w:rPr>
                <w:color w:val="004650"/>
                <w:sz w:val="20"/>
                <w:szCs w:val="22"/>
              </w:rPr>
              <w:t>if</w:t>
            </w:r>
            <w:r w:rsidR="00D16BE1" w:rsidRPr="00DA1FF3">
              <w:rPr>
                <w:color w:val="004650"/>
                <w:sz w:val="20"/>
                <w:szCs w:val="22"/>
              </w:rPr>
              <w:t xml:space="preserve"> </w:t>
            </w:r>
            <w:r w:rsidRPr="00DA1FF3">
              <w:rPr>
                <w:color w:val="004650"/>
                <w:sz w:val="20"/>
                <w:szCs w:val="22"/>
              </w:rPr>
              <w:t>available. For example, ‘positive predictive value 85% (75%</w:t>
            </w:r>
            <w:r w:rsidR="00EF3F70">
              <w:rPr>
                <w:color w:val="004650"/>
                <w:sz w:val="20"/>
                <w:szCs w:val="22"/>
              </w:rPr>
              <w:t xml:space="preserve"> to </w:t>
            </w:r>
            <w:r w:rsidRPr="00DA1FF3">
              <w:rPr>
                <w:color w:val="004650"/>
                <w:sz w:val="20"/>
                <w:szCs w:val="22"/>
              </w:rPr>
              <w:t>95%)’</w:t>
            </w:r>
          </w:p>
        </w:tc>
      </w:tr>
      <w:tr w:rsidR="00EF3F70" w:rsidRPr="00DA1FF3" w14:paraId="27FC9970" w14:textId="77777777" w:rsidTr="0034027F">
        <w:tc>
          <w:tcPr>
            <w:tcW w:w="1220" w:type="dxa"/>
          </w:tcPr>
          <w:p w14:paraId="524DE628" w14:textId="77777777" w:rsidR="00EF3F70" w:rsidRPr="00DA1FF3" w:rsidRDefault="00EF3F70" w:rsidP="0034027F">
            <w:pPr>
              <w:pStyle w:val="Tabletext"/>
              <w:rPr>
                <w:color w:val="004650"/>
              </w:rPr>
            </w:pPr>
          </w:p>
        </w:tc>
        <w:tc>
          <w:tcPr>
            <w:tcW w:w="2380" w:type="dxa"/>
          </w:tcPr>
          <w:p w14:paraId="1183621A" w14:textId="77777777" w:rsidR="00EF3F70" w:rsidRPr="00DA1FF3" w:rsidRDefault="00EF3F70" w:rsidP="0034027F">
            <w:pPr>
              <w:rPr>
                <w:color w:val="004650"/>
                <w:sz w:val="20"/>
                <w:szCs w:val="22"/>
              </w:rPr>
            </w:pPr>
          </w:p>
        </w:tc>
        <w:tc>
          <w:tcPr>
            <w:tcW w:w="1385" w:type="dxa"/>
          </w:tcPr>
          <w:p w14:paraId="7857438D" w14:textId="77777777" w:rsidR="00EF3F70" w:rsidRPr="00DA1FF3" w:rsidRDefault="00EF3F70" w:rsidP="0034027F">
            <w:pPr>
              <w:rPr>
                <w:color w:val="004650"/>
                <w:sz w:val="20"/>
                <w:szCs w:val="22"/>
              </w:rPr>
            </w:pPr>
          </w:p>
        </w:tc>
        <w:tc>
          <w:tcPr>
            <w:tcW w:w="1385" w:type="dxa"/>
          </w:tcPr>
          <w:p w14:paraId="46C77CB2" w14:textId="77777777" w:rsidR="00EF3F70" w:rsidRPr="00DA1FF3" w:rsidRDefault="00EF3F70" w:rsidP="0034027F">
            <w:pPr>
              <w:rPr>
                <w:color w:val="004650"/>
                <w:sz w:val="20"/>
                <w:szCs w:val="22"/>
              </w:rPr>
            </w:pPr>
          </w:p>
        </w:tc>
        <w:tc>
          <w:tcPr>
            <w:tcW w:w="1385" w:type="dxa"/>
          </w:tcPr>
          <w:p w14:paraId="6E0797E5" w14:textId="77777777" w:rsidR="00EF3F70" w:rsidRPr="00DA1FF3" w:rsidRDefault="00EF3F70" w:rsidP="0034027F">
            <w:pPr>
              <w:rPr>
                <w:color w:val="004650"/>
                <w:sz w:val="20"/>
                <w:szCs w:val="22"/>
              </w:rPr>
            </w:pPr>
          </w:p>
        </w:tc>
        <w:tc>
          <w:tcPr>
            <w:tcW w:w="1385" w:type="dxa"/>
          </w:tcPr>
          <w:p w14:paraId="345B273A" w14:textId="77777777" w:rsidR="00EF3F70" w:rsidRPr="00DA1FF3" w:rsidRDefault="00EF3F70" w:rsidP="0034027F">
            <w:pPr>
              <w:rPr>
                <w:color w:val="004650"/>
                <w:sz w:val="20"/>
                <w:szCs w:val="22"/>
              </w:rPr>
            </w:pPr>
          </w:p>
        </w:tc>
      </w:tr>
      <w:tr w:rsidR="00EF3F70" w:rsidRPr="00DA1FF3" w14:paraId="28B4639A" w14:textId="77777777" w:rsidTr="0034027F">
        <w:tc>
          <w:tcPr>
            <w:tcW w:w="1220" w:type="dxa"/>
          </w:tcPr>
          <w:p w14:paraId="4AF9BCBF" w14:textId="77777777" w:rsidR="00EF3F70" w:rsidRPr="00DA1FF3" w:rsidRDefault="00EF3F70" w:rsidP="0034027F">
            <w:pPr>
              <w:pStyle w:val="Tabletext"/>
              <w:rPr>
                <w:color w:val="004650"/>
              </w:rPr>
            </w:pPr>
          </w:p>
        </w:tc>
        <w:tc>
          <w:tcPr>
            <w:tcW w:w="2380" w:type="dxa"/>
          </w:tcPr>
          <w:p w14:paraId="69CACA2B" w14:textId="77777777" w:rsidR="00EF3F70" w:rsidRPr="00DA1FF3" w:rsidRDefault="00EF3F70" w:rsidP="0034027F">
            <w:pPr>
              <w:rPr>
                <w:color w:val="004650"/>
                <w:sz w:val="20"/>
                <w:szCs w:val="22"/>
              </w:rPr>
            </w:pPr>
          </w:p>
        </w:tc>
        <w:tc>
          <w:tcPr>
            <w:tcW w:w="1385" w:type="dxa"/>
          </w:tcPr>
          <w:p w14:paraId="23BACB35" w14:textId="77777777" w:rsidR="00EF3F70" w:rsidRPr="00DA1FF3" w:rsidRDefault="00EF3F70" w:rsidP="0034027F">
            <w:pPr>
              <w:rPr>
                <w:color w:val="004650"/>
                <w:sz w:val="20"/>
                <w:szCs w:val="22"/>
              </w:rPr>
            </w:pPr>
          </w:p>
        </w:tc>
        <w:tc>
          <w:tcPr>
            <w:tcW w:w="1385" w:type="dxa"/>
          </w:tcPr>
          <w:p w14:paraId="50128632" w14:textId="77777777" w:rsidR="00EF3F70" w:rsidRPr="00DA1FF3" w:rsidRDefault="00EF3F70" w:rsidP="0034027F">
            <w:pPr>
              <w:rPr>
                <w:color w:val="004650"/>
                <w:sz w:val="20"/>
                <w:szCs w:val="22"/>
              </w:rPr>
            </w:pPr>
          </w:p>
        </w:tc>
        <w:tc>
          <w:tcPr>
            <w:tcW w:w="1385" w:type="dxa"/>
          </w:tcPr>
          <w:p w14:paraId="71B3131D" w14:textId="77777777" w:rsidR="00EF3F70" w:rsidRPr="00DA1FF3" w:rsidRDefault="00EF3F70" w:rsidP="0034027F">
            <w:pPr>
              <w:rPr>
                <w:color w:val="004650"/>
                <w:sz w:val="20"/>
                <w:szCs w:val="22"/>
              </w:rPr>
            </w:pPr>
          </w:p>
        </w:tc>
        <w:tc>
          <w:tcPr>
            <w:tcW w:w="1385" w:type="dxa"/>
          </w:tcPr>
          <w:p w14:paraId="7DF12F66" w14:textId="77777777" w:rsidR="00EF3F70" w:rsidRPr="00DA1FF3" w:rsidRDefault="00EF3F70" w:rsidP="0034027F">
            <w:pPr>
              <w:rPr>
                <w:color w:val="004650"/>
                <w:sz w:val="20"/>
                <w:szCs w:val="22"/>
              </w:rPr>
            </w:pPr>
          </w:p>
        </w:tc>
      </w:tr>
    </w:tbl>
    <w:p w14:paraId="36B4A11F" w14:textId="77777777" w:rsidR="007347A7" w:rsidRPr="00DA1FF3" w:rsidRDefault="007347A7" w:rsidP="007347A7"/>
    <w:p w14:paraId="4A95F9DA" w14:textId="77777777" w:rsidR="007347A7" w:rsidRPr="00DA1FF3" w:rsidRDefault="007347A7" w:rsidP="007347A7">
      <w:pPr>
        <w:pStyle w:val="Heading3"/>
      </w:pPr>
      <w:r w:rsidRPr="00DA1FF3">
        <w:br w:type="page"/>
      </w:r>
    </w:p>
    <w:p w14:paraId="769F06FE" w14:textId="3ECE4F69" w:rsidR="007347A7" w:rsidRPr="00DA1FF3" w:rsidRDefault="007347A7" w:rsidP="007347A7">
      <w:pPr>
        <w:pStyle w:val="Heading3"/>
      </w:pPr>
      <w:r w:rsidRPr="00DA1FF3">
        <w:lastRenderedPageBreak/>
        <w:t>Data relevance</w:t>
      </w:r>
    </w:p>
    <w:p w14:paraId="0BC94431" w14:textId="016CB05B" w:rsidR="007347A7" w:rsidRPr="00DA1FF3" w:rsidRDefault="007347A7" w:rsidP="009E5BDE">
      <w:r w:rsidRPr="00DA1FF3">
        <w:t>Please see recommendations for reporting</w:t>
      </w:r>
      <w:r w:rsidR="009E5BDE">
        <w:t xml:space="preserve"> data relevance</w:t>
      </w:r>
      <w:r w:rsidRPr="00DA1FF3">
        <w:t>.</w:t>
      </w:r>
    </w:p>
    <w:tbl>
      <w:tblPr>
        <w:tblStyle w:val="Surveillancetable"/>
        <w:tblW w:w="0" w:type="auto"/>
        <w:tblLook w:val="04A0" w:firstRow="1" w:lastRow="0" w:firstColumn="1" w:lastColumn="0" w:noHBand="0" w:noVBand="1"/>
      </w:tblPr>
      <w:tblGrid>
        <w:gridCol w:w="2863"/>
        <w:gridCol w:w="6153"/>
      </w:tblGrid>
      <w:tr w:rsidR="007347A7" w:rsidRPr="00DA1FF3" w14:paraId="169F38BA" w14:textId="77777777" w:rsidTr="0034027F">
        <w:trPr>
          <w:cnfStyle w:val="100000000000" w:firstRow="1" w:lastRow="0" w:firstColumn="0" w:lastColumn="0" w:oddVBand="0" w:evenVBand="0" w:oddHBand="0" w:evenHBand="0" w:firstRowFirstColumn="0" w:firstRowLastColumn="0" w:lastRowFirstColumn="0" w:lastRowLastColumn="0"/>
          <w:tblHeader/>
        </w:trPr>
        <w:tc>
          <w:tcPr>
            <w:tcW w:w="2892" w:type="dxa"/>
          </w:tcPr>
          <w:p w14:paraId="4DDC4691" w14:textId="77777777" w:rsidR="007347A7" w:rsidRPr="00DA1FF3" w:rsidRDefault="007347A7" w:rsidP="0034027F">
            <w:r w:rsidRPr="00DA1FF3">
              <w:t>Item</w:t>
            </w:r>
          </w:p>
        </w:tc>
        <w:tc>
          <w:tcPr>
            <w:tcW w:w="6248" w:type="dxa"/>
          </w:tcPr>
          <w:p w14:paraId="168C121A" w14:textId="77777777" w:rsidR="007347A7" w:rsidRPr="00DA1FF3" w:rsidRDefault="007347A7" w:rsidP="0034027F">
            <w:r w:rsidRPr="00DA1FF3">
              <w:t>Response</w:t>
            </w:r>
          </w:p>
        </w:tc>
      </w:tr>
      <w:tr w:rsidR="007347A7" w:rsidRPr="00DA1FF3" w14:paraId="32D47537" w14:textId="77777777" w:rsidTr="0034027F">
        <w:tc>
          <w:tcPr>
            <w:tcW w:w="2892" w:type="dxa"/>
          </w:tcPr>
          <w:p w14:paraId="755003C5" w14:textId="77777777" w:rsidR="007347A7" w:rsidRPr="00DA1FF3" w:rsidRDefault="007347A7" w:rsidP="0034027F">
            <w:pPr>
              <w:pStyle w:val="Tabletext"/>
            </w:pPr>
            <w:r w:rsidRPr="00DA1FF3">
              <w:t>Population</w:t>
            </w:r>
          </w:p>
        </w:tc>
        <w:tc>
          <w:tcPr>
            <w:tcW w:w="6248" w:type="dxa"/>
          </w:tcPr>
          <w:p w14:paraId="19AD925B" w14:textId="7480E4DB" w:rsidR="007347A7" w:rsidRPr="00DA1FF3" w:rsidRDefault="007347A7" w:rsidP="0034027F">
            <w:r w:rsidRPr="00DA1FF3">
              <w:rPr>
                <w:color w:val="004650"/>
                <w:sz w:val="20"/>
                <w:szCs w:val="22"/>
              </w:rPr>
              <w:t xml:space="preserve">Describe the extent to which the analytical sample reflects the target population. This should consider any data exclusions (for example, </w:t>
            </w:r>
            <w:r w:rsidR="00CF10E3">
              <w:rPr>
                <w:color w:val="004650"/>
                <w:sz w:val="20"/>
                <w:szCs w:val="22"/>
              </w:rPr>
              <w:t>because of</w:t>
            </w:r>
            <w:r w:rsidRPr="00DA1FF3">
              <w:rPr>
                <w:color w:val="004650"/>
                <w:sz w:val="20"/>
                <w:szCs w:val="22"/>
              </w:rPr>
              <w:t xml:space="preserve"> missing data on key prognostic variables).</w:t>
            </w:r>
          </w:p>
        </w:tc>
      </w:tr>
      <w:tr w:rsidR="007347A7" w:rsidRPr="00DA1FF3" w14:paraId="4AEF9E3D" w14:textId="77777777" w:rsidTr="0034027F">
        <w:tc>
          <w:tcPr>
            <w:tcW w:w="2892" w:type="dxa"/>
          </w:tcPr>
          <w:p w14:paraId="1BA195C0" w14:textId="77777777" w:rsidR="007347A7" w:rsidRPr="00DA1FF3" w:rsidRDefault="007347A7" w:rsidP="0034027F">
            <w:pPr>
              <w:pStyle w:val="Tabletext"/>
            </w:pPr>
            <w:r w:rsidRPr="00DA1FF3">
              <w:t>Care setting</w:t>
            </w:r>
          </w:p>
        </w:tc>
        <w:tc>
          <w:tcPr>
            <w:tcW w:w="6248" w:type="dxa"/>
          </w:tcPr>
          <w:p w14:paraId="20FAA744" w14:textId="055BFB97" w:rsidR="007347A7" w:rsidRPr="00DA1FF3" w:rsidRDefault="007347A7" w:rsidP="0034027F">
            <w:pPr>
              <w:spacing w:before="60"/>
              <w:rPr>
                <w:color w:val="004650"/>
                <w:sz w:val="20"/>
              </w:rPr>
            </w:pPr>
            <w:r w:rsidRPr="00DA1FF3">
              <w:rPr>
                <w:color w:val="004650"/>
                <w:sz w:val="20"/>
              </w:rPr>
              <w:t>Describe how well the care settings reflect routine care in the NHS.</w:t>
            </w:r>
          </w:p>
        </w:tc>
      </w:tr>
      <w:tr w:rsidR="007347A7" w:rsidRPr="00DA1FF3" w14:paraId="368BF041" w14:textId="77777777" w:rsidTr="0034027F">
        <w:tc>
          <w:tcPr>
            <w:tcW w:w="2892" w:type="dxa"/>
          </w:tcPr>
          <w:p w14:paraId="65966F63" w14:textId="77777777" w:rsidR="007347A7" w:rsidRPr="00DA1FF3" w:rsidRDefault="007347A7" w:rsidP="0034027F">
            <w:pPr>
              <w:pStyle w:val="Tabletext"/>
            </w:pPr>
            <w:r w:rsidRPr="00DA1FF3">
              <w:t>Treatment pathway</w:t>
            </w:r>
          </w:p>
        </w:tc>
        <w:tc>
          <w:tcPr>
            <w:tcW w:w="6248" w:type="dxa"/>
          </w:tcPr>
          <w:p w14:paraId="573C1203" w14:textId="18E83A4D" w:rsidR="007347A7" w:rsidRPr="00DA1FF3" w:rsidRDefault="007347A7" w:rsidP="0034027F">
            <w:pPr>
              <w:spacing w:before="60"/>
              <w:rPr>
                <w:color w:val="004650"/>
                <w:sz w:val="20"/>
              </w:rPr>
            </w:pPr>
            <w:r w:rsidRPr="00DA1FF3">
              <w:rPr>
                <w:color w:val="004650"/>
                <w:sz w:val="20"/>
              </w:rPr>
              <w:t xml:space="preserve">Describe how the treatment pathways experienced by people in the data reflects routine care pathways in the NHS (including any diagnostic tests). </w:t>
            </w:r>
          </w:p>
        </w:tc>
      </w:tr>
      <w:tr w:rsidR="007347A7" w:rsidRPr="00DA1FF3" w14:paraId="4FBE42C8" w14:textId="77777777" w:rsidTr="0034027F">
        <w:tc>
          <w:tcPr>
            <w:tcW w:w="2892" w:type="dxa"/>
          </w:tcPr>
          <w:p w14:paraId="318CCE6C" w14:textId="77777777" w:rsidR="007347A7" w:rsidRPr="00DA1FF3" w:rsidRDefault="007347A7" w:rsidP="0034027F">
            <w:pPr>
              <w:pStyle w:val="Tabletext"/>
            </w:pPr>
            <w:r w:rsidRPr="00DA1FF3">
              <w:t>Availability of key study elements</w:t>
            </w:r>
          </w:p>
        </w:tc>
        <w:tc>
          <w:tcPr>
            <w:tcW w:w="6248" w:type="dxa"/>
          </w:tcPr>
          <w:p w14:paraId="01D7D2CA" w14:textId="56D375E6" w:rsidR="007347A7" w:rsidRPr="00DA1FF3" w:rsidRDefault="007347A7" w:rsidP="0034027F">
            <w:pPr>
              <w:rPr>
                <w:color w:val="004650"/>
                <w:sz w:val="20"/>
              </w:rPr>
            </w:pPr>
            <w:r w:rsidRPr="00DA1FF3">
              <w:rPr>
                <w:color w:val="004650"/>
                <w:sz w:val="20"/>
              </w:rPr>
              <w:t xml:space="preserve">Note how the dataset met the requirements of the research question in terms of availability of the necessary data variables including key population eligibility criteria, outcomes, </w:t>
            </w:r>
            <w:proofErr w:type="gramStart"/>
            <w:r w:rsidRPr="00DA1FF3">
              <w:rPr>
                <w:color w:val="004650"/>
                <w:sz w:val="20"/>
              </w:rPr>
              <w:t>intervention</w:t>
            </w:r>
            <w:proofErr w:type="gramEnd"/>
            <w:r w:rsidRPr="00DA1FF3">
              <w:rPr>
                <w:color w:val="004650"/>
                <w:sz w:val="20"/>
              </w:rPr>
              <w:t xml:space="preserve"> and covariates (including confounders and effect modifiers).</w:t>
            </w:r>
          </w:p>
        </w:tc>
      </w:tr>
      <w:tr w:rsidR="007347A7" w:rsidRPr="00DA1FF3" w14:paraId="749A91FD" w14:textId="77777777" w:rsidTr="0034027F">
        <w:tc>
          <w:tcPr>
            <w:tcW w:w="2892" w:type="dxa"/>
          </w:tcPr>
          <w:p w14:paraId="5114E3BA" w14:textId="77777777" w:rsidR="007347A7" w:rsidRPr="00DA1FF3" w:rsidRDefault="007347A7" w:rsidP="0034027F">
            <w:pPr>
              <w:pStyle w:val="Tabletext"/>
            </w:pPr>
            <w:r w:rsidRPr="00DA1FF3">
              <w:t>Study period</w:t>
            </w:r>
          </w:p>
        </w:tc>
        <w:tc>
          <w:tcPr>
            <w:tcW w:w="6248" w:type="dxa"/>
          </w:tcPr>
          <w:p w14:paraId="297124B9" w14:textId="1971B38F" w:rsidR="007347A7" w:rsidRPr="00DA1FF3" w:rsidRDefault="007347A7" w:rsidP="0034027F">
            <w:pPr>
              <w:spacing w:before="60"/>
              <w:rPr>
                <w:color w:val="004650"/>
                <w:sz w:val="20"/>
              </w:rPr>
            </w:pPr>
            <w:r w:rsidRPr="00DA1FF3">
              <w:rPr>
                <w:color w:val="004650"/>
                <w:sz w:val="20"/>
              </w:rPr>
              <w:t xml:space="preserve">State the extent to which the </w:t>
            </w:r>
            <w:proofErr w:type="gramStart"/>
            <w:r w:rsidRPr="00DA1FF3">
              <w:rPr>
                <w:color w:val="004650"/>
                <w:sz w:val="20"/>
              </w:rPr>
              <w:t>time period</w:t>
            </w:r>
            <w:proofErr w:type="gramEnd"/>
            <w:r w:rsidRPr="00DA1FF3">
              <w:rPr>
                <w:color w:val="004650"/>
                <w:sz w:val="20"/>
              </w:rPr>
              <w:t xml:space="preserve"> covered by the data provides relevant information to decisions. This should cover any important changes to care pathways (including tests) or background changes in outcome rates. </w:t>
            </w:r>
          </w:p>
        </w:tc>
      </w:tr>
      <w:tr w:rsidR="007347A7" w:rsidRPr="00DA1FF3" w14:paraId="0FD6B5BB" w14:textId="77777777" w:rsidTr="0034027F">
        <w:tc>
          <w:tcPr>
            <w:tcW w:w="2892" w:type="dxa"/>
          </w:tcPr>
          <w:p w14:paraId="68DF8D5F" w14:textId="77777777" w:rsidR="007347A7" w:rsidRPr="00DA1FF3" w:rsidRDefault="007347A7" w:rsidP="0034027F">
            <w:pPr>
              <w:pStyle w:val="Tabletext"/>
            </w:pPr>
            <w:r w:rsidRPr="00DA1FF3">
              <w:t>Timing of measurements</w:t>
            </w:r>
          </w:p>
        </w:tc>
        <w:tc>
          <w:tcPr>
            <w:tcW w:w="6248" w:type="dxa"/>
          </w:tcPr>
          <w:p w14:paraId="633F5618" w14:textId="0250F2B1" w:rsidR="007347A7" w:rsidRPr="00DA1FF3" w:rsidRDefault="007347A7" w:rsidP="0034027F">
            <w:pPr>
              <w:spacing w:before="60"/>
              <w:rPr>
                <w:color w:val="004650"/>
                <w:sz w:val="20"/>
              </w:rPr>
            </w:pPr>
            <w:r w:rsidRPr="00DA1FF3">
              <w:rPr>
                <w:color w:val="004650"/>
                <w:sz w:val="20"/>
              </w:rPr>
              <w:t>Describe whether the timing of measurements meet the needs of the research question.</w:t>
            </w:r>
          </w:p>
        </w:tc>
      </w:tr>
      <w:tr w:rsidR="007347A7" w:rsidRPr="00DA1FF3" w14:paraId="7CBD0461" w14:textId="77777777" w:rsidTr="0034027F">
        <w:tc>
          <w:tcPr>
            <w:tcW w:w="2892" w:type="dxa"/>
          </w:tcPr>
          <w:p w14:paraId="3B0686B3" w14:textId="4647AA8A" w:rsidR="007347A7" w:rsidRPr="00DA1FF3" w:rsidRDefault="007347A7" w:rsidP="0034027F">
            <w:pPr>
              <w:pStyle w:val="Tabletext"/>
            </w:pPr>
            <w:r w:rsidRPr="00DA1FF3">
              <w:t>Follow</w:t>
            </w:r>
            <w:r w:rsidR="00C838C2">
              <w:t xml:space="preserve"> </w:t>
            </w:r>
            <w:r w:rsidRPr="00DA1FF3">
              <w:t>up</w:t>
            </w:r>
          </w:p>
        </w:tc>
        <w:tc>
          <w:tcPr>
            <w:tcW w:w="6248" w:type="dxa"/>
          </w:tcPr>
          <w:p w14:paraId="046A4A9C" w14:textId="6E856A8A" w:rsidR="007347A7" w:rsidRPr="00DA1FF3" w:rsidRDefault="007347A7" w:rsidP="0034027F">
            <w:pPr>
              <w:spacing w:before="60"/>
              <w:rPr>
                <w:color w:val="004650"/>
                <w:sz w:val="20"/>
              </w:rPr>
            </w:pPr>
            <w:r w:rsidRPr="00DA1FF3">
              <w:rPr>
                <w:color w:val="004650"/>
                <w:sz w:val="20"/>
              </w:rPr>
              <w:t>Note how the follow-up period available in the dataset is sufficient for assessing the outcomes.</w:t>
            </w:r>
          </w:p>
        </w:tc>
      </w:tr>
      <w:tr w:rsidR="007347A7" w:rsidRPr="00DA1FF3" w14:paraId="022140F2" w14:textId="77777777" w:rsidTr="0034027F">
        <w:tc>
          <w:tcPr>
            <w:tcW w:w="2892" w:type="dxa"/>
          </w:tcPr>
          <w:p w14:paraId="7A5E08E7" w14:textId="77777777" w:rsidR="007347A7" w:rsidRPr="00DA1FF3" w:rsidRDefault="007347A7" w:rsidP="0034027F">
            <w:pPr>
              <w:pStyle w:val="Tabletext"/>
            </w:pPr>
            <w:r w:rsidRPr="00DA1FF3">
              <w:t>Sample size</w:t>
            </w:r>
          </w:p>
        </w:tc>
        <w:tc>
          <w:tcPr>
            <w:tcW w:w="6248" w:type="dxa"/>
          </w:tcPr>
          <w:p w14:paraId="048875F1" w14:textId="51DBA89C" w:rsidR="007347A7" w:rsidRPr="00DA1FF3" w:rsidRDefault="007347A7" w:rsidP="0034027F">
            <w:pPr>
              <w:spacing w:before="60"/>
              <w:rPr>
                <w:color w:val="004650"/>
                <w:sz w:val="20"/>
              </w:rPr>
            </w:pPr>
            <w:r w:rsidRPr="00DA1FF3">
              <w:rPr>
                <w:color w:val="004650"/>
                <w:sz w:val="20"/>
              </w:rPr>
              <w:t xml:space="preserve">Provide the sample size of the target population in the dataset and demonstrate that it is adequate to generate robust results. </w:t>
            </w:r>
          </w:p>
        </w:tc>
      </w:tr>
    </w:tbl>
    <w:p w14:paraId="50C545B3" w14:textId="77777777" w:rsidR="007347A7" w:rsidRPr="00DA1FF3" w:rsidRDefault="007347A7" w:rsidP="007347A7"/>
    <w:p w14:paraId="3B0FD04D" w14:textId="77777777" w:rsidR="007347A7" w:rsidRPr="00DA1FF3" w:rsidRDefault="007347A7" w:rsidP="007347A7"/>
    <w:p w14:paraId="68B6F682" w14:textId="77777777" w:rsidR="007347A7" w:rsidRPr="00DA1FF3" w:rsidRDefault="007347A7" w:rsidP="007347A7">
      <w:pPr>
        <w:pStyle w:val="Heading2"/>
      </w:pPr>
      <w:r w:rsidRPr="00DA1FF3">
        <w:br w:type="page"/>
      </w:r>
    </w:p>
    <w:p w14:paraId="4E1BBF94" w14:textId="4734C0BE" w:rsidR="007347A7" w:rsidRPr="00DA1FF3" w:rsidRDefault="007347A7" w:rsidP="007347A7">
      <w:pPr>
        <w:pStyle w:val="Heading2"/>
      </w:pPr>
      <w:bookmarkStart w:id="5" w:name="_Toc95378737"/>
      <w:proofErr w:type="spellStart"/>
      <w:r w:rsidRPr="00DA1FF3">
        <w:lastRenderedPageBreak/>
        <w:t>DataSAT</w:t>
      </w:r>
      <w:proofErr w:type="spellEnd"/>
      <w:r w:rsidRPr="00DA1FF3">
        <w:t xml:space="preserve"> - case study</w:t>
      </w:r>
      <w:bookmarkEnd w:id="5"/>
    </w:p>
    <w:p w14:paraId="19916F41" w14:textId="77777777" w:rsidR="007347A7" w:rsidRPr="00DA1FF3" w:rsidRDefault="007347A7" w:rsidP="007347A7">
      <w:r w:rsidRPr="00DA1FF3">
        <w:t xml:space="preserve">Please note that the reporting for this case study is based on publicly available information in </w:t>
      </w:r>
      <w:hyperlink r:id="rId8" w:anchor="/abs1-1" w:history="1">
        <w:r w:rsidRPr="00DA1FF3">
          <w:rPr>
            <w:rStyle w:val="Hyperlink"/>
          </w:rPr>
          <w:t>Wing et al. 2021</w:t>
        </w:r>
      </w:hyperlink>
      <w:r w:rsidRPr="00DA1FF3">
        <w:t xml:space="preserve">. </w:t>
      </w:r>
    </w:p>
    <w:p w14:paraId="7B65C5F5" w14:textId="6721F6A3" w:rsidR="007347A7" w:rsidRPr="00DA1FF3" w:rsidRDefault="007347A7" w:rsidP="007347A7">
      <w:pPr>
        <w:pStyle w:val="Heading3"/>
      </w:pPr>
      <w:r w:rsidRPr="00DA1FF3">
        <w:t xml:space="preserve">Research </w:t>
      </w:r>
      <w:r w:rsidR="00D32E54">
        <w:t>q</w:t>
      </w:r>
      <w:r w:rsidRPr="00DA1FF3">
        <w:t>uestion</w:t>
      </w:r>
    </w:p>
    <w:p w14:paraId="0A6854CC" w14:textId="77777777" w:rsidR="007347A7" w:rsidRPr="00DA1FF3" w:rsidRDefault="007347A7" w:rsidP="007347A7">
      <w:r w:rsidRPr="00DA1FF3">
        <w:t xml:space="preserve">What is the effect of the long-acting beta-2 agonist and inhaled corticosteroid combination product fluticasone propionate plus salmeterol compared with no exposure or exposure to salmeterol only in people with COPD? </w:t>
      </w:r>
    </w:p>
    <w:p w14:paraId="5F89D546" w14:textId="178B4ED4" w:rsidR="007347A7" w:rsidRPr="00DA1FF3" w:rsidRDefault="007347A7" w:rsidP="00382670">
      <w:pPr>
        <w:pStyle w:val="Caption"/>
      </w:pPr>
      <w:r w:rsidRPr="00DA1FF3">
        <w:t xml:space="preserve">Data </w:t>
      </w:r>
      <w:r w:rsidR="00D32E54">
        <w:t>p</w:t>
      </w:r>
      <w:r w:rsidRPr="00DA1FF3">
        <w:t>rovenance</w:t>
      </w:r>
    </w:p>
    <w:tbl>
      <w:tblPr>
        <w:tblStyle w:val="Surveillancetable"/>
        <w:tblW w:w="0" w:type="auto"/>
        <w:tblLayout w:type="fixed"/>
        <w:tblLook w:val="04A0" w:firstRow="1" w:lastRow="0" w:firstColumn="1" w:lastColumn="0" w:noHBand="0" w:noVBand="1"/>
      </w:tblPr>
      <w:tblGrid>
        <w:gridCol w:w="2042"/>
        <w:gridCol w:w="7098"/>
      </w:tblGrid>
      <w:tr w:rsidR="007347A7" w:rsidRPr="00DA1FF3" w14:paraId="0A7E3B2A" w14:textId="77777777" w:rsidTr="0034027F">
        <w:trPr>
          <w:cnfStyle w:val="100000000000" w:firstRow="1" w:lastRow="0" w:firstColumn="0" w:lastColumn="0" w:oddVBand="0" w:evenVBand="0" w:oddHBand="0" w:evenHBand="0" w:firstRowFirstColumn="0" w:firstRowLastColumn="0" w:lastRowFirstColumn="0" w:lastRowLastColumn="0"/>
          <w:tblHeader/>
        </w:trPr>
        <w:tc>
          <w:tcPr>
            <w:tcW w:w="2042" w:type="dxa"/>
          </w:tcPr>
          <w:p w14:paraId="45C7BCFD" w14:textId="77777777" w:rsidR="007347A7" w:rsidRPr="00DA1FF3" w:rsidRDefault="007347A7" w:rsidP="0034027F">
            <w:r w:rsidRPr="00DA1FF3">
              <w:t>Item</w:t>
            </w:r>
          </w:p>
        </w:tc>
        <w:tc>
          <w:tcPr>
            <w:tcW w:w="7098" w:type="dxa"/>
          </w:tcPr>
          <w:p w14:paraId="1AAA1898" w14:textId="77777777" w:rsidR="007347A7" w:rsidRPr="00DA1FF3" w:rsidRDefault="007347A7" w:rsidP="0034027F">
            <w:r w:rsidRPr="00DA1FF3">
              <w:t>Response</w:t>
            </w:r>
          </w:p>
        </w:tc>
      </w:tr>
      <w:tr w:rsidR="007347A7" w:rsidRPr="00DA1FF3" w14:paraId="440060B7" w14:textId="77777777" w:rsidTr="0034027F">
        <w:tc>
          <w:tcPr>
            <w:tcW w:w="2042" w:type="dxa"/>
          </w:tcPr>
          <w:p w14:paraId="27B079B9" w14:textId="77777777" w:rsidR="007347A7" w:rsidRPr="00DA1FF3" w:rsidRDefault="007347A7" w:rsidP="00226891">
            <w:pPr>
              <w:pStyle w:val="Tabletext"/>
            </w:pPr>
            <w:r w:rsidRPr="00DA1FF3">
              <w:t>Data sources</w:t>
            </w:r>
          </w:p>
        </w:tc>
        <w:tc>
          <w:tcPr>
            <w:tcW w:w="7098" w:type="dxa"/>
          </w:tcPr>
          <w:p w14:paraId="383A8247" w14:textId="77777777" w:rsidR="007347A7" w:rsidRPr="00DA1FF3" w:rsidRDefault="007347A7" w:rsidP="0034027F">
            <w:pPr>
              <w:pStyle w:val="Tabletext"/>
            </w:pPr>
            <w:r w:rsidRPr="00DA1FF3">
              <w:t xml:space="preserve">Clinical Practice Research Datalink (CPRD) GOLD: </w:t>
            </w:r>
            <w:hyperlink r:id="rId9" w:history="1">
              <w:r w:rsidRPr="00DA1FF3">
                <w:rPr>
                  <w:rStyle w:val="Hyperlink"/>
                </w:rPr>
                <w:t>https://cprd.com/primary-care</w:t>
              </w:r>
            </w:hyperlink>
          </w:p>
          <w:p w14:paraId="37A4AFFD" w14:textId="60622797" w:rsidR="007347A7" w:rsidRPr="00DA1FF3" w:rsidRDefault="007347A7" w:rsidP="0034027F">
            <w:pPr>
              <w:pStyle w:val="Tabletext"/>
            </w:pPr>
            <w:r w:rsidRPr="00DA1FF3">
              <w:t xml:space="preserve">Hospital episode statistics (HES) Admitted Patient Care data: </w:t>
            </w:r>
            <w:hyperlink r:id="rId10" w:history="1">
              <w:r w:rsidRPr="00DA1FF3">
                <w:rPr>
                  <w:rStyle w:val="Hyperlink"/>
                </w:rPr>
                <w:t>https://digital.nhs.uk/data-and-information/data-tools-and-services/data-services/hospital-episode-statistics</w:t>
              </w:r>
            </w:hyperlink>
          </w:p>
        </w:tc>
      </w:tr>
      <w:tr w:rsidR="007347A7" w:rsidRPr="00DA1FF3" w14:paraId="6502074F" w14:textId="77777777" w:rsidTr="0034027F">
        <w:tc>
          <w:tcPr>
            <w:tcW w:w="2042" w:type="dxa"/>
          </w:tcPr>
          <w:p w14:paraId="5D8B2438" w14:textId="77777777" w:rsidR="007347A7" w:rsidRPr="00DA1FF3" w:rsidRDefault="007347A7" w:rsidP="00226891">
            <w:pPr>
              <w:pStyle w:val="Tabletext"/>
            </w:pPr>
            <w:r w:rsidRPr="00DA1FF3">
              <w:t>Data linkage and data pooling</w:t>
            </w:r>
          </w:p>
        </w:tc>
        <w:tc>
          <w:tcPr>
            <w:tcW w:w="7098" w:type="dxa"/>
          </w:tcPr>
          <w:p w14:paraId="3DF96D15" w14:textId="44E55256" w:rsidR="007347A7" w:rsidRPr="00DA1FF3" w:rsidRDefault="007347A7" w:rsidP="0034027F">
            <w:pPr>
              <w:pStyle w:val="Tabletext"/>
            </w:pPr>
            <w:r w:rsidRPr="00DA1FF3">
              <w:t xml:space="preserve">CPRD and HES are linked. Patients are identified in a centralised linkage algorithm </w:t>
            </w:r>
            <w:r w:rsidR="00D637E5">
              <w:t>done</w:t>
            </w:r>
            <w:r w:rsidRPr="00DA1FF3">
              <w:t xml:space="preserve"> by NHS digital. This uses an 8-step deterministic linkage algorithm based on 4 identifiers: NHS number, sex, date of birth and postcode. </w:t>
            </w:r>
          </w:p>
          <w:p w14:paraId="24DA9852" w14:textId="77777777" w:rsidR="007347A7" w:rsidRPr="00DA1FF3" w:rsidRDefault="007347A7" w:rsidP="0034027F">
            <w:pPr>
              <w:pStyle w:val="Tabletext"/>
            </w:pPr>
            <w:r w:rsidRPr="00DA1FF3">
              <w:t>Linkage to HES data is possible for 75% of enrolled patients.</w:t>
            </w:r>
          </w:p>
          <w:p w14:paraId="71124586" w14:textId="77777777" w:rsidR="007347A7" w:rsidRPr="00DA1FF3" w:rsidRDefault="007347A7" w:rsidP="0034027F">
            <w:pPr>
              <w:pStyle w:val="Tabletext"/>
            </w:pPr>
            <w:r w:rsidRPr="00DA1FF3">
              <w:t xml:space="preserve">See page 6 in: </w:t>
            </w:r>
            <w:hyperlink r:id="rId11" w:history="1">
              <w:r w:rsidRPr="00DA1FF3">
                <w:rPr>
                  <w:rStyle w:val="Hyperlink"/>
                </w:rPr>
                <w:t>https://www.cprd.com/sites/default/files/Documentation_HES_APC_set21_v2.7.pdf</w:t>
              </w:r>
            </w:hyperlink>
          </w:p>
        </w:tc>
      </w:tr>
      <w:tr w:rsidR="007347A7" w:rsidRPr="00DA1FF3" w14:paraId="44883BDC" w14:textId="77777777" w:rsidTr="0034027F">
        <w:tc>
          <w:tcPr>
            <w:tcW w:w="2042" w:type="dxa"/>
          </w:tcPr>
          <w:p w14:paraId="19DF559E" w14:textId="77777777" w:rsidR="007347A7" w:rsidRPr="00DA1FF3" w:rsidRDefault="007347A7" w:rsidP="00226891">
            <w:pPr>
              <w:pStyle w:val="Tabletext"/>
            </w:pPr>
            <w:r w:rsidRPr="00DA1FF3">
              <w:t>Type of data source</w:t>
            </w:r>
          </w:p>
        </w:tc>
        <w:tc>
          <w:tcPr>
            <w:tcW w:w="7098" w:type="dxa"/>
          </w:tcPr>
          <w:p w14:paraId="27E441CD" w14:textId="77777777" w:rsidR="007347A7" w:rsidRPr="00DA1FF3" w:rsidRDefault="007347A7" w:rsidP="0034027F">
            <w:pPr>
              <w:pStyle w:val="Tabletext"/>
            </w:pPr>
            <w:r w:rsidRPr="00DA1FF3">
              <w:t>HES = administrative records</w:t>
            </w:r>
          </w:p>
          <w:p w14:paraId="7ABD202C" w14:textId="77777777" w:rsidR="007347A7" w:rsidRPr="00DA1FF3" w:rsidRDefault="007347A7" w:rsidP="0034027F">
            <w:pPr>
              <w:pStyle w:val="Tabletext"/>
            </w:pPr>
            <w:r w:rsidRPr="00DA1FF3">
              <w:t>CPRD = electronic health records</w:t>
            </w:r>
          </w:p>
        </w:tc>
      </w:tr>
      <w:tr w:rsidR="007347A7" w:rsidRPr="00DA1FF3" w14:paraId="44EEB6F7" w14:textId="77777777" w:rsidTr="0034027F">
        <w:tc>
          <w:tcPr>
            <w:tcW w:w="2042" w:type="dxa"/>
          </w:tcPr>
          <w:p w14:paraId="396D34C6" w14:textId="77777777" w:rsidR="007347A7" w:rsidRPr="00DA1FF3" w:rsidRDefault="007347A7" w:rsidP="00226891">
            <w:pPr>
              <w:pStyle w:val="Tabletext"/>
            </w:pPr>
            <w:r w:rsidRPr="00DA1FF3">
              <w:t>Purpose of data collection</w:t>
            </w:r>
          </w:p>
        </w:tc>
        <w:tc>
          <w:tcPr>
            <w:tcW w:w="7098" w:type="dxa"/>
          </w:tcPr>
          <w:p w14:paraId="2D8E5F35" w14:textId="77777777" w:rsidR="007347A7" w:rsidRPr="00DA1FF3" w:rsidRDefault="007347A7" w:rsidP="0034027F">
            <w:pPr>
              <w:pStyle w:val="Tabletext"/>
            </w:pPr>
            <w:r w:rsidRPr="00DA1FF3">
              <w:t>Hospital Episode Statistics (HES) is derived from the Secondary Uses Service (SUS) data based on information submitted to NHS digital by healthcare providers. Data collection is primarily intended to support the reimbursement of hospitals for the provision of services in England.</w:t>
            </w:r>
          </w:p>
          <w:p w14:paraId="49E72E79" w14:textId="77777777" w:rsidR="007347A7" w:rsidRPr="00DA1FF3" w:rsidRDefault="007347A7" w:rsidP="0034027F">
            <w:pPr>
              <w:pStyle w:val="Tabletext"/>
            </w:pPr>
            <w:r w:rsidRPr="00DA1FF3">
              <w:t>CPRD collects anonymised patient data from a network of GP practices across the UK. Initially this data is collected during a patient’s time in primary care services.</w:t>
            </w:r>
          </w:p>
        </w:tc>
      </w:tr>
      <w:tr w:rsidR="007347A7" w:rsidRPr="00DA1FF3" w14:paraId="799696B4" w14:textId="77777777" w:rsidTr="0034027F">
        <w:tc>
          <w:tcPr>
            <w:tcW w:w="2042" w:type="dxa"/>
          </w:tcPr>
          <w:p w14:paraId="14EE07DC" w14:textId="77777777" w:rsidR="007347A7" w:rsidRPr="00DA1FF3" w:rsidRDefault="007347A7" w:rsidP="00226891">
            <w:pPr>
              <w:pStyle w:val="Tabletext"/>
            </w:pPr>
            <w:r w:rsidRPr="00DA1FF3">
              <w:t>Data collection</w:t>
            </w:r>
          </w:p>
        </w:tc>
        <w:tc>
          <w:tcPr>
            <w:tcW w:w="7098" w:type="dxa"/>
          </w:tcPr>
          <w:p w14:paraId="0AB04C81" w14:textId="22B1E4BF" w:rsidR="007347A7" w:rsidRPr="00DA1FF3" w:rsidRDefault="007347A7" w:rsidP="0034027F">
            <w:pPr>
              <w:pStyle w:val="Tabletext"/>
            </w:pPr>
            <w:r w:rsidRPr="00DA1FF3">
              <w:t>CPRD = demographics, clinical diagnoses (READ v2 or SNOMED</w:t>
            </w:r>
            <w:r w:rsidR="00CD4141">
              <w:t>-</w:t>
            </w:r>
            <w:r w:rsidRPr="00DA1FF3">
              <w:t>CT), tests (</w:t>
            </w:r>
            <w:proofErr w:type="spellStart"/>
            <w:r w:rsidRPr="00DA1FF3">
              <w:t>medcode</w:t>
            </w:r>
            <w:proofErr w:type="spellEnd"/>
            <w:r w:rsidRPr="00DA1FF3">
              <w:t xml:space="preserve"> or SNOMED</w:t>
            </w:r>
            <w:r w:rsidR="00CD4141">
              <w:t>-</w:t>
            </w:r>
            <w:r w:rsidRPr="00DA1FF3">
              <w:t>CT), prescriptions (</w:t>
            </w:r>
            <w:proofErr w:type="spellStart"/>
            <w:r w:rsidRPr="00DA1FF3">
              <w:t>prodcode</w:t>
            </w:r>
            <w:proofErr w:type="spellEnd"/>
            <w:r w:rsidRPr="00DA1FF3">
              <w:t xml:space="preserve">) including dose, route of administration and duration. CPRD GOLD collects </w:t>
            </w:r>
            <w:proofErr w:type="gramStart"/>
            <w:r w:rsidRPr="00DA1FF3">
              <w:t>fully-coded</w:t>
            </w:r>
            <w:proofErr w:type="gramEnd"/>
            <w:r w:rsidRPr="00DA1FF3">
              <w:t xml:space="preserve"> patient electronic health records from GP practices using the Vision® software system. Data are recorded by health and care staff working within the vision software.</w:t>
            </w:r>
          </w:p>
          <w:p w14:paraId="2873B294" w14:textId="77777777" w:rsidR="007347A7" w:rsidRPr="00DA1FF3" w:rsidRDefault="007347A7" w:rsidP="0034027F">
            <w:pPr>
              <w:pStyle w:val="Tabletext"/>
            </w:pPr>
            <w:r w:rsidRPr="00DA1FF3">
              <w:t xml:space="preserve">HES = diagnoses (ICD-10), procedures (OPCS-4), admission, discharge, type of care, basic demographics. HES data are collected during a patient's time at </w:t>
            </w:r>
            <w:r w:rsidRPr="00DA1FF3">
              <w:lastRenderedPageBreak/>
              <w:t>hospital and may be recorded during their interactions with health and care staff in the hospital and assembled by teams of clinical coders.</w:t>
            </w:r>
          </w:p>
        </w:tc>
      </w:tr>
      <w:tr w:rsidR="007347A7" w:rsidRPr="00DA1FF3" w14:paraId="31690FD0" w14:textId="77777777" w:rsidTr="0034027F">
        <w:tc>
          <w:tcPr>
            <w:tcW w:w="2042" w:type="dxa"/>
          </w:tcPr>
          <w:p w14:paraId="21206769" w14:textId="77777777" w:rsidR="007347A7" w:rsidRPr="00DA1FF3" w:rsidRDefault="007347A7" w:rsidP="00226891">
            <w:pPr>
              <w:pStyle w:val="Tabletext"/>
            </w:pPr>
            <w:r w:rsidRPr="00DA1FF3">
              <w:lastRenderedPageBreak/>
              <w:t>Care setting</w:t>
            </w:r>
          </w:p>
        </w:tc>
        <w:tc>
          <w:tcPr>
            <w:tcW w:w="7098" w:type="dxa"/>
          </w:tcPr>
          <w:p w14:paraId="732BEFE6" w14:textId="77777777" w:rsidR="007347A7" w:rsidRPr="00DA1FF3" w:rsidRDefault="007347A7" w:rsidP="0034027F">
            <w:pPr>
              <w:pStyle w:val="Tabletext"/>
            </w:pPr>
            <w:r w:rsidRPr="00DA1FF3">
              <w:t>HES = secondary care</w:t>
            </w:r>
          </w:p>
          <w:p w14:paraId="779F32B4" w14:textId="77777777" w:rsidR="007347A7" w:rsidRPr="00DA1FF3" w:rsidRDefault="007347A7" w:rsidP="0034027F">
            <w:pPr>
              <w:pStyle w:val="Tabletext"/>
            </w:pPr>
            <w:r w:rsidRPr="00DA1FF3">
              <w:t>CPRD = primary care</w:t>
            </w:r>
          </w:p>
        </w:tc>
      </w:tr>
      <w:tr w:rsidR="007347A7" w:rsidRPr="00DA1FF3" w14:paraId="70EABC94" w14:textId="77777777" w:rsidTr="0034027F">
        <w:tc>
          <w:tcPr>
            <w:tcW w:w="2042" w:type="dxa"/>
          </w:tcPr>
          <w:p w14:paraId="2690721C" w14:textId="77777777" w:rsidR="007347A7" w:rsidRPr="00DA1FF3" w:rsidRDefault="007347A7" w:rsidP="00226891">
            <w:pPr>
              <w:pStyle w:val="Tabletext"/>
            </w:pPr>
            <w:r w:rsidRPr="00DA1FF3">
              <w:t>Geographical setting</w:t>
            </w:r>
          </w:p>
        </w:tc>
        <w:tc>
          <w:tcPr>
            <w:tcW w:w="7098" w:type="dxa"/>
          </w:tcPr>
          <w:p w14:paraId="0E7663F5" w14:textId="77777777" w:rsidR="007347A7" w:rsidRPr="00DA1FF3" w:rsidRDefault="007347A7" w:rsidP="0034027F">
            <w:pPr>
              <w:pStyle w:val="Tabletext"/>
            </w:pPr>
            <w:r w:rsidRPr="00DA1FF3">
              <w:t>HES = England</w:t>
            </w:r>
          </w:p>
          <w:p w14:paraId="6EE561ED" w14:textId="77777777" w:rsidR="007347A7" w:rsidRPr="00DA1FF3" w:rsidRDefault="007347A7" w:rsidP="0034027F">
            <w:pPr>
              <w:pStyle w:val="Tabletext"/>
            </w:pPr>
            <w:r w:rsidRPr="00DA1FF3">
              <w:t>CPRD = a representative sample of UK general practices using Vision software. HES-linked CPRD data is available for England only.</w:t>
            </w:r>
          </w:p>
        </w:tc>
      </w:tr>
      <w:tr w:rsidR="007347A7" w:rsidRPr="00DA1FF3" w14:paraId="18966314" w14:textId="77777777" w:rsidTr="0034027F">
        <w:tc>
          <w:tcPr>
            <w:tcW w:w="2042" w:type="dxa"/>
          </w:tcPr>
          <w:p w14:paraId="785160CA" w14:textId="77777777" w:rsidR="007347A7" w:rsidRPr="00DA1FF3" w:rsidRDefault="007347A7" w:rsidP="00226891">
            <w:pPr>
              <w:pStyle w:val="Tabletext"/>
            </w:pPr>
            <w:r w:rsidRPr="00DA1FF3">
              <w:t>Population coverage</w:t>
            </w:r>
          </w:p>
        </w:tc>
        <w:tc>
          <w:tcPr>
            <w:tcW w:w="7098" w:type="dxa"/>
          </w:tcPr>
          <w:p w14:paraId="64FB1C4B" w14:textId="77777777" w:rsidR="007347A7" w:rsidRPr="00DA1FF3" w:rsidRDefault="007347A7" w:rsidP="0034027F">
            <w:pPr>
              <w:pStyle w:val="Tabletext"/>
            </w:pPr>
            <w:r w:rsidRPr="00DA1FF3">
              <w:t xml:space="preserve">CPRD GOLD has data for about 3 million currently registered people (around 4.74% of UK population). </w:t>
            </w:r>
            <w:hyperlink r:id="rId12" w:history="1">
              <w:r w:rsidRPr="00DA1FF3">
                <w:rPr>
                  <w:rStyle w:val="Hyperlink"/>
                </w:rPr>
                <w:t>https://www.cprd.com/sites/default/files/2021-06%20CPRD%20GOLD%20Release%20Notes.pdf</w:t>
              </w:r>
            </w:hyperlink>
            <w:r w:rsidRPr="00DA1FF3">
              <w:t xml:space="preserve"> </w:t>
            </w:r>
          </w:p>
          <w:p w14:paraId="10794D47" w14:textId="4EBFA63F" w:rsidR="007347A7" w:rsidRPr="00DA1FF3" w:rsidRDefault="007347A7" w:rsidP="0034027F">
            <w:pPr>
              <w:pStyle w:val="Tabletext"/>
            </w:pPr>
            <w:r w:rsidRPr="00DA1FF3">
              <w:t>HES data covers all NHS Clinical Commissioning Groups in England.</w:t>
            </w:r>
          </w:p>
        </w:tc>
      </w:tr>
      <w:tr w:rsidR="007347A7" w:rsidRPr="00DA1FF3" w14:paraId="608457D7" w14:textId="77777777" w:rsidTr="0034027F">
        <w:tc>
          <w:tcPr>
            <w:tcW w:w="2042" w:type="dxa"/>
          </w:tcPr>
          <w:p w14:paraId="5C63B847" w14:textId="77777777" w:rsidR="007347A7" w:rsidRPr="00DA1FF3" w:rsidRDefault="007347A7" w:rsidP="00226891">
            <w:pPr>
              <w:pStyle w:val="Tabletext"/>
            </w:pPr>
            <w:r w:rsidRPr="00DA1FF3">
              <w:t>Time period of data</w:t>
            </w:r>
          </w:p>
        </w:tc>
        <w:tc>
          <w:tcPr>
            <w:tcW w:w="7098" w:type="dxa"/>
          </w:tcPr>
          <w:p w14:paraId="78A1569A" w14:textId="77777777" w:rsidR="007347A7" w:rsidRPr="00DA1FF3" w:rsidRDefault="007347A7" w:rsidP="0034027F">
            <w:pPr>
              <w:pStyle w:val="Tabletext"/>
            </w:pPr>
            <w:r w:rsidRPr="00DA1FF3">
              <w:t>The CPRD-linked HES dataset covers from January 2000 to January 2017.</w:t>
            </w:r>
          </w:p>
        </w:tc>
      </w:tr>
      <w:tr w:rsidR="007347A7" w:rsidRPr="00DA1FF3" w14:paraId="65009E71" w14:textId="77777777" w:rsidTr="0034027F">
        <w:tc>
          <w:tcPr>
            <w:tcW w:w="2042" w:type="dxa"/>
          </w:tcPr>
          <w:p w14:paraId="502AC3B9" w14:textId="77777777" w:rsidR="007347A7" w:rsidRPr="00DA1FF3" w:rsidRDefault="007347A7" w:rsidP="00226891">
            <w:pPr>
              <w:pStyle w:val="Tabletext"/>
            </w:pPr>
            <w:r w:rsidRPr="00DA1FF3">
              <w:t>Data preparation</w:t>
            </w:r>
          </w:p>
        </w:tc>
        <w:tc>
          <w:tcPr>
            <w:tcW w:w="7098" w:type="dxa"/>
          </w:tcPr>
          <w:p w14:paraId="13A36A46" w14:textId="77777777" w:rsidR="007347A7" w:rsidRPr="00DA1FF3" w:rsidRDefault="007347A7" w:rsidP="0034027F">
            <w:pPr>
              <w:pStyle w:val="Tabletext"/>
            </w:pPr>
            <w:r w:rsidRPr="00DA1FF3">
              <w:t>No details available for CPRD. However, general practices are included only after demonstrating their records are of research quality.</w:t>
            </w:r>
          </w:p>
          <w:p w14:paraId="7F30BFA4" w14:textId="77777777" w:rsidR="007347A7" w:rsidRPr="00DA1FF3" w:rsidRDefault="007347A7" w:rsidP="0034027F">
            <w:pPr>
              <w:pStyle w:val="Tabletext"/>
            </w:pPr>
            <w:r w:rsidRPr="00DA1FF3">
              <w:t xml:space="preserve">HES applies centralised processing before the data are released for research: </w:t>
            </w:r>
          </w:p>
          <w:p w14:paraId="0C34E9F9" w14:textId="1C3DB890" w:rsidR="007347A7" w:rsidRPr="00DA1FF3" w:rsidRDefault="007347A7" w:rsidP="0034027F">
            <w:pPr>
              <w:pStyle w:val="Tabletext"/>
            </w:pPr>
            <w:r w:rsidRPr="00DA1FF3">
              <w:t>The rules that run during the processing of the HES data set. These are in place to improve the value and quality of the data and include rules that validate the data within certain fields, derive additional fields and values, remove records that are invalid or out of scope for the HES data set.</w:t>
            </w:r>
          </w:p>
        </w:tc>
      </w:tr>
      <w:tr w:rsidR="007347A7" w:rsidRPr="00DA1FF3" w14:paraId="766C63E1" w14:textId="77777777" w:rsidTr="0034027F">
        <w:tc>
          <w:tcPr>
            <w:tcW w:w="2042" w:type="dxa"/>
          </w:tcPr>
          <w:p w14:paraId="63CB3C9A" w14:textId="77777777" w:rsidR="007347A7" w:rsidRPr="00DA1FF3" w:rsidRDefault="007347A7" w:rsidP="00226891">
            <w:pPr>
              <w:pStyle w:val="Tabletext"/>
            </w:pPr>
            <w:r w:rsidRPr="00DA1FF3">
              <w:t>Data sharing</w:t>
            </w:r>
          </w:p>
        </w:tc>
        <w:tc>
          <w:tcPr>
            <w:tcW w:w="7098" w:type="dxa"/>
          </w:tcPr>
          <w:p w14:paraId="06E0BAD6" w14:textId="518654C6" w:rsidR="007347A7" w:rsidRPr="00DA1FF3" w:rsidRDefault="007347A7" w:rsidP="0034027F">
            <w:pPr>
              <w:pStyle w:val="Tabletext"/>
            </w:pPr>
            <w:r w:rsidRPr="00DA1FF3">
              <w:t xml:space="preserve">Details on accessing data are available </w:t>
            </w:r>
            <w:r w:rsidR="00EF3F70">
              <w:t xml:space="preserve">from the </w:t>
            </w:r>
            <w:hyperlink r:id="rId13" w:history="1">
              <w:r w:rsidR="00EF3F70">
                <w:rPr>
                  <w:rStyle w:val="Hyperlink"/>
                </w:rPr>
                <w:t>Clinical Practice Research Datalink</w:t>
              </w:r>
            </w:hyperlink>
          </w:p>
        </w:tc>
      </w:tr>
      <w:tr w:rsidR="007347A7" w:rsidRPr="00DA1FF3" w14:paraId="6E380CB9" w14:textId="77777777" w:rsidTr="0034027F">
        <w:tc>
          <w:tcPr>
            <w:tcW w:w="2042" w:type="dxa"/>
          </w:tcPr>
          <w:p w14:paraId="37409B29" w14:textId="77777777" w:rsidR="007347A7" w:rsidRPr="00DA1FF3" w:rsidRDefault="007347A7" w:rsidP="00226891">
            <w:pPr>
              <w:pStyle w:val="Tabletext"/>
            </w:pPr>
            <w:r w:rsidRPr="00DA1FF3">
              <w:t>Data governance</w:t>
            </w:r>
          </w:p>
        </w:tc>
        <w:tc>
          <w:tcPr>
            <w:tcW w:w="7098" w:type="dxa"/>
          </w:tcPr>
          <w:p w14:paraId="448D4771" w14:textId="77777777" w:rsidR="007347A7" w:rsidRPr="00DA1FF3" w:rsidRDefault="007347A7" w:rsidP="0034027F">
            <w:pPr>
              <w:pStyle w:val="Tabletext"/>
            </w:pPr>
            <w:r w:rsidRPr="00DA1FF3">
              <w:t>CPRD is a centre of the MHRA, which is an executive agency of the Department of Health &amp; Social Care (DHSC). DHSC is therefore the data controller for CPRD data.</w:t>
            </w:r>
          </w:p>
          <w:p w14:paraId="7AFA81D4" w14:textId="77777777" w:rsidR="007347A7" w:rsidRPr="00DA1FF3" w:rsidRDefault="007347A7" w:rsidP="0034027F">
            <w:pPr>
              <w:pStyle w:val="Tabletext"/>
            </w:pPr>
            <w:r w:rsidRPr="00DA1FF3">
              <w:t>HES data is controlled by the Health and Social Care Information Centre (also known as NHS Digital).</w:t>
            </w:r>
          </w:p>
          <w:p w14:paraId="7753A2AA" w14:textId="77777777" w:rsidR="007347A7" w:rsidRPr="00DA1FF3" w:rsidRDefault="007347A7" w:rsidP="0034027F">
            <w:pPr>
              <w:pStyle w:val="Tabletext"/>
            </w:pPr>
            <w:r w:rsidRPr="00DA1FF3">
              <w:t xml:space="preserve">CPRD has received funding from the MHRA, </w:t>
            </w:r>
            <w:proofErr w:type="spellStart"/>
            <w:r w:rsidRPr="00DA1FF3">
              <w:t>Wellcome</w:t>
            </w:r>
            <w:proofErr w:type="spellEnd"/>
            <w:r w:rsidRPr="00DA1FF3">
              <w:t xml:space="preserve"> Trust, Medical Research Council, NIHR Health Technology Assessment programme, Innovative Medicines Initiative, UK Department of Health, Technology Strategy Board, Seventh Framework Programme EU, and various universities, contract research organisations and pharmaceutical companies.</w:t>
            </w:r>
          </w:p>
          <w:p w14:paraId="5E944F50" w14:textId="77777777" w:rsidR="007347A7" w:rsidRPr="00DA1FF3" w:rsidRDefault="007347A7" w:rsidP="0034027F">
            <w:pPr>
              <w:pStyle w:val="Tabletext"/>
            </w:pPr>
            <w:r w:rsidRPr="00DA1FF3">
              <w:t>HES data collection is mandated and funded by the UK Government.</w:t>
            </w:r>
          </w:p>
          <w:p w14:paraId="7AB39E21" w14:textId="77777777" w:rsidR="007347A7" w:rsidRPr="00DA1FF3" w:rsidRDefault="007347A7" w:rsidP="0034027F">
            <w:pPr>
              <w:pStyle w:val="Tabletext"/>
            </w:pPr>
            <w:r w:rsidRPr="00DA1FF3">
              <w:t xml:space="preserve">Data protection and processing notice for CPRD: </w:t>
            </w:r>
            <w:hyperlink r:id="rId14" w:history="1">
              <w:r w:rsidRPr="00DA1FF3">
                <w:rPr>
                  <w:rStyle w:val="Hyperlink"/>
                </w:rPr>
                <w:t>https://www.cprd.com/data-protection-and-processing-notice</w:t>
              </w:r>
            </w:hyperlink>
          </w:p>
          <w:p w14:paraId="57C651AC" w14:textId="77777777" w:rsidR="007347A7" w:rsidRPr="00DA1FF3" w:rsidRDefault="007347A7" w:rsidP="0034027F">
            <w:pPr>
              <w:pStyle w:val="Tabletext"/>
            </w:pPr>
            <w:r w:rsidRPr="00DA1FF3">
              <w:t xml:space="preserve">Hospital episode statistics GDPR webpage: </w:t>
            </w:r>
            <w:hyperlink r:id="rId15" w:history="1">
              <w:r w:rsidRPr="00DA1FF3">
                <w:rPr>
                  <w:rStyle w:val="Hyperlink"/>
                </w:rPr>
                <w:t>https://digital.nhs.uk/about-nhs-digital/our-work/keeping-patient-data-safe/gdpr/gdpr-register/hospital-episode-statistics-gdpr</w:t>
              </w:r>
            </w:hyperlink>
          </w:p>
        </w:tc>
      </w:tr>
      <w:tr w:rsidR="007347A7" w:rsidRPr="00DA1FF3" w14:paraId="4226C322" w14:textId="77777777" w:rsidTr="0034027F">
        <w:tc>
          <w:tcPr>
            <w:tcW w:w="2042" w:type="dxa"/>
          </w:tcPr>
          <w:p w14:paraId="774CFBDB" w14:textId="77777777" w:rsidR="007347A7" w:rsidRPr="00DA1FF3" w:rsidRDefault="007347A7" w:rsidP="00226891">
            <w:pPr>
              <w:pStyle w:val="Tabletext"/>
            </w:pPr>
            <w:r w:rsidRPr="00DA1FF3">
              <w:lastRenderedPageBreak/>
              <w:t>Data specification</w:t>
            </w:r>
          </w:p>
        </w:tc>
        <w:tc>
          <w:tcPr>
            <w:tcW w:w="7098" w:type="dxa"/>
          </w:tcPr>
          <w:p w14:paraId="5F66FB11" w14:textId="77777777" w:rsidR="007347A7" w:rsidRPr="00DA1FF3" w:rsidRDefault="007347A7" w:rsidP="0034027F">
            <w:pPr>
              <w:pStyle w:val="Tabletext"/>
            </w:pPr>
            <w:r w:rsidRPr="00DA1FF3">
              <w:t>Fields in HES are derived from the NHS data model and the NHS data dictionary</w:t>
            </w:r>
          </w:p>
          <w:p w14:paraId="0CBA946B" w14:textId="77777777" w:rsidR="007347A7" w:rsidRPr="00DA1FF3" w:rsidRDefault="003D651C" w:rsidP="0034027F">
            <w:pPr>
              <w:pStyle w:val="Tabletext"/>
            </w:pPr>
            <w:hyperlink r:id="rId16" w:history="1">
              <w:r w:rsidR="007347A7" w:rsidRPr="00DA1FF3">
                <w:rPr>
                  <w:rStyle w:val="Hyperlink"/>
                </w:rPr>
                <w:t>https://digital.nhs.uk/data-and-information/data-tools-and-services/data-services/hospital-episode-statistics/hospital-episode-statistics-data-dictionary</w:t>
              </w:r>
            </w:hyperlink>
            <w:r w:rsidR="007347A7" w:rsidRPr="00DA1FF3">
              <w:t xml:space="preserve"> </w:t>
            </w:r>
          </w:p>
          <w:p w14:paraId="6CDC8D28" w14:textId="77777777" w:rsidR="007347A7" w:rsidRPr="00DA1FF3" w:rsidRDefault="003D651C" w:rsidP="0034027F">
            <w:pPr>
              <w:pStyle w:val="Tabletext"/>
            </w:pPr>
            <w:hyperlink r:id="rId17" w:history="1">
              <w:r w:rsidR="007347A7" w:rsidRPr="00DA1FF3">
                <w:rPr>
                  <w:rStyle w:val="Hyperlink"/>
                </w:rPr>
                <w:t>https://www.datadictionary.nhs.uk/index.html</w:t>
              </w:r>
            </w:hyperlink>
          </w:p>
          <w:p w14:paraId="642031E3" w14:textId="77777777" w:rsidR="007347A7" w:rsidRPr="00DA1FF3" w:rsidRDefault="007347A7" w:rsidP="0034027F">
            <w:pPr>
              <w:pStyle w:val="Tabletext"/>
            </w:pPr>
            <w:r w:rsidRPr="00DA1FF3">
              <w:t xml:space="preserve">CPRD data specification document (May 2021) </w:t>
            </w:r>
            <w:hyperlink r:id="rId18" w:history="1">
              <w:r w:rsidRPr="00DA1FF3">
                <w:rPr>
                  <w:rStyle w:val="Hyperlink"/>
                </w:rPr>
                <w:t>https://cprd.com/sites/default/files/CPRD%20GOLD%20Full%20Data%20Specification%20v2.4.pdf</w:t>
              </w:r>
            </w:hyperlink>
          </w:p>
        </w:tc>
      </w:tr>
      <w:tr w:rsidR="007347A7" w:rsidRPr="00DA1FF3" w14:paraId="4D5E12B8" w14:textId="77777777" w:rsidTr="0034027F">
        <w:tc>
          <w:tcPr>
            <w:tcW w:w="2042" w:type="dxa"/>
          </w:tcPr>
          <w:p w14:paraId="6418B7E1" w14:textId="77777777" w:rsidR="007347A7" w:rsidRPr="00DA1FF3" w:rsidRDefault="007347A7" w:rsidP="00226891">
            <w:pPr>
              <w:pStyle w:val="Tabletext"/>
            </w:pPr>
            <w:r w:rsidRPr="00DA1FF3">
              <w:t xml:space="preserve">Data management plan and quality assurance methods </w:t>
            </w:r>
          </w:p>
        </w:tc>
        <w:tc>
          <w:tcPr>
            <w:tcW w:w="7098" w:type="dxa"/>
          </w:tcPr>
          <w:p w14:paraId="23532C59" w14:textId="77777777" w:rsidR="007347A7" w:rsidRPr="00DA1FF3" w:rsidRDefault="007347A7" w:rsidP="0034027F">
            <w:pPr>
              <w:pStyle w:val="Tabletext"/>
            </w:pPr>
            <w:r w:rsidRPr="00DA1FF3">
              <w:t xml:space="preserve">HES undertakes processing and data quality checks: </w:t>
            </w:r>
            <w:hyperlink r:id="rId19" w:history="1">
              <w:r w:rsidRPr="00DA1FF3">
                <w:rPr>
                  <w:rStyle w:val="Hyperlink"/>
                </w:rPr>
                <w:t>https://digital.nhs.uk/data-and-information/data-tools-and-services/data-services/hospital-episode-statistics/the-processing-cycle-and-hes-data-quality</w:t>
              </w:r>
            </w:hyperlink>
          </w:p>
          <w:p w14:paraId="48D9249A" w14:textId="77777777" w:rsidR="007347A7" w:rsidRPr="00DA1FF3" w:rsidRDefault="007347A7" w:rsidP="0034027F">
            <w:pPr>
              <w:pStyle w:val="Tabletext"/>
            </w:pPr>
            <w:r w:rsidRPr="00DA1FF3">
              <w:t>No data quality assurance information was identified for CPRD GOLD. However, records from individual general practices are assessed and only included in CPRD after being deemed of research quality.</w:t>
            </w:r>
          </w:p>
        </w:tc>
      </w:tr>
      <w:tr w:rsidR="007347A7" w:rsidRPr="00DA1FF3" w14:paraId="18721A5B" w14:textId="77777777" w:rsidTr="0034027F">
        <w:tc>
          <w:tcPr>
            <w:tcW w:w="2042" w:type="dxa"/>
          </w:tcPr>
          <w:p w14:paraId="2D00F077" w14:textId="77777777" w:rsidR="007347A7" w:rsidRPr="00DA1FF3" w:rsidRDefault="007347A7" w:rsidP="00226891">
            <w:pPr>
              <w:pStyle w:val="Tabletext"/>
            </w:pPr>
            <w:r w:rsidRPr="00DA1FF3">
              <w:t>Other documents</w:t>
            </w:r>
          </w:p>
        </w:tc>
        <w:tc>
          <w:tcPr>
            <w:tcW w:w="7098" w:type="dxa"/>
          </w:tcPr>
          <w:p w14:paraId="1815D3FC" w14:textId="77777777" w:rsidR="007347A7" w:rsidRPr="00DA1FF3" w:rsidRDefault="007347A7" w:rsidP="0034027F">
            <w:pPr>
              <w:pStyle w:val="Tabletext"/>
            </w:pPr>
            <w:r w:rsidRPr="00DA1FF3">
              <w:t xml:space="preserve">None. </w:t>
            </w:r>
          </w:p>
        </w:tc>
      </w:tr>
    </w:tbl>
    <w:p w14:paraId="6C69C430" w14:textId="77777777" w:rsidR="007347A7" w:rsidRPr="00DA1FF3" w:rsidRDefault="007347A7" w:rsidP="007347A7"/>
    <w:p w14:paraId="309848F2" w14:textId="77777777" w:rsidR="007347A7" w:rsidRPr="00DA1FF3" w:rsidRDefault="007347A7" w:rsidP="007347A7">
      <w:pPr>
        <w:pStyle w:val="Heading3"/>
        <w:sectPr w:rsidR="007347A7" w:rsidRPr="00DA1FF3" w:rsidSect="00FC0BAB">
          <w:footerReference w:type="default" r:id="rId20"/>
          <w:pgSz w:w="11906" w:h="16838"/>
          <w:pgMar w:top="1440" w:right="1440" w:bottom="1440" w:left="1440" w:header="708" w:footer="708" w:gutter="0"/>
          <w:cols w:space="708"/>
          <w:docGrid w:linePitch="360"/>
        </w:sectPr>
      </w:pPr>
    </w:p>
    <w:p w14:paraId="0E8A0285" w14:textId="1C77B927" w:rsidR="007347A7" w:rsidRPr="00DA1FF3" w:rsidRDefault="007347A7" w:rsidP="00382670">
      <w:pPr>
        <w:pStyle w:val="Caption"/>
      </w:pPr>
      <w:bookmarkStart w:id="6" w:name="_Data_Quality_1"/>
      <w:bookmarkEnd w:id="6"/>
      <w:r w:rsidRPr="00DA1FF3">
        <w:lastRenderedPageBreak/>
        <w:t xml:space="preserve">Data </w:t>
      </w:r>
      <w:r w:rsidR="00D32E54">
        <w:t>q</w:t>
      </w:r>
      <w:r w:rsidRPr="00DA1FF3">
        <w:t>uality</w:t>
      </w:r>
    </w:p>
    <w:tbl>
      <w:tblPr>
        <w:tblStyle w:val="Surveillancetable"/>
        <w:tblW w:w="5000" w:type="pct"/>
        <w:tblLayout w:type="fixed"/>
        <w:tblLook w:val="04A0" w:firstRow="1" w:lastRow="0" w:firstColumn="1" w:lastColumn="0" w:noHBand="0" w:noVBand="1"/>
      </w:tblPr>
      <w:tblGrid>
        <w:gridCol w:w="1371"/>
        <w:gridCol w:w="1771"/>
        <w:gridCol w:w="3096"/>
        <w:gridCol w:w="1403"/>
        <w:gridCol w:w="4357"/>
        <w:gridCol w:w="1950"/>
      </w:tblGrid>
      <w:tr w:rsidR="007347A7" w:rsidRPr="00DA1FF3" w14:paraId="5C166BAC" w14:textId="77777777" w:rsidTr="0034027F">
        <w:trPr>
          <w:cnfStyle w:val="100000000000" w:firstRow="1" w:lastRow="0" w:firstColumn="0" w:lastColumn="0" w:oddVBand="0" w:evenVBand="0" w:oddHBand="0" w:evenHBand="0" w:firstRowFirstColumn="0" w:firstRowLastColumn="0" w:lastRowFirstColumn="0" w:lastRowLastColumn="0"/>
          <w:tblHeader/>
        </w:trPr>
        <w:tc>
          <w:tcPr>
            <w:tcW w:w="491" w:type="pct"/>
          </w:tcPr>
          <w:p w14:paraId="5F8F5A24" w14:textId="77777777" w:rsidR="007347A7" w:rsidRPr="00DA1FF3" w:rsidRDefault="007347A7" w:rsidP="0034027F">
            <w:r w:rsidRPr="00DA1FF3">
              <w:t>Study variable</w:t>
            </w:r>
          </w:p>
        </w:tc>
        <w:tc>
          <w:tcPr>
            <w:tcW w:w="635" w:type="pct"/>
          </w:tcPr>
          <w:p w14:paraId="19820F44" w14:textId="77777777" w:rsidR="007347A7" w:rsidRPr="00DA1FF3" w:rsidRDefault="007347A7" w:rsidP="0034027F">
            <w:r w:rsidRPr="00DA1FF3">
              <w:t>Target concept</w:t>
            </w:r>
          </w:p>
        </w:tc>
        <w:tc>
          <w:tcPr>
            <w:tcW w:w="1110" w:type="pct"/>
          </w:tcPr>
          <w:p w14:paraId="2D9064AB" w14:textId="77777777" w:rsidR="007347A7" w:rsidRPr="00DA1FF3" w:rsidRDefault="007347A7" w:rsidP="0034027F">
            <w:r w:rsidRPr="00DA1FF3">
              <w:t>Operational definition</w:t>
            </w:r>
          </w:p>
        </w:tc>
        <w:tc>
          <w:tcPr>
            <w:tcW w:w="503" w:type="pct"/>
          </w:tcPr>
          <w:p w14:paraId="1772BA1B" w14:textId="77777777" w:rsidR="007347A7" w:rsidRPr="00DA1FF3" w:rsidRDefault="007347A7" w:rsidP="0034027F">
            <w:r w:rsidRPr="00DA1FF3">
              <w:t>Quality dimension</w:t>
            </w:r>
          </w:p>
        </w:tc>
        <w:tc>
          <w:tcPr>
            <w:tcW w:w="1562" w:type="pct"/>
          </w:tcPr>
          <w:p w14:paraId="275A6A50" w14:textId="77777777" w:rsidR="007347A7" w:rsidRPr="00DA1FF3" w:rsidRDefault="007347A7" w:rsidP="0034027F">
            <w:r w:rsidRPr="00DA1FF3">
              <w:t>How assessed</w:t>
            </w:r>
          </w:p>
        </w:tc>
        <w:tc>
          <w:tcPr>
            <w:tcW w:w="699" w:type="pct"/>
          </w:tcPr>
          <w:p w14:paraId="52AD43FF" w14:textId="77777777" w:rsidR="007347A7" w:rsidRPr="00DA1FF3" w:rsidRDefault="007347A7" w:rsidP="0034027F">
            <w:r w:rsidRPr="00DA1FF3">
              <w:t>Assessment result</w:t>
            </w:r>
          </w:p>
        </w:tc>
      </w:tr>
      <w:tr w:rsidR="007347A7" w:rsidRPr="00DA1FF3" w14:paraId="0423241D" w14:textId="77777777" w:rsidTr="0034027F">
        <w:tc>
          <w:tcPr>
            <w:tcW w:w="491" w:type="pct"/>
          </w:tcPr>
          <w:p w14:paraId="632D7DC0" w14:textId="77777777" w:rsidR="007347A7" w:rsidRPr="00DA1FF3" w:rsidRDefault="007347A7" w:rsidP="0034027F">
            <w:pPr>
              <w:pStyle w:val="Tabletext"/>
            </w:pPr>
            <w:r w:rsidRPr="00DA1FF3">
              <w:t>Population</w:t>
            </w:r>
          </w:p>
        </w:tc>
        <w:tc>
          <w:tcPr>
            <w:tcW w:w="635" w:type="pct"/>
          </w:tcPr>
          <w:p w14:paraId="633E078A" w14:textId="77777777" w:rsidR="007347A7" w:rsidRPr="00DA1FF3" w:rsidRDefault="007347A7" w:rsidP="0034027F">
            <w:pPr>
              <w:pStyle w:val="Tabletext"/>
            </w:pPr>
            <w:r w:rsidRPr="00DA1FF3">
              <w:t>COPD</w:t>
            </w:r>
          </w:p>
        </w:tc>
        <w:tc>
          <w:tcPr>
            <w:tcW w:w="1110" w:type="pct"/>
          </w:tcPr>
          <w:p w14:paraId="5DB41C56" w14:textId="5B08BD0C" w:rsidR="007347A7" w:rsidRPr="00DA1FF3" w:rsidRDefault="007347A7" w:rsidP="0034027F">
            <w:pPr>
              <w:pStyle w:val="Tabletext"/>
            </w:pPr>
            <w:r w:rsidRPr="00DA1FF3">
              <w:t xml:space="preserve">CPRD diagnostic (Read v2) codes for COPD (see </w:t>
            </w:r>
            <w:proofErr w:type="spellStart"/>
            <w:r w:rsidR="00D32E54" w:rsidRPr="00990AF9">
              <w:t>codelist</w:t>
            </w:r>
            <w:proofErr w:type="spellEnd"/>
            <w:r w:rsidR="00D32E54" w:rsidRPr="00990AF9">
              <w:t xml:space="preserve"> in supplementary material of </w:t>
            </w:r>
            <w:hyperlink r:id="rId21" w:history="1">
              <w:r w:rsidR="00D32E54" w:rsidRPr="00990AF9">
                <w:rPr>
                  <w:rStyle w:val="Hyperlink"/>
                </w:rPr>
                <w:t>Quint et al. 2014</w:t>
              </w:r>
            </w:hyperlink>
            <w:r w:rsidRPr="00DA1FF3">
              <w:t>)</w:t>
            </w:r>
          </w:p>
        </w:tc>
        <w:tc>
          <w:tcPr>
            <w:tcW w:w="503" w:type="pct"/>
          </w:tcPr>
          <w:p w14:paraId="61AFFBF6" w14:textId="77777777" w:rsidR="007347A7" w:rsidRPr="00DA1FF3" w:rsidRDefault="007347A7" w:rsidP="0034027F">
            <w:pPr>
              <w:pStyle w:val="Tabletext"/>
            </w:pPr>
            <w:r w:rsidRPr="00DA1FF3">
              <w:t>Accuracy</w:t>
            </w:r>
          </w:p>
        </w:tc>
        <w:tc>
          <w:tcPr>
            <w:tcW w:w="1562" w:type="pct"/>
          </w:tcPr>
          <w:p w14:paraId="3761FBB6" w14:textId="46104F92" w:rsidR="007347A7" w:rsidRPr="00DA1FF3" w:rsidRDefault="007347A7" w:rsidP="0034027F">
            <w:pPr>
              <w:pStyle w:val="Tabletext"/>
            </w:pPr>
            <w:r w:rsidRPr="00DA1FF3">
              <w:t>Previously published validation study comparing algorithms for identifying people with COPD with physician review questionnaire as gold standard (</w:t>
            </w:r>
            <w:hyperlink r:id="rId22" w:history="1">
              <w:r w:rsidRPr="00DA1FF3">
                <w:rPr>
                  <w:rStyle w:val="Hyperlink"/>
                </w:rPr>
                <w:t>Quint et al. 2014</w:t>
              </w:r>
            </w:hyperlink>
            <w:r w:rsidR="00FD72FB">
              <w:t>)</w:t>
            </w:r>
            <w:r w:rsidRPr="00DA1FF3">
              <w:t xml:space="preserve"> </w:t>
            </w:r>
          </w:p>
        </w:tc>
        <w:tc>
          <w:tcPr>
            <w:tcW w:w="699" w:type="pct"/>
          </w:tcPr>
          <w:p w14:paraId="45024BCF" w14:textId="77777777" w:rsidR="007347A7" w:rsidRPr="00DA1FF3" w:rsidRDefault="007347A7" w:rsidP="0034027F">
            <w:pPr>
              <w:pStyle w:val="Tabletext"/>
            </w:pPr>
            <w:r w:rsidRPr="00DA1FF3">
              <w:t>PPV: 87% (95% CI 78% to 92%)</w:t>
            </w:r>
          </w:p>
        </w:tc>
      </w:tr>
      <w:tr w:rsidR="007347A7" w:rsidRPr="00DA1FF3" w14:paraId="24832D2D" w14:textId="77777777" w:rsidTr="0034027F">
        <w:tc>
          <w:tcPr>
            <w:tcW w:w="491" w:type="pct"/>
          </w:tcPr>
          <w:p w14:paraId="532D0CD4" w14:textId="77777777" w:rsidR="007347A7" w:rsidRPr="00DA1FF3" w:rsidRDefault="007347A7" w:rsidP="0034027F">
            <w:pPr>
              <w:pStyle w:val="Tabletext"/>
            </w:pPr>
            <w:r w:rsidRPr="00DA1FF3">
              <w:t>Population</w:t>
            </w:r>
          </w:p>
        </w:tc>
        <w:tc>
          <w:tcPr>
            <w:tcW w:w="635" w:type="pct"/>
          </w:tcPr>
          <w:p w14:paraId="025205E0" w14:textId="77777777" w:rsidR="007347A7" w:rsidRPr="00DA1FF3" w:rsidRDefault="007347A7" w:rsidP="0034027F">
            <w:pPr>
              <w:pStyle w:val="Tabletext"/>
            </w:pPr>
            <w:r w:rsidRPr="00DA1FF3">
              <w:t>Disease severity</w:t>
            </w:r>
          </w:p>
        </w:tc>
        <w:tc>
          <w:tcPr>
            <w:tcW w:w="1110" w:type="pct"/>
          </w:tcPr>
          <w:p w14:paraId="1FB80239" w14:textId="77777777" w:rsidR="007347A7" w:rsidRPr="00DA1FF3" w:rsidRDefault="007347A7" w:rsidP="0034027F">
            <w:pPr>
              <w:pStyle w:val="Tabletext"/>
            </w:pPr>
            <w:r w:rsidRPr="00DA1FF3">
              <w:t xml:space="preserve">GOLD stage derived from spirometry measurements (see </w:t>
            </w:r>
            <w:hyperlink r:id="rId23" w:history="1">
              <w:proofErr w:type="spellStart"/>
              <w:r w:rsidRPr="00DA1FF3">
                <w:rPr>
                  <w:rStyle w:val="Hyperlink"/>
                </w:rPr>
                <w:t>codelist</w:t>
              </w:r>
              <w:proofErr w:type="spellEnd"/>
            </w:hyperlink>
            <w:r w:rsidRPr="00DA1FF3">
              <w:t>)</w:t>
            </w:r>
          </w:p>
        </w:tc>
        <w:tc>
          <w:tcPr>
            <w:tcW w:w="503" w:type="pct"/>
          </w:tcPr>
          <w:p w14:paraId="7139FFC0" w14:textId="77777777" w:rsidR="007347A7" w:rsidRPr="00DA1FF3" w:rsidRDefault="007347A7" w:rsidP="0034027F">
            <w:pPr>
              <w:pStyle w:val="Tabletext"/>
            </w:pPr>
            <w:r w:rsidRPr="00DA1FF3">
              <w:t>Completeness</w:t>
            </w:r>
          </w:p>
        </w:tc>
        <w:tc>
          <w:tcPr>
            <w:tcW w:w="1562" w:type="pct"/>
          </w:tcPr>
          <w:p w14:paraId="59155EB0" w14:textId="77777777" w:rsidR="007347A7" w:rsidRPr="00DA1FF3" w:rsidRDefault="007347A7" w:rsidP="0034027F">
            <w:pPr>
              <w:pStyle w:val="Tabletext"/>
            </w:pPr>
            <w:r w:rsidRPr="00DA1FF3">
              <w:t>Proportion of patients with missing spirometry data</w:t>
            </w:r>
          </w:p>
        </w:tc>
        <w:tc>
          <w:tcPr>
            <w:tcW w:w="699" w:type="pct"/>
          </w:tcPr>
          <w:p w14:paraId="23DE5C2F" w14:textId="77777777" w:rsidR="007347A7" w:rsidRPr="00DA1FF3" w:rsidRDefault="007347A7" w:rsidP="0034027F">
            <w:pPr>
              <w:pStyle w:val="Tabletext"/>
            </w:pPr>
            <w:r w:rsidRPr="00DA1FF3">
              <w:t>20%</w:t>
            </w:r>
          </w:p>
        </w:tc>
      </w:tr>
      <w:tr w:rsidR="007347A7" w:rsidRPr="00DA1FF3" w14:paraId="74CAE239" w14:textId="77777777" w:rsidTr="0034027F">
        <w:tc>
          <w:tcPr>
            <w:tcW w:w="491" w:type="pct"/>
          </w:tcPr>
          <w:p w14:paraId="5768D05E" w14:textId="77777777" w:rsidR="007347A7" w:rsidRPr="00DA1FF3" w:rsidRDefault="007347A7" w:rsidP="0034027F">
            <w:pPr>
              <w:pStyle w:val="Tabletext"/>
            </w:pPr>
            <w:r w:rsidRPr="00DA1FF3">
              <w:t>Intervention</w:t>
            </w:r>
          </w:p>
        </w:tc>
        <w:tc>
          <w:tcPr>
            <w:tcW w:w="635" w:type="pct"/>
          </w:tcPr>
          <w:p w14:paraId="6B0E88C0" w14:textId="77777777" w:rsidR="007347A7" w:rsidRPr="00DA1FF3" w:rsidRDefault="007347A7" w:rsidP="0034027F">
            <w:pPr>
              <w:pStyle w:val="Tabletext"/>
            </w:pPr>
            <w:r w:rsidRPr="00DA1FF3">
              <w:t>Fluticasone propionate + salmeterol</w:t>
            </w:r>
          </w:p>
        </w:tc>
        <w:tc>
          <w:tcPr>
            <w:tcW w:w="1110" w:type="pct"/>
          </w:tcPr>
          <w:p w14:paraId="27A12F74" w14:textId="77777777" w:rsidR="007347A7" w:rsidRPr="00DA1FF3" w:rsidRDefault="007347A7" w:rsidP="0034027F">
            <w:pPr>
              <w:pStyle w:val="Tabletext"/>
            </w:pPr>
            <w:r w:rsidRPr="00DA1FF3">
              <w:t xml:space="preserve">CPRD prescribing record matching definition of drug treatment determined by </w:t>
            </w:r>
            <w:hyperlink r:id="rId24" w:history="1">
              <w:proofErr w:type="spellStart"/>
              <w:r w:rsidRPr="00DA1FF3">
                <w:rPr>
                  <w:rStyle w:val="Hyperlink"/>
                </w:rPr>
                <w:t>codelist</w:t>
              </w:r>
              <w:proofErr w:type="spellEnd"/>
            </w:hyperlink>
            <w:r w:rsidRPr="00DA1FF3">
              <w:t xml:space="preserve"> </w:t>
            </w:r>
          </w:p>
        </w:tc>
        <w:tc>
          <w:tcPr>
            <w:tcW w:w="503" w:type="pct"/>
          </w:tcPr>
          <w:p w14:paraId="6DA638CC" w14:textId="77777777" w:rsidR="007347A7" w:rsidRPr="00DA1FF3" w:rsidRDefault="007347A7" w:rsidP="0034027F">
            <w:pPr>
              <w:pStyle w:val="Tabletext"/>
            </w:pPr>
            <w:r w:rsidRPr="00DA1FF3">
              <w:t>Accuracy</w:t>
            </w:r>
          </w:p>
        </w:tc>
        <w:tc>
          <w:tcPr>
            <w:tcW w:w="1562" w:type="pct"/>
          </w:tcPr>
          <w:p w14:paraId="1CDDEB23" w14:textId="77777777" w:rsidR="007347A7" w:rsidRPr="00DA1FF3" w:rsidRDefault="007347A7" w:rsidP="0034027F">
            <w:pPr>
              <w:pStyle w:val="Tabletext"/>
            </w:pPr>
            <w:r w:rsidRPr="00DA1FF3">
              <w:t>CPRD prescribing data is expected to be highly accurate</w:t>
            </w:r>
          </w:p>
        </w:tc>
        <w:tc>
          <w:tcPr>
            <w:tcW w:w="699" w:type="pct"/>
          </w:tcPr>
          <w:p w14:paraId="08926F77" w14:textId="77777777" w:rsidR="007347A7" w:rsidRPr="00DA1FF3" w:rsidRDefault="007347A7" w:rsidP="0034027F">
            <w:pPr>
              <w:pStyle w:val="Tabletext"/>
            </w:pPr>
            <w:r w:rsidRPr="00DA1FF3">
              <w:t>n/a</w:t>
            </w:r>
          </w:p>
        </w:tc>
      </w:tr>
      <w:tr w:rsidR="007347A7" w:rsidRPr="00DA1FF3" w14:paraId="043E8869" w14:textId="77777777" w:rsidTr="0034027F">
        <w:tc>
          <w:tcPr>
            <w:tcW w:w="491" w:type="pct"/>
          </w:tcPr>
          <w:p w14:paraId="2655952D" w14:textId="77777777" w:rsidR="007347A7" w:rsidRPr="00DA1FF3" w:rsidRDefault="007347A7" w:rsidP="0034027F">
            <w:pPr>
              <w:pStyle w:val="Tabletext"/>
            </w:pPr>
            <w:r w:rsidRPr="00DA1FF3">
              <w:t>Outcome</w:t>
            </w:r>
          </w:p>
        </w:tc>
        <w:tc>
          <w:tcPr>
            <w:tcW w:w="635" w:type="pct"/>
          </w:tcPr>
          <w:p w14:paraId="3C48AB8D" w14:textId="77777777" w:rsidR="007347A7" w:rsidRPr="00DA1FF3" w:rsidRDefault="007347A7" w:rsidP="0034027F">
            <w:pPr>
              <w:pStyle w:val="Tabletext"/>
            </w:pPr>
            <w:r w:rsidRPr="00DA1FF3">
              <w:t>COPD exacerbation</w:t>
            </w:r>
          </w:p>
        </w:tc>
        <w:tc>
          <w:tcPr>
            <w:tcW w:w="1110" w:type="pct"/>
          </w:tcPr>
          <w:p w14:paraId="4AEA0FA5" w14:textId="77777777" w:rsidR="007347A7" w:rsidRPr="00DA1FF3" w:rsidRDefault="007347A7" w:rsidP="0034027F">
            <w:pPr>
              <w:pStyle w:val="Tabletext"/>
            </w:pPr>
            <w:r w:rsidRPr="00DA1FF3">
              <w:t xml:space="preserve">Any of the following: </w:t>
            </w:r>
          </w:p>
          <w:p w14:paraId="10671B77" w14:textId="77777777" w:rsidR="007347A7" w:rsidRPr="00DA1FF3" w:rsidRDefault="007347A7" w:rsidP="0034027F">
            <w:pPr>
              <w:pStyle w:val="Tablebullet2"/>
            </w:pPr>
            <w:r w:rsidRPr="00DA1FF3">
              <w:t xml:space="preserve">CPRD diagnostic (Read) code for LRTI or AECOPD </w:t>
            </w:r>
          </w:p>
          <w:p w14:paraId="5E9554A2" w14:textId="4B46A350" w:rsidR="007347A7" w:rsidRPr="00DA1FF3" w:rsidRDefault="007347A7" w:rsidP="0034027F">
            <w:pPr>
              <w:pStyle w:val="Tablebullet2"/>
            </w:pPr>
            <w:r w:rsidRPr="00DA1FF3">
              <w:t>A prescription of a COPD</w:t>
            </w:r>
            <w:r w:rsidR="00C838C2">
              <w:t>-</w:t>
            </w:r>
            <w:r w:rsidRPr="00DA1FF3">
              <w:t>specific antibiotic combined with OCS for 5–14 days</w:t>
            </w:r>
          </w:p>
          <w:p w14:paraId="21DCB1BB" w14:textId="28BEAEB8" w:rsidR="007347A7" w:rsidRPr="00DA1FF3" w:rsidRDefault="007347A7" w:rsidP="0034027F">
            <w:pPr>
              <w:pStyle w:val="Tablebullet2"/>
            </w:pPr>
            <w:r w:rsidRPr="00DA1FF3">
              <w:t xml:space="preserve">A record (Read code) of </w:t>
            </w:r>
            <w:r w:rsidR="00DA1FF3">
              <w:t>2</w:t>
            </w:r>
            <w:r w:rsidR="00DA1FF3" w:rsidRPr="00DA1FF3">
              <w:t xml:space="preserve"> </w:t>
            </w:r>
            <w:r w:rsidRPr="00DA1FF3">
              <w:t xml:space="preserve">or more respiratory symptoms of AECOPD with a prescription of COPD-specific antibiotics </w:t>
            </w:r>
            <w:r w:rsidRPr="00DA1FF3">
              <w:lastRenderedPageBreak/>
              <w:t>and/or OCS on the same day.</w:t>
            </w:r>
          </w:p>
          <w:p w14:paraId="2A9B1579" w14:textId="77777777" w:rsidR="007347A7" w:rsidRPr="00DA1FF3" w:rsidRDefault="007347A7" w:rsidP="0034027F">
            <w:pPr>
              <w:pStyle w:val="Tablebullet2"/>
              <w:numPr>
                <w:ilvl w:val="0"/>
                <w:numId w:val="0"/>
              </w:numPr>
            </w:pPr>
            <w:r w:rsidRPr="00DA1FF3">
              <w:t xml:space="preserve">See </w:t>
            </w:r>
            <w:hyperlink r:id="rId25" w:history="1">
              <w:proofErr w:type="spellStart"/>
              <w:r w:rsidRPr="00DA1FF3">
                <w:rPr>
                  <w:rStyle w:val="Hyperlink"/>
                </w:rPr>
                <w:t>codelist</w:t>
              </w:r>
              <w:proofErr w:type="spellEnd"/>
            </w:hyperlink>
          </w:p>
        </w:tc>
        <w:tc>
          <w:tcPr>
            <w:tcW w:w="503" w:type="pct"/>
          </w:tcPr>
          <w:p w14:paraId="1A9381D3" w14:textId="77777777" w:rsidR="007347A7" w:rsidRPr="00DA1FF3" w:rsidRDefault="007347A7" w:rsidP="0034027F">
            <w:pPr>
              <w:pStyle w:val="Tabletext"/>
            </w:pPr>
            <w:r w:rsidRPr="00DA1FF3">
              <w:lastRenderedPageBreak/>
              <w:t>Accuracy</w:t>
            </w:r>
          </w:p>
        </w:tc>
        <w:tc>
          <w:tcPr>
            <w:tcW w:w="1562" w:type="pct"/>
          </w:tcPr>
          <w:p w14:paraId="27E83E57" w14:textId="77777777" w:rsidR="007347A7" w:rsidRPr="00DA1FF3" w:rsidRDefault="007347A7" w:rsidP="0034027F">
            <w:pPr>
              <w:pStyle w:val="Tabletext"/>
            </w:pPr>
            <w:r w:rsidRPr="00DA1FF3">
              <w:t>Previously published validation study comparing algorithms for identifying people with COPD exacerbations with physician review questionnaire as gold standard (</w:t>
            </w:r>
            <w:proofErr w:type="spellStart"/>
            <w:r w:rsidR="0071140C">
              <w:fldChar w:fldCharType="begin"/>
            </w:r>
            <w:r w:rsidR="0071140C">
              <w:instrText xml:space="preserve"> HYPERLINK "https://pubmed.ncbi.nlm.nih.gov/26959820/" </w:instrText>
            </w:r>
            <w:r w:rsidR="0071140C">
              <w:fldChar w:fldCharType="separate"/>
            </w:r>
            <w:r w:rsidRPr="00DA1FF3">
              <w:rPr>
                <w:rStyle w:val="Hyperlink"/>
              </w:rPr>
              <w:t>Rothnie</w:t>
            </w:r>
            <w:proofErr w:type="spellEnd"/>
            <w:r w:rsidRPr="00DA1FF3">
              <w:rPr>
                <w:rStyle w:val="Hyperlink"/>
              </w:rPr>
              <w:t xml:space="preserve"> et al. 2016</w:t>
            </w:r>
            <w:r w:rsidR="0071140C">
              <w:rPr>
                <w:rStyle w:val="Hyperlink"/>
              </w:rPr>
              <w:fldChar w:fldCharType="end"/>
            </w:r>
            <w:r w:rsidRPr="00DA1FF3">
              <w:t>)</w:t>
            </w:r>
          </w:p>
        </w:tc>
        <w:tc>
          <w:tcPr>
            <w:tcW w:w="699" w:type="pct"/>
          </w:tcPr>
          <w:p w14:paraId="13AC5C69" w14:textId="77777777" w:rsidR="007347A7" w:rsidRPr="00DA1FF3" w:rsidRDefault="007347A7" w:rsidP="0034027F">
            <w:pPr>
              <w:pStyle w:val="Tabletext"/>
            </w:pPr>
            <w:r w:rsidRPr="00DA1FF3">
              <w:t>PPV: 86% (95% CI 83% to 88%)</w:t>
            </w:r>
          </w:p>
          <w:p w14:paraId="5661E296" w14:textId="77777777" w:rsidR="007347A7" w:rsidRPr="00DA1FF3" w:rsidRDefault="007347A7" w:rsidP="0034027F">
            <w:pPr>
              <w:pStyle w:val="Tabletext"/>
            </w:pPr>
            <w:r w:rsidRPr="00DA1FF3">
              <w:t>Sensitivity: 63% (95% CI 55% to 70%)</w:t>
            </w:r>
          </w:p>
        </w:tc>
      </w:tr>
      <w:tr w:rsidR="007347A7" w:rsidRPr="00DA1FF3" w14:paraId="4E8B5DFD" w14:textId="77777777" w:rsidTr="0034027F">
        <w:tc>
          <w:tcPr>
            <w:tcW w:w="491" w:type="pct"/>
          </w:tcPr>
          <w:p w14:paraId="6E03D78B" w14:textId="77777777" w:rsidR="007347A7" w:rsidRPr="00DA1FF3" w:rsidRDefault="007347A7" w:rsidP="0034027F">
            <w:pPr>
              <w:pStyle w:val="Tabletext"/>
            </w:pPr>
            <w:r w:rsidRPr="00DA1FF3">
              <w:t>Outcome</w:t>
            </w:r>
          </w:p>
        </w:tc>
        <w:tc>
          <w:tcPr>
            <w:tcW w:w="635" w:type="pct"/>
          </w:tcPr>
          <w:p w14:paraId="2470E091" w14:textId="77777777" w:rsidR="007347A7" w:rsidRPr="00DA1FF3" w:rsidRDefault="007347A7" w:rsidP="0034027F">
            <w:pPr>
              <w:pStyle w:val="Tabletext"/>
            </w:pPr>
            <w:r w:rsidRPr="00DA1FF3">
              <w:t>All-cause mortality</w:t>
            </w:r>
          </w:p>
        </w:tc>
        <w:tc>
          <w:tcPr>
            <w:tcW w:w="1110" w:type="pct"/>
          </w:tcPr>
          <w:p w14:paraId="1963D1E7" w14:textId="77777777" w:rsidR="007347A7" w:rsidRPr="00DA1FF3" w:rsidRDefault="007347A7" w:rsidP="0034027F">
            <w:pPr>
              <w:pStyle w:val="Tabletext"/>
            </w:pPr>
            <w:r w:rsidRPr="00DA1FF3">
              <w:t>Record in ONS mortality statistics (centrally linked to CPRD data)</w:t>
            </w:r>
          </w:p>
        </w:tc>
        <w:tc>
          <w:tcPr>
            <w:tcW w:w="503" w:type="pct"/>
          </w:tcPr>
          <w:p w14:paraId="25783960" w14:textId="77777777" w:rsidR="007347A7" w:rsidRPr="00DA1FF3" w:rsidRDefault="007347A7" w:rsidP="0034027F">
            <w:pPr>
              <w:pStyle w:val="Tabletext"/>
            </w:pPr>
            <w:r w:rsidRPr="00DA1FF3">
              <w:t>Accuracy</w:t>
            </w:r>
          </w:p>
        </w:tc>
        <w:tc>
          <w:tcPr>
            <w:tcW w:w="1562" w:type="pct"/>
          </w:tcPr>
          <w:p w14:paraId="103DE308" w14:textId="77777777" w:rsidR="007347A7" w:rsidRPr="00DA1FF3" w:rsidRDefault="007347A7" w:rsidP="0034027F">
            <w:pPr>
              <w:pStyle w:val="Tabletext"/>
            </w:pPr>
            <w:r w:rsidRPr="00DA1FF3">
              <w:t>ONS mortality records are the gold standard data for deaths</w:t>
            </w:r>
          </w:p>
        </w:tc>
        <w:tc>
          <w:tcPr>
            <w:tcW w:w="699" w:type="pct"/>
          </w:tcPr>
          <w:p w14:paraId="313B6480" w14:textId="77777777" w:rsidR="007347A7" w:rsidRPr="00DA1FF3" w:rsidRDefault="007347A7" w:rsidP="0034027F">
            <w:pPr>
              <w:pStyle w:val="Tabletext"/>
            </w:pPr>
            <w:r w:rsidRPr="00DA1FF3">
              <w:t>n/a</w:t>
            </w:r>
          </w:p>
        </w:tc>
      </w:tr>
      <w:tr w:rsidR="007347A7" w:rsidRPr="00DA1FF3" w14:paraId="614F1654" w14:textId="77777777" w:rsidTr="0034027F">
        <w:tc>
          <w:tcPr>
            <w:tcW w:w="491" w:type="pct"/>
          </w:tcPr>
          <w:p w14:paraId="53A1846E" w14:textId="77777777" w:rsidR="007347A7" w:rsidRPr="00DA1FF3" w:rsidRDefault="007347A7" w:rsidP="0034027F">
            <w:pPr>
              <w:pStyle w:val="Tabletext"/>
            </w:pPr>
            <w:r w:rsidRPr="00DA1FF3">
              <w:t>Covariate (confounder)</w:t>
            </w:r>
          </w:p>
        </w:tc>
        <w:tc>
          <w:tcPr>
            <w:tcW w:w="635" w:type="pct"/>
          </w:tcPr>
          <w:p w14:paraId="766261C6" w14:textId="77777777" w:rsidR="007347A7" w:rsidRPr="00DA1FF3" w:rsidRDefault="007347A7" w:rsidP="0034027F">
            <w:pPr>
              <w:pStyle w:val="Tabletext"/>
            </w:pPr>
            <w:r w:rsidRPr="00DA1FF3">
              <w:t xml:space="preserve">Alcohol intake </w:t>
            </w:r>
          </w:p>
        </w:tc>
        <w:tc>
          <w:tcPr>
            <w:tcW w:w="1110" w:type="pct"/>
          </w:tcPr>
          <w:p w14:paraId="374DE5C3" w14:textId="77777777" w:rsidR="007347A7" w:rsidRPr="00DA1FF3" w:rsidRDefault="007347A7" w:rsidP="0034027F">
            <w:pPr>
              <w:pStyle w:val="Tabletext"/>
            </w:pPr>
            <w:r w:rsidRPr="00DA1FF3">
              <w:t>Reported directly in CPRD (closest to index date)</w:t>
            </w:r>
          </w:p>
        </w:tc>
        <w:tc>
          <w:tcPr>
            <w:tcW w:w="503" w:type="pct"/>
          </w:tcPr>
          <w:p w14:paraId="427434FE" w14:textId="77777777" w:rsidR="007347A7" w:rsidRPr="00DA1FF3" w:rsidRDefault="007347A7" w:rsidP="0034027F">
            <w:pPr>
              <w:pStyle w:val="Tabletext"/>
            </w:pPr>
            <w:r w:rsidRPr="00DA1FF3">
              <w:t>Completeness</w:t>
            </w:r>
          </w:p>
        </w:tc>
        <w:tc>
          <w:tcPr>
            <w:tcW w:w="1562" w:type="pct"/>
          </w:tcPr>
          <w:p w14:paraId="7F21D53A" w14:textId="77777777" w:rsidR="007347A7" w:rsidRPr="00DA1FF3" w:rsidRDefault="007347A7" w:rsidP="0034027F">
            <w:pPr>
              <w:pStyle w:val="Tabletext"/>
            </w:pPr>
            <w:r w:rsidRPr="00DA1FF3">
              <w:t>Proportion of patients with missing data on alcohol intake</w:t>
            </w:r>
          </w:p>
        </w:tc>
        <w:tc>
          <w:tcPr>
            <w:tcW w:w="699" w:type="pct"/>
          </w:tcPr>
          <w:p w14:paraId="4FFE13EC" w14:textId="77777777" w:rsidR="007347A7" w:rsidRPr="00DA1FF3" w:rsidRDefault="007347A7" w:rsidP="0034027F">
            <w:pPr>
              <w:pStyle w:val="Tabletext"/>
            </w:pPr>
            <w:r w:rsidRPr="00DA1FF3">
              <w:t>30%</w:t>
            </w:r>
          </w:p>
        </w:tc>
      </w:tr>
    </w:tbl>
    <w:p w14:paraId="32188D4D" w14:textId="77777777" w:rsidR="007347A7" w:rsidRPr="00DA1FF3" w:rsidRDefault="007347A7" w:rsidP="007347A7">
      <w:pPr>
        <w:sectPr w:rsidR="007347A7" w:rsidRPr="00DA1FF3" w:rsidSect="0034027F">
          <w:pgSz w:w="16838" w:h="11906" w:orient="landscape"/>
          <w:pgMar w:top="1440" w:right="1440" w:bottom="1440" w:left="1440" w:header="708" w:footer="708" w:gutter="0"/>
          <w:cols w:space="708"/>
          <w:docGrid w:linePitch="360"/>
        </w:sectPr>
      </w:pPr>
    </w:p>
    <w:p w14:paraId="72F19551" w14:textId="77777777" w:rsidR="007347A7" w:rsidRPr="00DA1FF3" w:rsidRDefault="007347A7" w:rsidP="00382670">
      <w:pPr>
        <w:pStyle w:val="Caption"/>
      </w:pPr>
      <w:bookmarkStart w:id="7" w:name="_Data_relevance_1"/>
      <w:bookmarkEnd w:id="7"/>
      <w:r w:rsidRPr="00DA1FF3">
        <w:lastRenderedPageBreak/>
        <w:t>Data relevance</w:t>
      </w:r>
    </w:p>
    <w:tbl>
      <w:tblPr>
        <w:tblStyle w:val="Surveillancetable"/>
        <w:tblW w:w="0" w:type="auto"/>
        <w:tblLook w:val="04A0" w:firstRow="1" w:lastRow="0" w:firstColumn="1" w:lastColumn="0" w:noHBand="0" w:noVBand="1"/>
      </w:tblPr>
      <w:tblGrid>
        <w:gridCol w:w="2863"/>
        <w:gridCol w:w="6153"/>
      </w:tblGrid>
      <w:tr w:rsidR="007347A7" w:rsidRPr="00DA1FF3" w14:paraId="0D0E3721" w14:textId="77777777" w:rsidTr="0034027F">
        <w:trPr>
          <w:cnfStyle w:val="100000000000" w:firstRow="1" w:lastRow="0" w:firstColumn="0" w:lastColumn="0" w:oddVBand="0" w:evenVBand="0" w:oddHBand="0" w:evenHBand="0" w:firstRowFirstColumn="0" w:firstRowLastColumn="0" w:lastRowFirstColumn="0" w:lastRowLastColumn="0"/>
          <w:tblHeader/>
        </w:trPr>
        <w:tc>
          <w:tcPr>
            <w:tcW w:w="2892" w:type="dxa"/>
          </w:tcPr>
          <w:p w14:paraId="38FA362B" w14:textId="77777777" w:rsidR="007347A7" w:rsidRPr="00DA1FF3" w:rsidRDefault="007347A7" w:rsidP="0034027F">
            <w:r w:rsidRPr="00DA1FF3">
              <w:t>Item</w:t>
            </w:r>
          </w:p>
        </w:tc>
        <w:tc>
          <w:tcPr>
            <w:tcW w:w="6248" w:type="dxa"/>
          </w:tcPr>
          <w:p w14:paraId="71FCDF44" w14:textId="77777777" w:rsidR="007347A7" w:rsidRPr="00DA1FF3" w:rsidRDefault="007347A7" w:rsidP="0034027F">
            <w:r w:rsidRPr="00DA1FF3">
              <w:t>Response</w:t>
            </w:r>
          </w:p>
        </w:tc>
      </w:tr>
      <w:tr w:rsidR="007347A7" w:rsidRPr="00DA1FF3" w14:paraId="244C2249" w14:textId="77777777" w:rsidTr="0034027F">
        <w:tc>
          <w:tcPr>
            <w:tcW w:w="2892" w:type="dxa"/>
          </w:tcPr>
          <w:p w14:paraId="7565B78A" w14:textId="77777777" w:rsidR="007347A7" w:rsidRPr="00DA1FF3" w:rsidRDefault="007347A7" w:rsidP="0034027F">
            <w:pPr>
              <w:pStyle w:val="Tabletext"/>
            </w:pPr>
            <w:r w:rsidRPr="00DA1FF3">
              <w:t>Population</w:t>
            </w:r>
          </w:p>
        </w:tc>
        <w:tc>
          <w:tcPr>
            <w:tcW w:w="6248" w:type="dxa"/>
          </w:tcPr>
          <w:p w14:paraId="5A3F1F12" w14:textId="77777777" w:rsidR="007347A7" w:rsidRPr="00DA1FF3" w:rsidRDefault="007347A7" w:rsidP="0034027F">
            <w:pPr>
              <w:pStyle w:val="Tabletext"/>
            </w:pPr>
            <w:r w:rsidRPr="00DA1FF3">
              <w:t>Patients in CPRD have similar demographic characteristics to the wider UK population. Results from CPRD are generally expected to generalise to the wider eligible population.</w:t>
            </w:r>
          </w:p>
          <w:p w14:paraId="4297CBC8" w14:textId="08C90DED" w:rsidR="007347A7" w:rsidRPr="00DA1FF3" w:rsidRDefault="007347A7" w:rsidP="0034027F">
            <w:pPr>
              <w:pStyle w:val="Tabletext"/>
            </w:pPr>
            <w:r w:rsidRPr="00DA1FF3">
              <w:t xml:space="preserve">Complete records analysis was </w:t>
            </w:r>
            <w:r w:rsidR="00D637E5">
              <w:t>done</w:t>
            </w:r>
            <w:r w:rsidRPr="00DA1FF3">
              <w:t xml:space="preserve"> excluding records with missing data on socioeconomic status, alcohol consumption and BMI. All these variables had less than 5% of the data missing. </w:t>
            </w:r>
          </w:p>
          <w:p w14:paraId="5471941E" w14:textId="2045AB99" w:rsidR="007347A7" w:rsidRPr="00DA1FF3" w:rsidRDefault="007347A7" w:rsidP="0034027F">
            <w:pPr>
              <w:pStyle w:val="Tabletext"/>
            </w:pPr>
            <w:r w:rsidRPr="00DA1FF3">
              <w:t xml:space="preserve">Around one-fifth of patients were excluded </w:t>
            </w:r>
            <w:r w:rsidR="00EF3F70">
              <w:t>because</w:t>
            </w:r>
            <w:r w:rsidR="00EF3F70" w:rsidRPr="00DA1FF3">
              <w:t xml:space="preserve"> </w:t>
            </w:r>
            <w:r w:rsidRPr="00DA1FF3">
              <w:t>they did not have spirometry measurements recorded in the CPRD. Those without measurements tend to have less contact with health services</w:t>
            </w:r>
            <w:r w:rsidR="00EF3F70">
              <w:t>,</w:t>
            </w:r>
            <w:r w:rsidRPr="00DA1FF3">
              <w:t xml:space="preserve"> which could impact on the generalisability of results. </w:t>
            </w:r>
          </w:p>
        </w:tc>
      </w:tr>
      <w:tr w:rsidR="007347A7" w:rsidRPr="00DA1FF3" w14:paraId="01F3A24D" w14:textId="77777777" w:rsidTr="0034027F">
        <w:tc>
          <w:tcPr>
            <w:tcW w:w="2892" w:type="dxa"/>
          </w:tcPr>
          <w:p w14:paraId="17CC06C4" w14:textId="77777777" w:rsidR="007347A7" w:rsidRPr="00DA1FF3" w:rsidRDefault="007347A7" w:rsidP="0034027F">
            <w:pPr>
              <w:pStyle w:val="Tabletext"/>
            </w:pPr>
            <w:r w:rsidRPr="00DA1FF3">
              <w:t>Care setting</w:t>
            </w:r>
          </w:p>
        </w:tc>
        <w:tc>
          <w:tcPr>
            <w:tcW w:w="6248" w:type="dxa"/>
          </w:tcPr>
          <w:p w14:paraId="092C422E" w14:textId="77777777" w:rsidR="007347A7" w:rsidRPr="00DA1FF3" w:rsidRDefault="007347A7" w:rsidP="0034027F">
            <w:pPr>
              <w:pStyle w:val="Tabletext"/>
            </w:pPr>
            <w:r w:rsidRPr="00DA1FF3">
              <w:t>Appropriate. COPD drugs are typically administered in primary care (CPRD) while relevant events may be observed in primary or secondary care (CPRD or HES).</w:t>
            </w:r>
          </w:p>
        </w:tc>
      </w:tr>
      <w:tr w:rsidR="007347A7" w:rsidRPr="00DA1FF3" w14:paraId="2CCC0936" w14:textId="77777777" w:rsidTr="0034027F">
        <w:tc>
          <w:tcPr>
            <w:tcW w:w="2892" w:type="dxa"/>
          </w:tcPr>
          <w:p w14:paraId="7AA6114D" w14:textId="77777777" w:rsidR="007347A7" w:rsidRPr="00DA1FF3" w:rsidRDefault="007347A7" w:rsidP="0034027F">
            <w:pPr>
              <w:pStyle w:val="Tabletext"/>
            </w:pPr>
            <w:r w:rsidRPr="00DA1FF3">
              <w:t>Treatment pathway</w:t>
            </w:r>
          </w:p>
        </w:tc>
        <w:tc>
          <w:tcPr>
            <w:tcW w:w="6248" w:type="dxa"/>
          </w:tcPr>
          <w:p w14:paraId="4FF2B30E" w14:textId="77777777" w:rsidR="007347A7" w:rsidRPr="00DA1FF3" w:rsidRDefault="007347A7" w:rsidP="0034027F">
            <w:pPr>
              <w:pStyle w:val="Tabletext"/>
            </w:pPr>
            <w:r w:rsidRPr="00DA1FF3">
              <w:t>The data represents routine practice in the NHS.</w:t>
            </w:r>
          </w:p>
        </w:tc>
      </w:tr>
      <w:tr w:rsidR="007347A7" w:rsidRPr="00DA1FF3" w14:paraId="5F4FB254" w14:textId="77777777" w:rsidTr="0034027F">
        <w:tc>
          <w:tcPr>
            <w:tcW w:w="2892" w:type="dxa"/>
          </w:tcPr>
          <w:p w14:paraId="2A8A3063" w14:textId="77777777" w:rsidR="007347A7" w:rsidRPr="00DA1FF3" w:rsidRDefault="007347A7" w:rsidP="0034027F">
            <w:pPr>
              <w:pStyle w:val="Tabletext"/>
            </w:pPr>
            <w:r w:rsidRPr="00DA1FF3">
              <w:t>Availability of key study elements</w:t>
            </w:r>
          </w:p>
        </w:tc>
        <w:tc>
          <w:tcPr>
            <w:tcW w:w="6248" w:type="dxa"/>
          </w:tcPr>
          <w:p w14:paraId="126F22A7" w14:textId="77777777" w:rsidR="007347A7" w:rsidRPr="00DA1FF3" w:rsidRDefault="007347A7" w:rsidP="0034027F">
            <w:pPr>
              <w:pStyle w:val="Tabletext"/>
            </w:pPr>
            <w:r w:rsidRPr="00DA1FF3">
              <w:t xml:space="preserve">Sufficient data on exposures and outcomes are available. Although only prescribing and not dispensing data is available from CPRD this is expected to be a good proxy for dispensing. </w:t>
            </w:r>
          </w:p>
          <w:p w14:paraId="4C912E98" w14:textId="77777777" w:rsidR="007347A7" w:rsidRPr="00DA1FF3" w:rsidRDefault="007347A7" w:rsidP="0034027F">
            <w:pPr>
              <w:pStyle w:val="Tabletext"/>
            </w:pPr>
            <w:r w:rsidRPr="00DA1FF3">
              <w:t xml:space="preserve">No information was available on negative reversibility spirometry results which may be a key confounder. </w:t>
            </w:r>
          </w:p>
          <w:p w14:paraId="78B55375" w14:textId="77777777" w:rsidR="007347A7" w:rsidRPr="00DA1FF3" w:rsidRDefault="007347A7" w:rsidP="0034027F">
            <w:pPr>
              <w:pStyle w:val="Tabletext"/>
            </w:pPr>
            <w:r w:rsidRPr="00DA1FF3">
              <w:t>Dosage information is limited in CPRD.</w:t>
            </w:r>
          </w:p>
        </w:tc>
      </w:tr>
      <w:tr w:rsidR="007347A7" w:rsidRPr="00DA1FF3" w14:paraId="122BDD04" w14:textId="77777777" w:rsidTr="0034027F">
        <w:tc>
          <w:tcPr>
            <w:tcW w:w="2892" w:type="dxa"/>
          </w:tcPr>
          <w:p w14:paraId="0F79200D" w14:textId="77777777" w:rsidR="007347A7" w:rsidRPr="00DA1FF3" w:rsidRDefault="007347A7" w:rsidP="0034027F">
            <w:pPr>
              <w:pStyle w:val="Tabletext"/>
            </w:pPr>
            <w:r w:rsidRPr="00DA1FF3">
              <w:t>Study period</w:t>
            </w:r>
          </w:p>
        </w:tc>
        <w:tc>
          <w:tcPr>
            <w:tcW w:w="6248" w:type="dxa"/>
          </w:tcPr>
          <w:p w14:paraId="34CF5CE7" w14:textId="148C5D55" w:rsidR="007347A7" w:rsidRPr="00DA1FF3" w:rsidRDefault="007347A7" w:rsidP="0034027F">
            <w:pPr>
              <w:pStyle w:val="Tabletext"/>
            </w:pPr>
            <w:r w:rsidRPr="00DA1FF3">
              <w:t>There have been no major changes to UK clinical practice for the management of COPD since the study period</w:t>
            </w:r>
            <w:r w:rsidR="00FD72FB">
              <w:t>.</w:t>
            </w:r>
            <w:r w:rsidRPr="00DA1FF3">
              <w:t xml:space="preserve"> </w:t>
            </w:r>
          </w:p>
        </w:tc>
      </w:tr>
      <w:tr w:rsidR="007347A7" w:rsidRPr="00DA1FF3" w14:paraId="230A0C24" w14:textId="77777777" w:rsidTr="0034027F">
        <w:tc>
          <w:tcPr>
            <w:tcW w:w="2892" w:type="dxa"/>
          </w:tcPr>
          <w:p w14:paraId="37CAA6CA" w14:textId="77777777" w:rsidR="007347A7" w:rsidRPr="00DA1FF3" w:rsidRDefault="007347A7" w:rsidP="0034027F">
            <w:pPr>
              <w:pStyle w:val="Tabletext"/>
            </w:pPr>
            <w:r w:rsidRPr="00DA1FF3">
              <w:t>Timing of measurements</w:t>
            </w:r>
          </w:p>
        </w:tc>
        <w:tc>
          <w:tcPr>
            <w:tcW w:w="6248" w:type="dxa"/>
          </w:tcPr>
          <w:p w14:paraId="746D6008" w14:textId="77777777" w:rsidR="007347A7" w:rsidRPr="00DA1FF3" w:rsidRDefault="007347A7" w:rsidP="0034027F">
            <w:pPr>
              <w:pStyle w:val="Tabletext"/>
            </w:pPr>
            <w:r w:rsidRPr="00DA1FF3">
              <w:t xml:space="preserve">The longitudinal nature of the analysis allows for the research question to be answered. The date of entry is expected to reflect the actual timing of clinical events well. </w:t>
            </w:r>
          </w:p>
        </w:tc>
      </w:tr>
      <w:tr w:rsidR="007347A7" w:rsidRPr="00DA1FF3" w14:paraId="1E352C13" w14:textId="77777777" w:rsidTr="0034027F">
        <w:tc>
          <w:tcPr>
            <w:tcW w:w="2892" w:type="dxa"/>
          </w:tcPr>
          <w:p w14:paraId="53809705" w14:textId="55453408" w:rsidR="007347A7" w:rsidRPr="00DA1FF3" w:rsidRDefault="007347A7" w:rsidP="0034027F">
            <w:pPr>
              <w:pStyle w:val="Tabletext"/>
            </w:pPr>
            <w:r w:rsidRPr="00DA1FF3">
              <w:t>Follow</w:t>
            </w:r>
            <w:r w:rsidR="00C838C2">
              <w:t xml:space="preserve"> </w:t>
            </w:r>
            <w:r w:rsidRPr="00DA1FF3">
              <w:t>up</w:t>
            </w:r>
          </w:p>
        </w:tc>
        <w:tc>
          <w:tcPr>
            <w:tcW w:w="6248" w:type="dxa"/>
          </w:tcPr>
          <w:p w14:paraId="072E81C6" w14:textId="3930F0DB" w:rsidR="007347A7" w:rsidRPr="00DA1FF3" w:rsidRDefault="007347A7" w:rsidP="0034027F">
            <w:pPr>
              <w:pStyle w:val="Tabletext"/>
            </w:pPr>
            <w:r w:rsidRPr="00DA1FF3">
              <w:t xml:space="preserve">The average </w:t>
            </w:r>
            <w:proofErr w:type="gramStart"/>
            <w:r w:rsidRPr="00DA1FF3">
              <w:t>follow</w:t>
            </w:r>
            <w:proofErr w:type="gramEnd"/>
            <w:r w:rsidR="00C838C2">
              <w:t xml:space="preserve"> </w:t>
            </w:r>
            <w:r w:rsidRPr="00DA1FF3">
              <w:t>up of 2 years is sufficient for the primary outcome of COPD exacerbations to have occurred.</w:t>
            </w:r>
          </w:p>
        </w:tc>
      </w:tr>
      <w:tr w:rsidR="007347A7" w:rsidRPr="00DA1FF3" w14:paraId="5F245D80" w14:textId="77777777" w:rsidTr="0034027F">
        <w:tc>
          <w:tcPr>
            <w:tcW w:w="2892" w:type="dxa"/>
          </w:tcPr>
          <w:p w14:paraId="78E88FA5" w14:textId="77777777" w:rsidR="007347A7" w:rsidRPr="00DA1FF3" w:rsidRDefault="007347A7" w:rsidP="0034027F">
            <w:pPr>
              <w:pStyle w:val="Tabletext"/>
            </w:pPr>
            <w:r w:rsidRPr="00DA1FF3">
              <w:t>Sample size</w:t>
            </w:r>
          </w:p>
        </w:tc>
        <w:tc>
          <w:tcPr>
            <w:tcW w:w="6248" w:type="dxa"/>
          </w:tcPr>
          <w:p w14:paraId="0CDB965E" w14:textId="14A8D28E" w:rsidR="007347A7" w:rsidRPr="00DA1FF3" w:rsidRDefault="007347A7" w:rsidP="0034027F">
            <w:pPr>
              <w:pStyle w:val="Tabletext"/>
              <w:rPr>
                <w:color w:val="004650"/>
              </w:rPr>
            </w:pPr>
            <w:r w:rsidRPr="00DA1FF3">
              <w:t xml:space="preserve">The </w:t>
            </w:r>
            <w:r w:rsidR="00D637E5">
              <w:t>needed</w:t>
            </w:r>
            <w:r w:rsidRPr="00DA1FF3">
              <w:t xml:space="preserve"> sample size for COPD exacerbations was estimated to be 600 per arm at 80% and 5% significance (see </w:t>
            </w:r>
            <w:hyperlink r:id="rId26" w:anchor="/abs1-1" w:history="1">
              <w:r w:rsidR="00EF3F70">
                <w:rPr>
                  <w:rStyle w:val="Hyperlink"/>
                </w:rPr>
                <w:t>Wing et al. 2021</w:t>
              </w:r>
            </w:hyperlink>
            <w:r w:rsidRPr="00DA1FF3">
              <w:t xml:space="preserve"> for details). The actual sample size of </w:t>
            </w:r>
            <w:r w:rsidR="00430BC9">
              <w:t xml:space="preserve">about </w:t>
            </w:r>
            <w:r w:rsidRPr="00DA1FF3">
              <w:t>2</w:t>
            </w:r>
            <w:r w:rsidR="00430BC9">
              <w:t>,</w:t>
            </w:r>
            <w:r w:rsidRPr="00DA1FF3">
              <w:t xml:space="preserve">500 per arm far exceeds this. </w:t>
            </w:r>
          </w:p>
        </w:tc>
      </w:tr>
    </w:tbl>
    <w:p w14:paraId="3939D012" w14:textId="77777777" w:rsidR="007347A7" w:rsidRPr="00DA1FF3" w:rsidRDefault="007347A7" w:rsidP="007347A7"/>
    <w:p w14:paraId="6432888F" w14:textId="5D60620B" w:rsidR="004D1FA1" w:rsidRDefault="007347A7" w:rsidP="007347A7">
      <w:pPr>
        <w:pStyle w:val="Heading1"/>
      </w:pPr>
      <w:bookmarkStart w:id="8" w:name="_Appendix_B_–"/>
      <w:bookmarkStart w:id="9" w:name="_Toc99613199"/>
      <w:bookmarkEnd w:id="8"/>
      <w:r w:rsidRPr="00DA1FF3">
        <w:lastRenderedPageBreak/>
        <w:t xml:space="preserve">Appendix </w:t>
      </w:r>
      <w:r w:rsidR="006B6CDA" w:rsidRPr="00DA1FF3">
        <w:t>2</w:t>
      </w:r>
      <w:r w:rsidRPr="00DA1FF3">
        <w:t xml:space="preserve"> – Reporting on methods used to minimise risk of bias</w:t>
      </w:r>
      <w:bookmarkEnd w:id="9"/>
    </w:p>
    <w:p w14:paraId="559E3795" w14:textId="1FFA7DE7" w:rsidR="00D32E54" w:rsidRPr="00D32E54" w:rsidRDefault="00D32E54" w:rsidP="00D32E54">
      <w:pPr>
        <w:pStyle w:val="Caption"/>
      </w:pPr>
      <w:r>
        <w:t>Form for reporting on methods used to minimise risk of bias</w:t>
      </w:r>
    </w:p>
    <w:tbl>
      <w:tblPr>
        <w:tblStyle w:val="Surveillancetable"/>
        <w:tblW w:w="0" w:type="auto"/>
        <w:tblLook w:val="04A0" w:firstRow="1" w:lastRow="0" w:firstColumn="1" w:lastColumn="0" w:noHBand="0" w:noVBand="1"/>
      </w:tblPr>
      <w:tblGrid>
        <w:gridCol w:w="2547"/>
        <w:gridCol w:w="6469"/>
      </w:tblGrid>
      <w:tr w:rsidR="007347A7" w:rsidRPr="00DA1FF3" w14:paraId="38F81452" w14:textId="77777777" w:rsidTr="0034027F">
        <w:trPr>
          <w:cnfStyle w:val="100000000000" w:firstRow="1" w:lastRow="0" w:firstColumn="0" w:lastColumn="0" w:oddVBand="0" w:evenVBand="0" w:oddHBand="0" w:evenHBand="0" w:firstRowFirstColumn="0" w:firstRowLastColumn="0" w:lastRowFirstColumn="0" w:lastRowLastColumn="0"/>
          <w:tblHeader/>
        </w:trPr>
        <w:tc>
          <w:tcPr>
            <w:tcW w:w="2547" w:type="dxa"/>
          </w:tcPr>
          <w:p w14:paraId="0E119D8F" w14:textId="77777777" w:rsidR="007347A7" w:rsidRPr="00DA1FF3" w:rsidRDefault="007347A7" w:rsidP="0034027F">
            <w:pPr>
              <w:pStyle w:val="Tableheadingblack"/>
            </w:pPr>
            <w:r w:rsidRPr="00DA1FF3">
              <w:t>Type of bias</w:t>
            </w:r>
          </w:p>
        </w:tc>
        <w:tc>
          <w:tcPr>
            <w:tcW w:w="6469" w:type="dxa"/>
          </w:tcPr>
          <w:p w14:paraId="54D63690" w14:textId="77777777" w:rsidR="007347A7" w:rsidRPr="00DA1FF3" w:rsidRDefault="007347A7" w:rsidP="0034027F">
            <w:pPr>
              <w:pStyle w:val="Tableheadingblack"/>
            </w:pPr>
            <w:r w:rsidRPr="00DA1FF3">
              <w:t>How bias was addressed or assessed</w:t>
            </w:r>
          </w:p>
        </w:tc>
      </w:tr>
      <w:tr w:rsidR="00242B91" w:rsidRPr="00DA1FF3" w14:paraId="40FB35DC" w14:textId="77777777" w:rsidTr="0034027F">
        <w:tc>
          <w:tcPr>
            <w:tcW w:w="2547" w:type="dxa"/>
          </w:tcPr>
          <w:p w14:paraId="203057BF" w14:textId="1EBAF4D0" w:rsidR="00242B91" w:rsidRPr="00DA1FF3" w:rsidRDefault="00242B91" w:rsidP="00242B91">
            <w:pPr>
              <w:pStyle w:val="Tabletext"/>
            </w:pPr>
            <w:r w:rsidRPr="00DA1FF3">
              <w:t>Selection bias at study entry</w:t>
            </w:r>
          </w:p>
        </w:tc>
        <w:tc>
          <w:tcPr>
            <w:tcW w:w="6469" w:type="dxa"/>
          </w:tcPr>
          <w:p w14:paraId="02959ED6" w14:textId="0A850663" w:rsidR="00242B91" w:rsidRPr="00DA1FF3" w:rsidRDefault="00242B91" w:rsidP="00242B91">
            <w:pPr>
              <w:pStyle w:val="Tabletext"/>
              <w:rPr>
                <w:color w:val="004650"/>
              </w:rPr>
            </w:pPr>
            <w:r w:rsidRPr="00DA1FF3">
              <w:rPr>
                <w:color w:val="004650"/>
              </w:rPr>
              <w:t xml:space="preserve">Selection bias at study entry can arise for several reasons including selection of patients based on eligibility criteria related to the exposure and outcome, or from deviations between time zero, the date the patient meets eligibility criteria, and the date treatment is assigned. Common types of time-related bias are prevalent-user bias, lead time bias, immortal time bias and depletion of </w:t>
            </w:r>
            <w:proofErr w:type="spellStart"/>
            <w:r w:rsidRPr="00DA1FF3">
              <w:rPr>
                <w:color w:val="004650"/>
              </w:rPr>
              <w:t>susceptibles</w:t>
            </w:r>
            <w:proofErr w:type="spellEnd"/>
            <w:r w:rsidRPr="00DA1FF3">
              <w:rPr>
                <w:color w:val="004650"/>
              </w:rPr>
              <w:t>. Discuss the potential for selection bias at study entry and how this was addressed or investigated</w:t>
            </w:r>
            <w:r w:rsidRPr="00DA1FF3">
              <w:t xml:space="preserve"> </w:t>
            </w:r>
            <w:r w:rsidRPr="00DA1FF3">
              <w:rPr>
                <w:color w:val="004650"/>
              </w:rPr>
              <w:t xml:space="preserve">through study design, statistical </w:t>
            </w:r>
            <w:proofErr w:type="gramStart"/>
            <w:r w:rsidRPr="00DA1FF3">
              <w:rPr>
                <w:color w:val="004650"/>
              </w:rPr>
              <w:t>analysis</w:t>
            </w:r>
            <w:proofErr w:type="gramEnd"/>
            <w:r w:rsidRPr="00DA1FF3">
              <w:rPr>
                <w:color w:val="004650"/>
              </w:rPr>
              <w:t xml:space="preserve"> or sensitivity analysis. </w:t>
            </w:r>
          </w:p>
        </w:tc>
      </w:tr>
      <w:tr w:rsidR="00242B91" w:rsidRPr="00DA1FF3" w14:paraId="0ECFE484" w14:textId="77777777" w:rsidTr="0034027F">
        <w:tc>
          <w:tcPr>
            <w:tcW w:w="2547" w:type="dxa"/>
          </w:tcPr>
          <w:p w14:paraId="3A6B48F2" w14:textId="1D77999C" w:rsidR="00242B91" w:rsidRPr="00DA1FF3" w:rsidRDefault="00242B91" w:rsidP="00242B91">
            <w:pPr>
              <w:pStyle w:val="Tabletext"/>
            </w:pPr>
            <w:r w:rsidRPr="00DA1FF3">
              <w:t xml:space="preserve">Selection bias at study exit </w:t>
            </w:r>
          </w:p>
        </w:tc>
        <w:tc>
          <w:tcPr>
            <w:tcW w:w="6469" w:type="dxa"/>
          </w:tcPr>
          <w:p w14:paraId="40DA392A" w14:textId="3A8F011B" w:rsidR="00242B91" w:rsidRPr="00DA1FF3" w:rsidRDefault="00242B91" w:rsidP="00242B91">
            <w:pPr>
              <w:pStyle w:val="Tabletext"/>
              <w:rPr>
                <w:color w:val="004650"/>
              </w:rPr>
            </w:pPr>
            <w:r w:rsidRPr="00DA1FF3">
              <w:rPr>
                <w:color w:val="004650"/>
              </w:rPr>
              <w:t xml:space="preserve">A common cause of selection bias </w:t>
            </w:r>
            <w:r w:rsidR="00CF10E3">
              <w:rPr>
                <w:color w:val="004650"/>
              </w:rPr>
              <w:t>because of</w:t>
            </w:r>
            <w:r w:rsidRPr="00DA1FF3">
              <w:rPr>
                <w:color w:val="004650"/>
              </w:rPr>
              <w:t xml:space="preserve"> how individuals exit a study is informative censoring</w:t>
            </w:r>
            <w:r w:rsidR="00923BAC">
              <w:rPr>
                <w:color w:val="004650"/>
              </w:rPr>
              <w:t>. T</w:t>
            </w:r>
            <w:r w:rsidRPr="00DA1FF3">
              <w:rPr>
                <w:color w:val="004650"/>
              </w:rPr>
              <w:t xml:space="preserve">his may </w:t>
            </w:r>
            <w:r w:rsidR="00C838C2">
              <w:rPr>
                <w:color w:val="004650"/>
              </w:rPr>
              <w:t>be because of</w:t>
            </w:r>
            <w:r w:rsidRPr="00DA1FF3">
              <w:rPr>
                <w:color w:val="004650"/>
              </w:rPr>
              <w:t xml:space="preserve"> loss</w:t>
            </w:r>
            <w:r w:rsidR="00C838C2">
              <w:rPr>
                <w:color w:val="004650"/>
              </w:rPr>
              <w:t xml:space="preserve"> </w:t>
            </w:r>
            <w:r w:rsidRPr="00DA1FF3">
              <w:rPr>
                <w:color w:val="004650"/>
              </w:rPr>
              <w:t>to</w:t>
            </w:r>
            <w:r w:rsidR="00C838C2">
              <w:rPr>
                <w:color w:val="004650"/>
              </w:rPr>
              <w:t xml:space="preserve"> </w:t>
            </w:r>
            <w:r w:rsidRPr="00DA1FF3">
              <w:rPr>
                <w:color w:val="004650"/>
              </w:rPr>
              <w:t>follow</w:t>
            </w:r>
            <w:r w:rsidR="00C838C2">
              <w:rPr>
                <w:color w:val="004650"/>
              </w:rPr>
              <w:t xml:space="preserve"> </w:t>
            </w:r>
            <w:r w:rsidRPr="00DA1FF3">
              <w:rPr>
                <w:color w:val="004650"/>
              </w:rPr>
              <w:t xml:space="preserve">up or the occurrence of censoring events. Discuss the possibility of informative censoring and how this was addressed in the analysis. </w:t>
            </w:r>
          </w:p>
        </w:tc>
      </w:tr>
      <w:tr w:rsidR="007347A7" w:rsidRPr="00DA1FF3" w14:paraId="6A6EA0A2" w14:textId="77777777" w:rsidTr="0034027F">
        <w:tc>
          <w:tcPr>
            <w:tcW w:w="2547" w:type="dxa"/>
          </w:tcPr>
          <w:p w14:paraId="004E02A8" w14:textId="4B390B4A" w:rsidR="007347A7" w:rsidRPr="00DA1FF3" w:rsidRDefault="00184C3B" w:rsidP="0034027F">
            <w:pPr>
              <w:pStyle w:val="Tabletext"/>
            </w:pPr>
            <w:r>
              <w:t>A</w:t>
            </w:r>
            <w:r w:rsidRPr="00DA1FF3">
              <w:t>ddress</w:t>
            </w:r>
            <w:r>
              <w:t>ing</w:t>
            </w:r>
            <w:r w:rsidRPr="00DA1FF3">
              <w:t xml:space="preserve"> </w:t>
            </w:r>
            <w:r w:rsidR="007347A7" w:rsidRPr="00DA1FF3">
              <w:t>confounding</w:t>
            </w:r>
          </w:p>
        </w:tc>
        <w:tc>
          <w:tcPr>
            <w:tcW w:w="6469" w:type="dxa"/>
          </w:tcPr>
          <w:p w14:paraId="4BC8A752" w14:textId="78B42D9B" w:rsidR="007347A7" w:rsidRPr="00DA1FF3" w:rsidRDefault="007347A7" w:rsidP="0034027F">
            <w:pPr>
              <w:pStyle w:val="Tabletext"/>
            </w:pPr>
            <w:r w:rsidRPr="00DA1FF3">
              <w:rPr>
                <w:color w:val="004650"/>
              </w:rPr>
              <w:t>Describe the risk of confounding from unmeasured (or unknown) confounders, poorly measured confounders, or time-varying confounding. This should be informed by a systematic identification of potential confounders, clear causal assumptions including the possibility of time-varying confounding, and differences in baseline characteristics between comparison groups.</w:t>
            </w:r>
            <w:r w:rsidRPr="00DA1FF3">
              <w:br/>
            </w:r>
            <w:r w:rsidR="00923BAC">
              <w:rPr>
                <w:color w:val="004650"/>
              </w:rPr>
              <w:t>S</w:t>
            </w:r>
            <w:r w:rsidRPr="00DA1FF3">
              <w:rPr>
                <w:color w:val="004650"/>
              </w:rPr>
              <w:t xml:space="preserve">how how you dealt with any identified risk of confounding through study design (such as selection of a suitable active comparator) and analysis (using an appropriate statistical model, accounting for time-varying confounding). </w:t>
            </w:r>
            <w:r w:rsidR="00D16BE1">
              <w:rPr>
                <w:color w:val="004650"/>
              </w:rPr>
              <w:t>If</w:t>
            </w:r>
            <w:r w:rsidR="00D16BE1" w:rsidRPr="00DA1FF3">
              <w:rPr>
                <w:color w:val="004650"/>
              </w:rPr>
              <w:t xml:space="preserve"> </w:t>
            </w:r>
            <w:r w:rsidRPr="00DA1FF3">
              <w:rPr>
                <w:color w:val="004650"/>
              </w:rPr>
              <w:t>possible, provide empirical data on the balance of baseline characteristics after adjustment.</w:t>
            </w:r>
          </w:p>
          <w:p w14:paraId="63D2DB06" w14:textId="77777777" w:rsidR="00184C3B" w:rsidRDefault="00D16BE1" w:rsidP="0034027F">
            <w:pPr>
              <w:pStyle w:val="Tabletext"/>
              <w:rPr>
                <w:color w:val="004650"/>
              </w:rPr>
            </w:pPr>
            <w:r>
              <w:rPr>
                <w:color w:val="004650"/>
              </w:rPr>
              <w:t>If</w:t>
            </w:r>
            <w:r w:rsidRPr="00DA1FF3">
              <w:rPr>
                <w:color w:val="004650"/>
              </w:rPr>
              <w:t xml:space="preserve"> </w:t>
            </w:r>
            <w:r w:rsidR="007347A7" w:rsidRPr="00DA1FF3">
              <w:rPr>
                <w:color w:val="004650"/>
              </w:rPr>
              <w:t xml:space="preserve">concerns </w:t>
            </w:r>
            <w:r>
              <w:rPr>
                <w:color w:val="004650"/>
              </w:rPr>
              <w:t xml:space="preserve">remain </w:t>
            </w:r>
            <w:r w:rsidR="007347A7" w:rsidRPr="00DA1FF3">
              <w:rPr>
                <w:color w:val="004650"/>
              </w:rPr>
              <w:t>about residual confounding, show its impact on results has been assessed using sensitivity or bias analysis.</w:t>
            </w:r>
          </w:p>
          <w:p w14:paraId="6BC7C8C8" w14:textId="4C46E0F8" w:rsidR="001753C9" w:rsidRPr="00DA1FF3" w:rsidRDefault="001753C9" w:rsidP="0034027F">
            <w:pPr>
              <w:pStyle w:val="Tabletext"/>
              <w:rPr>
                <w:color w:val="004650"/>
              </w:rPr>
            </w:pPr>
            <w:r>
              <w:rPr>
                <w:color w:val="004650" w:themeColor="text2"/>
              </w:rPr>
              <w:t xml:space="preserve">Confirm </w:t>
            </w:r>
            <w:r w:rsidRPr="00DA1FF3">
              <w:rPr>
                <w:color w:val="004650" w:themeColor="text2"/>
              </w:rPr>
              <w:t xml:space="preserve">that no covariates were inappropriately adjusted to induce bias. For </w:t>
            </w:r>
            <w:r>
              <w:rPr>
                <w:color w:val="004650" w:themeColor="text2"/>
              </w:rPr>
              <w:t>example</w:t>
            </w:r>
            <w:r w:rsidRPr="00DA1FF3">
              <w:rPr>
                <w:color w:val="004650" w:themeColor="text2"/>
              </w:rPr>
              <w:t>, show that no covariates on the causal pathway between interventions and outcomes were adjusted for (overadjustment). This may result from the use of covariates measured after the index date. Avoid adjustment for colliders or instruments. This can be informed by causal diagrams.</w:t>
            </w:r>
          </w:p>
        </w:tc>
      </w:tr>
      <w:tr w:rsidR="007347A7" w:rsidRPr="00DA1FF3" w14:paraId="01783CD6" w14:textId="77777777" w:rsidTr="0034027F">
        <w:tc>
          <w:tcPr>
            <w:tcW w:w="2547" w:type="dxa"/>
          </w:tcPr>
          <w:p w14:paraId="1CFBA034" w14:textId="77777777" w:rsidR="007347A7" w:rsidRPr="00DA1FF3" w:rsidRDefault="007347A7" w:rsidP="0034027F">
            <w:pPr>
              <w:pStyle w:val="Tabletext"/>
            </w:pPr>
            <w:r w:rsidRPr="00DA1FF3">
              <w:t>Detection bias</w:t>
            </w:r>
          </w:p>
        </w:tc>
        <w:tc>
          <w:tcPr>
            <w:tcW w:w="6469" w:type="dxa"/>
          </w:tcPr>
          <w:p w14:paraId="7C3DA7F4" w14:textId="112E85F2" w:rsidR="007347A7" w:rsidRPr="00DA1FF3" w:rsidRDefault="007347A7" w:rsidP="0034027F">
            <w:pPr>
              <w:pStyle w:val="Tabletext"/>
            </w:pPr>
            <w:r w:rsidRPr="00DA1FF3">
              <w:rPr>
                <w:color w:val="004650" w:themeColor="text2"/>
              </w:rPr>
              <w:t xml:space="preserve">Describe the potential for detection bias resulting from differences in healthcare practices across comparison groups (for </w:t>
            </w:r>
            <w:r w:rsidR="00923BAC">
              <w:rPr>
                <w:color w:val="004650" w:themeColor="text2"/>
              </w:rPr>
              <w:t>example</w:t>
            </w:r>
            <w:r w:rsidRPr="00DA1FF3">
              <w:rPr>
                <w:color w:val="004650" w:themeColor="text2"/>
              </w:rPr>
              <w:t xml:space="preserve">, </w:t>
            </w:r>
            <w:r w:rsidR="00CF10E3">
              <w:rPr>
                <w:color w:val="004650" w:themeColor="text2"/>
              </w:rPr>
              <w:t>because of</w:t>
            </w:r>
            <w:r w:rsidRPr="00DA1FF3">
              <w:rPr>
                <w:color w:val="004650" w:themeColor="text2"/>
              </w:rPr>
              <w:t xml:space="preserve"> differential frequency or intensity of follow</w:t>
            </w:r>
            <w:r w:rsidR="00C838C2">
              <w:rPr>
                <w:color w:val="004650" w:themeColor="text2"/>
              </w:rPr>
              <w:t xml:space="preserve"> </w:t>
            </w:r>
            <w:r w:rsidRPr="00DA1FF3">
              <w:rPr>
                <w:color w:val="004650" w:themeColor="text2"/>
              </w:rPr>
              <w:t xml:space="preserve">up, </w:t>
            </w:r>
            <w:r w:rsidR="00923BAC">
              <w:rPr>
                <w:color w:val="004650" w:themeColor="text2"/>
              </w:rPr>
              <w:t xml:space="preserve">or </w:t>
            </w:r>
            <w:r w:rsidRPr="00DA1FF3">
              <w:rPr>
                <w:color w:val="004650" w:themeColor="text2"/>
              </w:rPr>
              <w:t>different tests) or length of follow</w:t>
            </w:r>
            <w:r w:rsidR="00C838C2">
              <w:rPr>
                <w:color w:val="004650" w:themeColor="text2"/>
              </w:rPr>
              <w:t xml:space="preserve"> </w:t>
            </w:r>
            <w:r w:rsidRPr="00DA1FF3">
              <w:rPr>
                <w:color w:val="004650" w:themeColor="text2"/>
              </w:rPr>
              <w:t>up.</w:t>
            </w:r>
            <w:r w:rsidRPr="00DA1FF3">
              <w:t xml:space="preserve"> </w:t>
            </w:r>
          </w:p>
          <w:p w14:paraId="64613D44" w14:textId="764005E1" w:rsidR="007347A7" w:rsidRPr="00DA1FF3" w:rsidRDefault="007347A7" w:rsidP="0034027F">
            <w:pPr>
              <w:pStyle w:val="Tabletext"/>
              <w:rPr>
                <w:color w:val="004650" w:themeColor="text2"/>
              </w:rPr>
            </w:pPr>
            <w:r w:rsidRPr="00DA1FF3">
              <w:rPr>
                <w:color w:val="004650" w:themeColor="text2"/>
              </w:rPr>
              <w:lastRenderedPageBreak/>
              <w:t>Describe how these have been dealt with through study design (for example, use of comparator with similar follow</w:t>
            </w:r>
            <w:r w:rsidR="00C838C2">
              <w:rPr>
                <w:color w:val="004650" w:themeColor="text2"/>
              </w:rPr>
              <w:t xml:space="preserve"> </w:t>
            </w:r>
            <w:r w:rsidRPr="00DA1FF3">
              <w:rPr>
                <w:color w:val="004650" w:themeColor="text2"/>
              </w:rPr>
              <w:t>up) or analysis (for example, adjustment for healthcare use before index date).</w:t>
            </w:r>
          </w:p>
        </w:tc>
      </w:tr>
      <w:tr w:rsidR="007347A7" w:rsidRPr="00DA1FF3" w14:paraId="26B92DE4" w14:textId="77777777" w:rsidTr="0034027F">
        <w:tc>
          <w:tcPr>
            <w:tcW w:w="2547" w:type="dxa"/>
          </w:tcPr>
          <w:p w14:paraId="7CC29D21" w14:textId="77777777" w:rsidR="007347A7" w:rsidRPr="00DA1FF3" w:rsidRDefault="007347A7" w:rsidP="0034027F">
            <w:pPr>
              <w:pStyle w:val="Tabletext"/>
            </w:pPr>
            <w:r w:rsidRPr="00DA1FF3">
              <w:lastRenderedPageBreak/>
              <w:t>Measurement error and misclassification</w:t>
            </w:r>
          </w:p>
        </w:tc>
        <w:tc>
          <w:tcPr>
            <w:tcW w:w="6469" w:type="dxa"/>
          </w:tcPr>
          <w:p w14:paraId="5112EE74" w14:textId="54495357" w:rsidR="007347A7" w:rsidRPr="00DA1FF3" w:rsidRDefault="007347A7" w:rsidP="0034027F">
            <w:pPr>
              <w:pStyle w:val="Tabletext"/>
              <w:rPr>
                <w:color w:val="004650" w:themeColor="text2"/>
              </w:rPr>
            </w:pPr>
            <w:r w:rsidRPr="00DA1FF3">
              <w:rPr>
                <w:color w:val="004650" w:themeColor="text2"/>
              </w:rPr>
              <w:t>Describe the potential for bias from measurement error or misclassification (this should be formed by assessment of data suitability). Consider which variables are inaccurate, whether this is random or systematic, and how it differs across comparison groups.</w:t>
            </w:r>
          </w:p>
          <w:p w14:paraId="5E52BA12" w14:textId="40D55C79" w:rsidR="007347A7" w:rsidRPr="00DA1FF3" w:rsidRDefault="007347A7" w:rsidP="0034027F">
            <w:pPr>
              <w:pStyle w:val="Tabletext"/>
              <w:rPr>
                <w:color w:val="004650" w:themeColor="text2"/>
              </w:rPr>
            </w:pPr>
            <w:r w:rsidRPr="00DA1FF3">
              <w:rPr>
                <w:color w:val="004650" w:themeColor="text2"/>
              </w:rPr>
              <w:t>Show you addressed risks of bias through statistical analysis (for example, by incorporating external data or calibration) or assessed its impact on results using sensitivity or bias analysis.</w:t>
            </w:r>
          </w:p>
        </w:tc>
      </w:tr>
      <w:tr w:rsidR="007347A7" w:rsidRPr="00DA1FF3" w14:paraId="295D4846" w14:textId="77777777" w:rsidTr="0034027F">
        <w:tc>
          <w:tcPr>
            <w:tcW w:w="2547" w:type="dxa"/>
          </w:tcPr>
          <w:p w14:paraId="29224624" w14:textId="77777777" w:rsidR="007347A7" w:rsidRPr="00DA1FF3" w:rsidRDefault="007347A7" w:rsidP="0034027F">
            <w:pPr>
              <w:pStyle w:val="Tabletext"/>
            </w:pPr>
            <w:r w:rsidRPr="00DA1FF3">
              <w:t>Missing data</w:t>
            </w:r>
          </w:p>
        </w:tc>
        <w:tc>
          <w:tcPr>
            <w:tcW w:w="6469" w:type="dxa"/>
          </w:tcPr>
          <w:p w14:paraId="22E9A367" w14:textId="0935BBE6" w:rsidR="007347A7" w:rsidRPr="00DA1FF3" w:rsidRDefault="007347A7" w:rsidP="0034027F">
            <w:pPr>
              <w:pStyle w:val="Tabletext"/>
              <w:rPr>
                <w:color w:val="004650" w:themeColor="text2"/>
              </w:rPr>
            </w:pPr>
            <w:r w:rsidRPr="00DA1FF3">
              <w:rPr>
                <w:color w:val="004650" w:themeColor="text2"/>
              </w:rPr>
              <w:t>Describe the potential for bias from missing data (this should be formed by assessment of data suitability). Consider which variables have missing data, whether this is random or systematic, and how it differs across comparison groups.</w:t>
            </w:r>
          </w:p>
          <w:p w14:paraId="782E7577" w14:textId="1C0F1217" w:rsidR="007347A7" w:rsidRPr="00DA1FF3" w:rsidRDefault="007347A7" w:rsidP="0034027F">
            <w:pPr>
              <w:pStyle w:val="Tabletext"/>
            </w:pPr>
            <w:r w:rsidRPr="00DA1FF3">
              <w:rPr>
                <w:color w:val="004650" w:themeColor="text2"/>
              </w:rPr>
              <w:t xml:space="preserve">Show how you have addressed risks of bias using statistical methods (such as multiple imputation) and demonstrating their validity. </w:t>
            </w:r>
            <w:r w:rsidR="00D16BE1">
              <w:rPr>
                <w:color w:val="004650" w:themeColor="text2"/>
              </w:rPr>
              <w:t>If</w:t>
            </w:r>
            <w:r w:rsidR="00D16BE1" w:rsidRPr="00DA1FF3">
              <w:rPr>
                <w:color w:val="004650" w:themeColor="text2"/>
              </w:rPr>
              <w:t xml:space="preserve"> </w:t>
            </w:r>
            <w:r w:rsidRPr="00DA1FF3">
              <w:rPr>
                <w:color w:val="004650" w:themeColor="text2"/>
              </w:rPr>
              <w:t xml:space="preserve">missingness may not be explainable by observed variables or has unknown mechanisms, sensitivity or bias analysis can be used to explore the impact of different missing </w:t>
            </w:r>
            <w:r w:rsidR="00D16BE1">
              <w:rPr>
                <w:color w:val="004650" w:themeColor="text2"/>
              </w:rPr>
              <w:t>‘</w:t>
            </w:r>
            <w:r w:rsidRPr="00DA1FF3">
              <w:rPr>
                <w:color w:val="004650" w:themeColor="text2"/>
              </w:rPr>
              <w:t>not at random</w:t>
            </w:r>
            <w:r w:rsidR="00D16BE1">
              <w:rPr>
                <w:color w:val="004650" w:themeColor="text2"/>
              </w:rPr>
              <w:t>’</w:t>
            </w:r>
            <w:r w:rsidRPr="00DA1FF3">
              <w:rPr>
                <w:color w:val="004650" w:themeColor="text2"/>
              </w:rPr>
              <w:t xml:space="preserve"> assumptions. </w:t>
            </w:r>
          </w:p>
        </w:tc>
      </w:tr>
      <w:tr w:rsidR="007347A7" w:rsidRPr="00DA1FF3" w14:paraId="0F323BE1" w14:textId="77777777" w:rsidTr="0034027F">
        <w:tc>
          <w:tcPr>
            <w:tcW w:w="2547" w:type="dxa"/>
          </w:tcPr>
          <w:p w14:paraId="028DE7CE" w14:textId="77777777" w:rsidR="007347A7" w:rsidRPr="00DA1FF3" w:rsidRDefault="007347A7" w:rsidP="0034027F">
            <w:pPr>
              <w:pStyle w:val="Tabletext"/>
            </w:pPr>
            <w:r w:rsidRPr="00DA1FF3">
              <w:t>Reverse causation</w:t>
            </w:r>
          </w:p>
        </w:tc>
        <w:tc>
          <w:tcPr>
            <w:tcW w:w="6469" w:type="dxa"/>
          </w:tcPr>
          <w:p w14:paraId="19027AEB" w14:textId="66FF7482" w:rsidR="007347A7" w:rsidRPr="00DA1FF3" w:rsidRDefault="007347A7" w:rsidP="007347A7">
            <w:pPr>
              <w:pStyle w:val="Tabletext"/>
              <w:keepNext/>
              <w:rPr>
                <w:color w:val="004650" w:themeColor="text2"/>
              </w:rPr>
            </w:pPr>
            <w:r w:rsidRPr="00DA1FF3">
              <w:rPr>
                <w:color w:val="004650" w:themeColor="text2"/>
              </w:rPr>
              <w:t>Describe the risk of reverse causation between the intervention and the outcome arising from causal relationships between variables, time lag between recording of data on interventions and outcomes, or care pathways.</w:t>
            </w:r>
            <w:r w:rsidRPr="00DA1FF3">
              <w:rPr>
                <w:color w:val="004650" w:themeColor="text2"/>
              </w:rPr>
              <w:br/>
              <w:t>Describe how risk of reverse causation was addressed through study design (for example, induction periods</w:t>
            </w:r>
            <w:r w:rsidR="00923BAC">
              <w:rPr>
                <w:color w:val="004650" w:themeColor="text2"/>
              </w:rPr>
              <w:t xml:space="preserve"> or</w:t>
            </w:r>
            <w:r w:rsidRPr="00DA1FF3">
              <w:rPr>
                <w:color w:val="004650" w:themeColor="text2"/>
              </w:rPr>
              <w:t xml:space="preserve"> longitudinal follow</w:t>
            </w:r>
            <w:r w:rsidR="00C838C2">
              <w:rPr>
                <w:color w:val="004650" w:themeColor="text2"/>
              </w:rPr>
              <w:t xml:space="preserve"> </w:t>
            </w:r>
            <w:r w:rsidRPr="00DA1FF3">
              <w:rPr>
                <w:color w:val="004650" w:themeColor="text2"/>
              </w:rPr>
              <w:t xml:space="preserve">up), analysis (for example, instrumental variables), or assessed through sensitivity analysis. </w:t>
            </w:r>
          </w:p>
        </w:tc>
      </w:tr>
    </w:tbl>
    <w:p w14:paraId="5EB0FB7A" w14:textId="5D674FE8" w:rsidR="00C06AE8" w:rsidRPr="00DA1FF3" w:rsidRDefault="00C06AE8" w:rsidP="007347A7"/>
    <w:p w14:paraId="6E43613F" w14:textId="77777777" w:rsidR="00C06AE8" w:rsidRDefault="00C06AE8" w:rsidP="007347A7">
      <w:pPr>
        <w:pStyle w:val="Heading1"/>
      </w:pPr>
    </w:p>
    <w:p w14:paraId="1B6F71E4" w14:textId="769B8472" w:rsidR="002538AB" w:rsidRDefault="002538AB" w:rsidP="002538AB">
      <w:r>
        <w:br w:type="page"/>
      </w:r>
    </w:p>
    <w:p w14:paraId="5FBA74C0" w14:textId="77777777" w:rsidR="002538AB" w:rsidRDefault="002538AB" w:rsidP="002538AB">
      <w:pPr>
        <w:pStyle w:val="Heading2"/>
      </w:pPr>
      <w:r>
        <w:lastRenderedPageBreak/>
        <w:t>Methods reporting – case study 1</w:t>
      </w:r>
    </w:p>
    <w:p w14:paraId="3B0A5766" w14:textId="1B91EA0D" w:rsidR="002538AB" w:rsidRPr="00DA1FF3" w:rsidRDefault="002538AB" w:rsidP="002538AB">
      <w:r w:rsidRPr="00DA1FF3">
        <w:t>Please note that the reporting for this case study is based on publicly available information in</w:t>
      </w:r>
      <w:r>
        <w:t xml:space="preserve"> </w:t>
      </w:r>
      <w:hyperlink r:id="rId27" w:history="1">
        <w:r w:rsidRPr="00A25FF6">
          <w:rPr>
            <w:rStyle w:val="Hyperlink"/>
          </w:rPr>
          <w:t>Fu et al. 2021</w:t>
        </w:r>
      </w:hyperlink>
      <w:r w:rsidRPr="00DA1FF3">
        <w:t xml:space="preserve">. </w:t>
      </w:r>
    </w:p>
    <w:p w14:paraId="7B0151C0" w14:textId="4E1F765A" w:rsidR="002538AB" w:rsidRPr="00B24DB3" w:rsidRDefault="002538AB" w:rsidP="002538AB">
      <w:r>
        <w:t xml:space="preserve">The study assesses the impact of initiating dialysis at different estimated glomerular filtration rates (eGFR) on cardiovascular events and survival in people with advanced chronic kidney disease. The study used data from the Swedish Renal Registry. </w:t>
      </w:r>
    </w:p>
    <w:p w14:paraId="2B50D581" w14:textId="77777777" w:rsidR="002538AB" w:rsidRDefault="002538AB" w:rsidP="002538AB">
      <w:pPr>
        <w:pStyle w:val="Caption"/>
      </w:pPr>
      <w:r>
        <w:t xml:space="preserve">Example of completed methods reporting tool based on </w:t>
      </w:r>
      <w:hyperlink r:id="rId28" w:history="1">
        <w:r w:rsidRPr="00A25FF6">
          <w:rPr>
            <w:rStyle w:val="Hyperlink"/>
          </w:rPr>
          <w:t>Fu et al. 2021</w:t>
        </w:r>
      </w:hyperlink>
      <w:r>
        <w:t>.</w:t>
      </w:r>
    </w:p>
    <w:tbl>
      <w:tblPr>
        <w:tblStyle w:val="Surveillancetable"/>
        <w:tblW w:w="0" w:type="auto"/>
        <w:tblLook w:val="04A0" w:firstRow="1" w:lastRow="0" w:firstColumn="1" w:lastColumn="0" w:noHBand="0" w:noVBand="1"/>
      </w:tblPr>
      <w:tblGrid>
        <w:gridCol w:w="2547"/>
        <w:gridCol w:w="6469"/>
      </w:tblGrid>
      <w:tr w:rsidR="007F0F74" w:rsidRPr="00DA1FF3" w14:paraId="2E6BA542" w14:textId="77777777" w:rsidTr="00BC6473">
        <w:trPr>
          <w:cnfStyle w:val="100000000000" w:firstRow="1" w:lastRow="0" w:firstColumn="0" w:lastColumn="0" w:oddVBand="0" w:evenVBand="0" w:oddHBand="0" w:evenHBand="0" w:firstRowFirstColumn="0" w:firstRowLastColumn="0" w:lastRowFirstColumn="0" w:lastRowLastColumn="0"/>
          <w:tblHeader/>
        </w:trPr>
        <w:tc>
          <w:tcPr>
            <w:tcW w:w="2547" w:type="dxa"/>
          </w:tcPr>
          <w:p w14:paraId="699200FC" w14:textId="77777777" w:rsidR="007F0F74" w:rsidRPr="00DA1FF3" w:rsidRDefault="007F0F74" w:rsidP="00BC6473">
            <w:pPr>
              <w:pStyle w:val="Tableheadingblack"/>
            </w:pPr>
            <w:r w:rsidRPr="00DA1FF3">
              <w:t>Type of bias</w:t>
            </w:r>
          </w:p>
        </w:tc>
        <w:tc>
          <w:tcPr>
            <w:tcW w:w="6469" w:type="dxa"/>
          </w:tcPr>
          <w:p w14:paraId="213CA3FB" w14:textId="77777777" w:rsidR="007F0F74" w:rsidRPr="00DA1FF3" w:rsidRDefault="007F0F74" w:rsidP="00BC6473">
            <w:pPr>
              <w:pStyle w:val="Tableheadingblack"/>
            </w:pPr>
            <w:r w:rsidRPr="00DA1FF3">
              <w:t>How bias was addressed or assessed</w:t>
            </w:r>
          </w:p>
        </w:tc>
      </w:tr>
      <w:tr w:rsidR="007F0F74" w:rsidRPr="00DA1FF3" w14:paraId="257F5D6D" w14:textId="77777777" w:rsidTr="00BC6473">
        <w:tc>
          <w:tcPr>
            <w:tcW w:w="2547" w:type="dxa"/>
          </w:tcPr>
          <w:p w14:paraId="72AF9CFB" w14:textId="77777777" w:rsidR="007F0F74" w:rsidRPr="00DA1FF3" w:rsidRDefault="007F0F74" w:rsidP="00BC6473">
            <w:pPr>
              <w:pStyle w:val="Tabletext"/>
            </w:pPr>
            <w:r w:rsidRPr="00DA1FF3">
              <w:t>Selection bias at study entry</w:t>
            </w:r>
          </w:p>
        </w:tc>
        <w:tc>
          <w:tcPr>
            <w:tcW w:w="6469" w:type="dxa"/>
          </w:tcPr>
          <w:p w14:paraId="56263860" w14:textId="77777777" w:rsidR="007F0F74" w:rsidRPr="007F0F74" w:rsidRDefault="007F0F74" w:rsidP="007F0F74">
            <w:pPr>
              <w:pStyle w:val="Tabletext"/>
            </w:pPr>
            <w:r w:rsidRPr="007F0F74">
              <w:t>Previous observational studies of the effects of the timing of dialysis initiation are at high risk of lead time and immortal time bias resulting from non-alignment of the time at which eligibility criteria were met, treatment assignment, and start of follow-up. The study emulated a target trial informed by the IDEAL trial. To avoid issues with misspecification of time zero, the study used the cloning, censoring, and weighting method. Patients are cloned and assigned to each treatment according to eGFR (one of 15 treatment strategies in the base case) and are censored once they deviated from a given treatment strategy. The approach was validated by replicating results from the IDEAL trial over the range of EGR values seen in the trial.</w:t>
            </w:r>
          </w:p>
          <w:p w14:paraId="134DA9FF" w14:textId="77777777" w:rsidR="007F0F74" w:rsidRPr="007F0F74" w:rsidRDefault="007F0F74" w:rsidP="007F0F74">
            <w:pPr>
              <w:pStyle w:val="Tabletext"/>
            </w:pPr>
            <w:r w:rsidRPr="007F0F74">
              <w:t>Selection bias due to the choice of population was not an issue in this population-based study.</w:t>
            </w:r>
          </w:p>
        </w:tc>
      </w:tr>
      <w:tr w:rsidR="007F0F74" w:rsidRPr="00DA1FF3" w14:paraId="12393FDB" w14:textId="77777777" w:rsidTr="00BC6473">
        <w:tc>
          <w:tcPr>
            <w:tcW w:w="2547" w:type="dxa"/>
          </w:tcPr>
          <w:p w14:paraId="222FE482" w14:textId="77777777" w:rsidR="007F0F74" w:rsidRPr="00DA1FF3" w:rsidRDefault="007F0F74" w:rsidP="00BC6473">
            <w:pPr>
              <w:pStyle w:val="Tabletext"/>
            </w:pPr>
            <w:r w:rsidRPr="00DA1FF3">
              <w:t xml:space="preserve">Selection bias at study exit </w:t>
            </w:r>
          </w:p>
        </w:tc>
        <w:tc>
          <w:tcPr>
            <w:tcW w:w="6469" w:type="dxa"/>
          </w:tcPr>
          <w:p w14:paraId="225E14C3" w14:textId="77777777" w:rsidR="007F0F74" w:rsidRPr="007F0F74" w:rsidRDefault="007F0F74" w:rsidP="007F0F74">
            <w:pPr>
              <w:pStyle w:val="Tabletext"/>
            </w:pPr>
            <w:r w:rsidRPr="007F0F74">
              <w:t xml:space="preserve">Selection bias can be induced by the censoring when patients stop adhering to the ‘treatment strategy’ if this is related to patient characteristics. Inverse probability of censoring weights </w:t>
            </w:r>
            <w:proofErr w:type="gramStart"/>
            <w:r w:rsidRPr="007F0F74">
              <w:t>were</w:t>
            </w:r>
            <w:proofErr w:type="gramEnd"/>
            <w:r w:rsidRPr="007F0F74">
              <w:t xml:space="preserve"> estimated using baseline and time-varying confounders to address censoring-induced selection bias. </w:t>
            </w:r>
          </w:p>
          <w:p w14:paraId="0E4F45E6" w14:textId="77777777" w:rsidR="007F0F74" w:rsidRPr="007F0F74" w:rsidRDefault="007F0F74" w:rsidP="007F0F74">
            <w:pPr>
              <w:pStyle w:val="Tabletext"/>
            </w:pPr>
            <w:r w:rsidRPr="007F0F74">
              <w:t>Loss to follow-up is very low.</w:t>
            </w:r>
          </w:p>
        </w:tc>
      </w:tr>
      <w:tr w:rsidR="007F0F74" w:rsidRPr="00DA1FF3" w14:paraId="09806CA6" w14:textId="77777777" w:rsidTr="00BC6473">
        <w:tc>
          <w:tcPr>
            <w:tcW w:w="2547" w:type="dxa"/>
          </w:tcPr>
          <w:p w14:paraId="395369FC" w14:textId="77777777" w:rsidR="007F0F74" w:rsidRPr="00DA1FF3" w:rsidRDefault="007F0F74" w:rsidP="00BC6473">
            <w:pPr>
              <w:pStyle w:val="Tabletext"/>
            </w:pPr>
            <w:r>
              <w:t>A</w:t>
            </w:r>
            <w:r w:rsidRPr="00DA1FF3">
              <w:t>ddress</w:t>
            </w:r>
            <w:r>
              <w:t>ing</w:t>
            </w:r>
            <w:r w:rsidRPr="00DA1FF3">
              <w:t xml:space="preserve"> confounding</w:t>
            </w:r>
          </w:p>
        </w:tc>
        <w:tc>
          <w:tcPr>
            <w:tcW w:w="6469" w:type="dxa"/>
          </w:tcPr>
          <w:p w14:paraId="5015AF94" w14:textId="77777777" w:rsidR="007F0F74" w:rsidRPr="007F0F74" w:rsidRDefault="007F0F74" w:rsidP="007F0F74">
            <w:pPr>
              <w:pStyle w:val="Tabletext"/>
            </w:pPr>
            <w:r w:rsidRPr="007F0F74">
              <w:t xml:space="preserve">The outcome model adjusted for baseline measurements including demographics, laboratory measurements, prior </w:t>
            </w:r>
            <w:proofErr w:type="gramStart"/>
            <w:r w:rsidRPr="007F0F74">
              <w:t>treatment</w:t>
            </w:r>
            <w:proofErr w:type="gramEnd"/>
            <w:r w:rsidRPr="007F0F74">
              <w:t xml:space="preserve"> and hospitalisations. Time-varying confounders were adjusted for in censoring weights including current and previous measurements of eGFR. </w:t>
            </w:r>
          </w:p>
          <w:p w14:paraId="6AFDA218" w14:textId="77777777" w:rsidR="007F0F74" w:rsidRPr="007F0F74" w:rsidRDefault="007F0F74" w:rsidP="007F0F74">
            <w:pPr>
              <w:pStyle w:val="Tabletext"/>
            </w:pPr>
            <w:r w:rsidRPr="007F0F74">
              <w:t>Data was not available on other potentially important confounders including muscle mass stores, uraemic symptoms, volume status, quality of life, or physical activity, and data was only available for subset of the cohort on urine albumin-creatinine ratio and plasma potassium. To assess the possibility of residual confounding, the study did the following sensitivity analyses:</w:t>
            </w:r>
          </w:p>
          <w:p w14:paraId="1F40710D" w14:textId="77777777" w:rsidR="007F0F74" w:rsidRPr="007F0F74" w:rsidRDefault="007F0F74" w:rsidP="007F0F74">
            <w:pPr>
              <w:pStyle w:val="Tabletext"/>
            </w:pPr>
            <w:r w:rsidRPr="007F0F74">
              <w:t>•</w:t>
            </w:r>
            <w:r w:rsidRPr="007F0F74">
              <w:tab/>
              <w:t>adjusted for urine albumin-creatinine ratio and plasma potassium in the subset of patients with measurements and observed no impact on results</w:t>
            </w:r>
          </w:p>
          <w:p w14:paraId="063DBCCB" w14:textId="77777777" w:rsidR="007F0F74" w:rsidRPr="007F0F74" w:rsidRDefault="007F0F74" w:rsidP="007F0F74">
            <w:pPr>
              <w:pStyle w:val="Tabletext"/>
            </w:pPr>
            <w:r w:rsidRPr="007F0F74">
              <w:lastRenderedPageBreak/>
              <w:t>•</w:t>
            </w:r>
            <w:r w:rsidRPr="007F0F74">
              <w:tab/>
              <w:t>replicated the results of the IDEAL trial over the eGFR separation observed in the trial.</w:t>
            </w:r>
          </w:p>
        </w:tc>
      </w:tr>
      <w:tr w:rsidR="007F0F74" w:rsidRPr="00DA1FF3" w14:paraId="2418CF91" w14:textId="77777777" w:rsidTr="00BC6473">
        <w:tc>
          <w:tcPr>
            <w:tcW w:w="2547" w:type="dxa"/>
          </w:tcPr>
          <w:p w14:paraId="1ED4D8ED" w14:textId="77777777" w:rsidR="007F0F74" w:rsidRPr="00DA1FF3" w:rsidRDefault="007F0F74" w:rsidP="00BC6473">
            <w:pPr>
              <w:pStyle w:val="Tabletext"/>
            </w:pPr>
            <w:r w:rsidRPr="00DA1FF3">
              <w:lastRenderedPageBreak/>
              <w:t>Detection bias</w:t>
            </w:r>
          </w:p>
        </w:tc>
        <w:tc>
          <w:tcPr>
            <w:tcW w:w="6469" w:type="dxa"/>
          </w:tcPr>
          <w:p w14:paraId="6692AD8C" w14:textId="77777777" w:rsidR="007F0F74" w:rsidRPr="007F0F74" w:rsidRDefault="007F0F74" w:rsidP="007F0F74">
            <w:pPr>
              <w:pStyle w:val="Tabletext"/>
            </w:pPr>
            <w:r w:rsidRPr="007F0F74">
              <w:t>Outcomes included five-year all-cause mortality and major adverse cardiovascular events (composite of cardiovascular death, non-fatal myocardial infarction, or non-fatal stroke). These are likely to be accurately observed regardless of small differences in level of surveillance, for example, resulting from earlier dialysis treatment.</w:t>
            </w:r>
          </w:p>
        </w:tc>
      </w:tr>
      <w:tr w:rsidR="007F0F74" w:rsidRPr="00DA1FF3" w14:paraId="123965A0" w14:textId="77777777" w:rsidTr="00BC6473">
        <w:tc>
          <w:tcPr>
            <w:tcW w:w="2547" w:type="dxa"/>
          </w:tcPr>
          <w:p w14:paraId="66DFC33E" w14:textId="77777777" w:rsidR="007F0F74" w:rsidRPr="00DA1FF3" w:rsidRDefault="007F0F74" w:rsidP="00BC6473">
            <w:pPr>
              <w:pStyle w:val="Tabletext"/>
            </w:pPr>
            <w:r w:rsidRPr="00DA1FF3">
              <w:t>Measurement error and misclassification</w:t>
            </w:r>
          </w:p>
        </w:tc>
        <w:tc>
          <w:tcPr>
            <w:tcW w:w="6469" w:type="dxa"/>
          </w:tcPr>
          <w:p w14:paraId="31520BFF" w14:textId="77777777" w:rsidR="007F0F74" w:rsidRPr="007F0F74" w:rsidRDefault="007F0F74" w:rsidP="007F0F74">
            <w:pPr>
              <w:pStyle w:val="Tabletext"/>
            </w:pPr>
            <w:r w:rsidRPr="007F0F74">
              <w:t xml:space="preserve">Timeliness and accuracy of variables extracted from the Swedish Renal Registry have previously been demonstrated. </w:t>
            </w:r>
            <w:proofErr w:type="gramStart"/>
            <w:r w:rsidRPr="007F0F74">
              <w:t>In particular, cardiovascular</w:t>
            </w:r>
            <w:proofErr w:type="gramEnd"/>
            <w:r w:rsidRPr="007F0F74">
              <w:t xml:space="preserve"> comorbidities have a very high positive predictive value, generally between 85-95%.</w:t>
            </w:r>
          </w:p>
          <w:p w14:paraId="33A313BF" w14:textId="77777777" w:rsidR="007F0F74" w:rsidRPr="007F0F74" w:rsidRDefault="007F0F74" w:rsidP="007F0F74">
            <w:pPr>
              <w:pStyle w:val="Tabletext"/>
            </w:pPr>
            <w:r w:rsidRPr="007F0F74">
              <w:t>eGFR was calculated with the Chronic Kidney Disease Epidemiology equation from routine plasma creatinine measurements. This has been shown to be accurate to within 30% of measured glomerular filtration rate 85% of the time.</w:t>
            </w:r>
          </w:p>
        </w:tc>
      </w:tr>
      <w:tr w:rsidR="007F0F74" w:rsidRPr="00DA1FF3" w14:paraId="085FC69F" w14:textId="77777777" w:rsidTr="00BC6473">
        <w:tc>
          <w:tcPr>
            <w:tcW w:w="2547" w:type="dxa"/>
          </w:tcPr>
          <w:p w14:paraId="3EFC596E" w14:textId="77777777" w:rsidR="007F0F74" w:rsidRPr="00DA1FF3" w:rsidRDefault="007F0F74" w:rsidP="00BC6473">
            <w:pPr>
              <w:pStyle w:val="Tabletext"/>
            </w:pPr>
            <w:r w:rsidRPr="00DA1FF3">
              <w:t>Missing data</w:t>
            </w:r>
          </w:p>
        </w:tc>
        <w:tc>
          <w:tcPr>
            <w:tcW w:w="6469" w:type="dxa"/>
          </w:tcPr>
          <w:p w14:paraId="71FFB48A" w14:textId="77777777" w:rsidR="007F0F74" w:rsidRPr="007F0F74" w:rsidRDefault="007F0F74" w:rsidP="007F0F74">
            <w:pPr>
              <w:pStyle w:val="Tabletext"/>
            </w:pPr>
            <w:r w:rsidRPr="007F0F74">
              <w:t xml:space="preserve">Data on initiation of dialysis and key outcomes are thought to be complete. Data on mandatory items such as eGFR is also very high. </w:t>
            </w:r>
          </w:p>
          <w:p w14:paraId="79BDFB54" w14:textId="77777777" w:rsidR="007F0F74" w:rsidRPr="007F0F74" w:rsidRDefault="007F0F74" w:rsidP="007F0F74">
            <w:pPr>
              <w:pStyle w:val="Tabletext"/>
            </w:pPr>
            <w:r w:rsidRPr="007F0F74">
              <w:t>For non-mandatory data items in the registry, missingness was greater. For example, body mass index was missing in 26% of patients, urinary albumin to creatinine ratio (UACR) in 44%, and potassium in 29%. This was assumed to be missing completely at random and determined by the preferences of the attending physician. Sensitivity analysis in the subset of people with data available showed had no impact on results.</w:t>
            </w:r>
          </w:p>
        </w:tc>
      </w:tr>
      <w:tr w:rsidR="007F0F74" w:rsidRPr="00DA1FF3" w14:paraId="7F060484" w14:textId="77777777" w:rsidTr="00BC6473">
        <w:tc>
          <w:tcPr>
            <w:tcW w:w="2547" w:type="dxa"/>
          </w:tcPr>
          <w:p w14:paraId="5D53740A" w14:textId="77777777" w:rsidR="007F0F74" w:rsidRPr="00DA1FF3" w:rsidRDefault="007F0F74" w:rsidP="00BC6473">
            <w:pPr>
              <w:pStyle w:val="Tabletext"/>
            </w:pPr>
            <w:r w:rsidRPr="00DA1FF3">
              <w:t>Reverse causation</w:t>
            </w:r>
          </w:p>
        </w:tc>
        <w:tc>
          <w:tcPr>
            <w:tcW w:w="6469" w:type="dxa"/>
          </w:tcPr>
          <w:p w14:paraId="659778E6" w14:textId="77777777" w:rsidR="007F0F74" w:rsidRPr="007F0F74" w:rsidRDefault="007F0F74" w:rsidP="007F0F74">
            <w:pPr>
              <w:pStyle w:val="Tabletext"/>
            </w:pPr>
            <w:r w:rsidRPr="007F0F74">
              <w:t>Reverse causation is not expected to be a problem in this analysis.</w:t>
            </w:r>
          </w:p>
        </w:tc>
      </w:tr>
    </w:tbl>
    <w:p w14:paraId="7227F1D3" w14:textId="72B6F0A8" w:rsidR="007F0F74" w:rsidRDefault="002538AB" w:rsidP="007F0F74">
      <w:pPr>
        <w:pStyle w:val="Heading2"/>
      </w:pPr>
      <w:r>
        <w:t xml:space="preserve"> </w:t>
      </w:r>
      <w:r>
        <w:br w:type="page"/>
      </w:r>
      <w:r w:rsidR="007F0F74">
        <w:lastRenderedPageBreak/>
        <w:t>Methods reporting – case study 2</w:t>
      </w:r>
    </w:p>
    <w:p w14:paraId="017531DA" w14:textId="57DCF263" w:rsidR="007F0F74" w:rsidRPr="00DA1FF3" w:rsidRDefault="007F0F74" w:rsidP="007F0F74">
      <w:r w:rsidRPr="00DA1FF3">
        <w:t>Please note that the reporting for this case study is based on publicly available information in</w:t>
      </w:r>
      <w:r>
        <w:t xml:space="preserve"> </w:t>
      </w:r>
      <w:hyperlink r:id="rId29" w:history="1">
        <w:r w:rsidRPr="0080360B">
          <w:rPr>
            <w:rStyle w:val="Hyperlink"/>
          </w:rPr>
          <w:t>Wilkinson et al. 2021</w:t>
        </w:r>
      </w:hyperlink>
      <w:r w:rsidRPr="00DA1FF3">
        <w:t xml:space="preserve">. </w:t>
      </w:r>
    </w:p>
    <w:p w14:paraId="080637F7" w14:textId="64F28B09" w:rsidR="007F0F74" w:rsidRPr="00B24DB3" w:rsidRDefault="007F0F74" w:rsidP="007F0F74">
      <w:r>
        <w:t xml:space="preserve">The study estimates the comparative effectiveness of </w:t>
      </w:r>
      <w:proofErr w:type="spellStart"/>
      <w:r>
        <w:t>alectinib</w:t>
      </w:r>
      <w:proofErr w:type="spellEnd"/>
      <w:r>
        <w:t xml:space="preserve"> versus </w:t>
      </w:r>
      <w:proofErr w:type="spellStart"/>
      <w:r>
        <w:t>ceritinib</w:t>
      </w:r>
      <w:proofErr w:type="spellEnd"/>
      <w:r>
        <w:t xml:space="preserve"> on survival in people with ALK-positive non-small cell lung cancer. The study uses real-world data on </w:t>
      </w:r>
      <w:proofErr w:type="spellStart"/>
      <w:r>
        <w:t>ceritinib</w:t>
      </w:r>
      <w:proofErr w:type="spellEnd"/>
      <w:r>
        <w:t xml:space="preserve"> from Flatiron Health to form an external control to patients receiving </w:t>
      </w:r>
      <w:proofErr w:type="spellStart"/>
      <w:r>
        <w:t>alecitnib</w:t>
      </w:r>
      <w:proofErr w:type="spellEnd"/>
      <w:r>
        <w:t xml:space="preserve"> in phase 2 trials.</w:t>
      </w:r>
    </w:p>
    <w:p w14:paraId="719DA1F2" w14:textId="3F1FB384" w:rsidR="007F0F74" w:rsidRDefault="007F0F74" w:rsidP="007F0F74">
      <w:pPr>
        <w:pStyle w:val="Caption"/>
      </w:pPr>
      <w:r>
        <w:t xml:space="preserve">Example of completed methods reporting tool based on </w:t>
      </w:r>
      <w:hyperlink r:id="rId30" w:history="1">
        <w:r w:rsidRPr="0080360B">
          <w:rPr>
            <w:rStyle w:val="Hyperlink"/>
          </w:rPr>
          <w:t>Wilkinson et al. 2021</w:t>
        </w:r>
      </w:hyperlink>
      <w:r>
        <w:t>.</w:t>
      </w:r>
    </w:p>
    <w:tbl>
      <w:tblPr>
        <w:tblStyle w:val="Surveillancetable"/>
        <w:tblW w:w="0" w:type="auto"/>
        <w:tblLook w:val="04A0" w:firstRow="1" w:lastRow="0" w:firstColumn="1" w:lastColumn="0" w:noHBand="0" w:noVBand="1"/>
      </w:tblPr>
      <w:tblGrid>
        <w:gridCol w:w="2547"/>
        <w:gridCol w:w="6469"/>
      </w:tblGrid>
      <w:tr w:rsidR="007F0F74" w:rsidRPr="00DA1FF3" w14:paraId="48652DB3" w14:textId="77777777" w:rsidTr="00BC6473">
        <w:trPr>
          <w:cnfStyle w:val="100000000000" w:firstRow="1" w:lastRow="0" w:firstColumn="0" w:lastColumn="0" w:oddVBand="0" w:evenVBand="0" w:oddHBand="0" w:evenHBand="0" w:firstRowFirstColumn="0" w:firstRowLastColumn="0" w:lastRowFirstColumn="0" w:lastRowLastColumn="0"/>
          <w:tblHeader/>
        </w:trPr>
        <w:tc>
          <w:tcPr>
            <w:tcW w:w="2547" w:type="dxa"/>
          </w:tcPr>
          <w:p w14:paraId="3FFD1040" w14:textId="77777777" w:rsidR="007F0F74" w:rsidRPr="00DA1FF3" w:rsidRDefault="007F0F74" w:rsidP="00BC6473">
            <w:pPr>
              <w:pStyle w:val="Tableheadingblack"/>
            </w:pPr>
            <w:r w:rsidRPr="00DA1FF3">
              <w:t>Type of bias</w:t>
            </w:r>
          </w:p>
        </w:tc>
        <w:tc>
          <w:tcPr>
            <w:tcW w:w="6469" w:type="dxa"/>
          </w:tcPr>
          <w:p w14:paraId="6A6539BE" w14:textId="77777777" w:rsidR="007F0F74" w:rsidRPr="00DA1FF3" w:rsidRDefault="007F0F74" w:rsidP="00BC6473">
            <w:pPr>
              <w:pStyle w:val="Tableheadingblack"/>
            </w:pPr>
            <w:r w:rsidRPr="00DA1FF3">
              <w:t>How bias was addressed or assessed</w:t>
            </w:r>
          </w:p>
        </w:tc>
      </w:tr>
      <w:tr w:rsidR="007F0F74" w:rsidRPr="00DA1FF3" w14:paraId="59BADB7F" w14:textId="77777777" w:rsidTr="00BC6473">
        <w:tc>
          <w:tcPr>
            <w:tcW w:w="2547" w:type="dxa"/>
          </w:tcPr>
          <w:p w14:paraId="6C9719A5" w14:textId="77777777" w:rsidR="007F0F74" w:rsidRPr="00DA1FF3" w:rsidRDefault="007F0F74" w:rsidP="00BC6473">
            <w:pPr>
              <w:pStyle w:val="Tabletext"/>
            </w:pPr>
            <w:r w:rsidRPr="00DA1FF3">
              <w:t>Selection bias at study entry</w:t>
            </w:r>
          </w:p>
        </w:tc>
        <w:tc>
          <w:tcPr>
            <w:tcW w:w="6469" w:type="dxa"/>
          </w:tcPr>
          <w:p w14:paraId="7BBFC52D" w14:textId="77777777" w:rsidR="007F0F74" w:rsidRPr="007F0F74" w:rsidRDefault="007F0F74" w:rsidP="007F0F74">
            <w:pPr>
              <w:pStyle w:val="Tabletext"/>
            </w:pPr>
            <w:r w:rsidRPr="007F0F74">
              <w:t xml:space="preserve">The study compared people enrolled in phase 2 trials assigned </w:t>
            </w:r>
            <w:proofErr w:type="spellStart"/>
            <w:r w:rsidRPr="007F0F74">
              <w:t>alectinib</w:t>
            </w:r>
            <w:proofErr w:type="spellEnd"/>
            <w:r w:rsidRPr="007F0F74">
              <w:t xml:space="preserve"> against patients from routine care in the US initiating </w:t>
            </w:r>
            <w:proofErr w:type="spellStart"/>
            <w:r w:rsidRPr="007F0F74">
              <w:t>ceritinib</w:t>
            </w:r>
            <w:proofErr w:type="spellEnd"/>
            <w:r w:rsidRPr="007F0F74">
              <w:t>. Several steps were taken to minimise the risk of selection bias:</w:t>
            </w:r>
          </w:p>
          <w:p w14:paraId="06FC4178" w14:textId="77777777" w:rsidR="007F0F74" w:rsidRPr="007F0F74" w:rsidRDefault="007F0F74" w:rsidP="007F0F74">
            <w:pPr>
              <w:pStyle w:val="Tabletext"/>
            </w:pPr>
            <w:r w:rsidRPr="007F0F74">
              <w:t>Matching inclusion criteria in the real-world data to the population included in the trial</w:t>
            </w:r>
          </w:p>
          <w:p w14:paraId="16683E49" w14:textId="77777777" w:rsidR="007F0F74" w:rsidRPr="007F0F74" w:rsidRDefault="007F0F74" w:rsidP="007F0F74">
            <w:pPr>
              <w:pStyle w:val="Tablebullet1"/>
            </w:pPr>
            <w:r w:rsidRPr="007F0F74">
              <w:t xml:space="preserve">Excluding additional patients from the trial with prior lines of therapy not observed in the real-world data </w:t>
            </w:r>
          </w:p>
          <w:p w14:paraId="382A3802" w14:textId="77777777" w:rsidR="007F0F74" w:rsidRPr="007F0F74" w:rsidRDefault="007F0F74" w:rsidP="007F0F74">
            <w:pPr>
              <w:pStyle w:val="Tablebullet1"/>
            </w:pPr>
            <w:r w:rsidRPr="007F0F74">
              <w:t>Using real-world data over a similar time-period to that covered in the trial</w:t>
            </w:r>
          </w:p>
          <w:p w14:paraId="46B37520" w14:textId="77777777" w:rsidR="007F0F74" w:rsidRPr="007F0F74" w:rsidRDefault="007F0F74" w:rsidP="007F0F74">
            <w:pPr>
              <w:pStyle w:val="Tablebullet1"/>
            </w:pPr>
            <w:r w:rsidRPr="007F0F74">
              <w:t>Using a new-user, active comparator design</w:t>
            </w:r>
          </w:p>
          <w:p w14:paraId="6DA122A4" w14:textId="77777777" w:rsidR="007F0F74" w:rsidRPr="007F0F74" w:rsidRDefault="007F0F74" w:rsidP="007F0F74">
            <w:pPr>
              <w:pStyle w:val="Tabletext"/>
            </w:pPr>
            <w:r w:rsidRPr="007F0F74">
              <w:t xml:space="preserve">To help demonstrate the validity of the approach, the comparison was repeated using only real-world data and similar results were found. </w:t>
            </w:r>
          </w:p>
        </w:tc>
      </w:tr>
      <w:tr w:rsidR="007F0F74" w:rsidRPr="00DA1FF3" w14:paraId="45FA1912" w14:textId="77777777" w:rsidTr="00BC6473">
        <w:tc>
          <w:tcPr>
            <w:tcW w:w="2547" w:type="dxa"/>
          </w:tcPr>
          <w:p w14:paraId="708382F5" w14:textId="77777777" w:rsidR="007F0F74" w:rsidRPr="00DA1FF3" w:rsidRDefault="007F0F74" w:rsidP="00BC6473">
            <w:pPr>
              <w:pStyle w:val="Tabletext"/>
            </w:pPr>
            <w:r w:rsidRPr="00DA1FF3">
              <w:t xml:space="preserve">Selection bias at study exit </w:t>
            </w:r>
          </w:p>
        </w:tc>
        <w:tc>
          <w:tcPr>
            <w:tcW w:w="6469" w:type="dxa"/>
          </w:tcPr>
          <w:p w14:paraId="0043D975" w14:textId="77777777" w:rsidR="007F0F74" w:rsidRPr="007F0F74" w:rsidRDefault="007F0F74" w:rsidP="007F0F74">
            <w:pPr>
              <w:pStyle w:val="Tabletext"/>
            </w:pPr>
            <w:r w:rsidRPr="007F0F74">
              <w:t>This was an as-started analysis with limited loss to follow-up. Censoring is not thought to be informative.</w:t>
            </w:r>
          </w:p>
        </w:tc>
      </w:tr>
      <w:tr w:rsidR="007F0F74" w:rsidRPr="00DA1FF3" w14:paraId="6A8028BA" w14:textId="77777777" w:rsidTr="00BC6473">
        <w:tc>
          <w:tcPr>
            <w:tcW w:w="2547" w:type="dxa"/>
          </w:tcPr>
          <w:p w14:paraId="26A0B0E4" w14:textId="77777777" w:rsidR="007F0F74" w:rsidRPr="00DA1FF3" w:rsidRDefault="007F0F74" w:rsidP="00BC6473">
            <w:pPr>
              <w:pStyle w:val="Tabletext"/>
            </w:pPr>
            <w:r>
              <w:t>A</w:t>
            </w:r>
            <w:r w:rsidRPr="00DA1FF3">
              <w:t>ddress</w:t>
            </w:r>
            <w:r>
              <w:t>ing</w:t>
            </w:r>
            <w:r w:rsidRPr="00DA1FF3">
              <w:t xml:space="preserve"> confounding</w:t>
            </w:r>
          </w:p>
        </w:tc>
        <w:tc>
          <w:tcPr>
            <w:tcW w:w="6469" w:type="dxa"/>
          </w:tcPr>
          <w:p w14:paraId="7DAEEB86" w14:textId="77777777" w:rsidR="007F0F74" w:rsidRPr="007F0F74" w:rsidRDefault="007F0F74" w:rsidP="007F0F74">
            <w:pPr>
              <w:pStyle w:val="Tabletext"/>
            </w:pPr>
            <w:r w:rsidRPr="007F0F74">
              <w:t>Key prognostic variables were prospectively identified by a systematic review.</w:t>
            </w:r>
          </w:p>
          <w:p w14:paraId="3A8E6592" w14:textId="77777777" w:rsidR="007F0F74" w:rsidRPr="007F0F74" w:rsidRDefault="007F0F74" w:rsidP="007F0F74">
            <w:pPr>
              <w:pStyle w:val="Tabletext"/>
            </w:pPr>
            <w:r w:rsidRPr="007F0F74">
              <w:t xml:space="preserve">Key known confounders were captured in the data albeit with limitations. See below for information on addressing missing data and misclassification of key confounders. </w:t>
            </w:r>
          </w:p>
          <w:p w14:paraId="03DB6F7B" w14:textId="77777777" w:rsidR="007F0F74" w:rsidRPr="007F0F74" w:rsidRDefault="007F0F74" w:rsidP="007F0F74">
            <w:pPr>
              <w:pStyle w:val="Tabletext"/>
            </w:pPr>
            <w:r w:rsidRPr="007F0F74">
              <w:t>Observed confounders measured at or before baseline were used to estimate propensity scores. Estimation used the inverse probability of treatment weights method. There was no evidence of large differences in covariate patterns between treatment groups after adjustment (standardised mean difference was less than 0.1 for all variables).</w:t>
            </w:r>
          </w:p>
          <w:p w14:paraId="14506235" w14:textId="77777777" w:rsidR="007F0F74" w:rsidRPr="007F0F74" w:rsidRDefault="007F0F74" w:rsidP="007F0F74">
            <w:pPr>
              <w:pStyle w:val="Tabletext"/>
            </w:pPr>
            <w:r w:rsidRPr="007F0F74">
              <w:t xml:space="preserve">In sensitivity analysis, adjustment for additional variables did not change results. </w:t>
            </w:r>
          </w:p>
          <w:p w14:paraId="6AD43849" w14:textId="77777777" w:rsidR="007F0F74" w:rsidRPr="007F0F74" w:rsidRDefault="007F0F74" w:rsidP="007F0F74">
            <w:pPr>
              <w:pStyle w:val="Tabletext"/>
            </w:pPr>
            <w:r w:rsidRPr="007F0F74">
              <w:t xml:space="preserve">Quantitative bias analysis was used to assess how strong a confounding effect an unknown confounder would need to have to eliminate the estimated treatment effect. The estimated e-value was 2.4 which would require a level of confounder-mortality and confounder-treatment </w:t>
            </w:r>
            <w:r w:rsidRPr="007F0F74">
              <w:lastRenderedPageBreak/>
              <w:t xml:space="preserve">association substantially higher than seen for any measured confounders. </w:t>
            </w:r>
          </w:p>
        </w:tc>
      </w:tr>
      <w:tr w:rsidR="007F0F74" w:rsidRPr="00DA1FF3" w14:paraId="3FB068A2" w14:textId="77777777" w:rsidTr="00BC6473">
        <w:tc>
          <w:tcPr>
            <w:tcW w:w="2547" w:type="dxa"/>
          </w:tcPr>
          <w:p w14:paraId="51A74A1A" w14:textId="77777777" w:rsidR="007F0F74" w:rsidRPr="00DA1FF3" w:rsidRDefault="007F0F74" w:rsidP="00BC6473">
            <w:pPr>
              <w:pStyle w:val="Tabletext"/>
            </w:pPr>
            <w:r w:rsidRPr="00DA1FF3">
              <w:lastRenderedPageBreak/>
              <w:t>Detection bias</w:t>
            </w:r>
          </w:p>
        </w:tc>
        <w:tc>
          <w:tcPr>
            <w:tcW w:w="6469" w:type="dxa"/>
          </w:tcPr>
          <w:p w14:paraId="19D29BD1" w14:textId="77777777" w:rsidR="007F0F74" w:rsidRPr="007F0F74" w:rsidRDefault="007F0F74" w:rsidP="007F0F74">
            <w:pPr>
              <w:pStyle w:val="Tabletext"/>
            </w:pPr>
            <w:r w:rsidRPr="007F0F74">
              <w:t xml:space="preserve">The outcome of mortality was not thought to be subject to detection bias. </w:t>
            </w:r>
          </w:p>
        </w:tc>
      </w:tr>
      <w:tr w:rsidR="007F0F74" w:rsidRPr="00DA1FF3" w14:paraId="7744AD49" w14:textId="77777777" w:rsidTr="00BC6473">
        <w:tc>
          <w:tcPr>
            <w:tcW w:w="2547" w:type="dxa"/>
          </w:tcPr>
          <w:p w14:paraId="6DAAE22B" w14:textId="77777777" w:rsidR="007F0F74" w:rsidRPr="00DA1FF3" w:rsidRDefault="007F0F74" w:rsidP="00BC6473">
            <w:pPr>
              <w:pStyle w:val="Tabletext"/>
            </w:pPr>
            <w:r w:rsidRPr="00DA1FF3">
              <w:t>Measurement error and misclassification</w:t>
            </w:r>
          </w:p>
        </w:tc>
        <w:tc>
          <w:tcPr>
            <w:tcW w:w="6469" w:type="dxa"/>
          </w:tcPr>
          <w:p w14:paraId="4FB38B39" w14:textId="77777777" w:rsidR="007F0F74" w:rsidRPr="007F0F74" w:rsidRDefault="007F0F74" w:rsidP="007F0F74">
            <w:pPr>
              <w:pStyle w:val="Tabletext"/>
            </w:pPr>
            <w:r w:rsidRPr="007F0F74">
              <w:t xml:space="preserve">Data on mortality is sufficiently well captured in the real-world data with sensitivity of 91% and specificity of 96%. </w:t>
            </w:r>
          </w:p>
          <w:p w14:paraId="35F0F06F" w14:textId="77777777" w:rsidR="007F0F74" w:rsidRPr="007F0F74" w:rsidRDefault="007F0F74" w:rsidP="007F0F74">
            <w:pPr>
              <w:pStyle w:val="Tabletext"/>
            </w:pPr>
            <w:r w:rsidRPr="007F0F74">
              <w:t xml:space="preserve">There were concerns that central nervous system metastases were misclassified (underreported) in the real-world data due to limited surveillance. A sensitivity analysis found that the prevalence in the real-world data would have to be 40% larger to eliminate the estimated treatment effect. </w:t>
            </w:r>
          </w:p>
        </w:tc>
      </w:tr>
      <w:tr w:rsidR="007F0F74" w:rsidRPr="00DA1FF3" w14:paraId="26346BB0" w14:textId="77777777" w:rsidTr="00BC6473">
        <w:tc>
          <w:tcPr>
            <w:tcW w:w="2547" w:type="dxa"/>
          </w:tcPr>
          <w:p w14:paraId="20B8B6FE" w14:textId="77777777" w:rsidR="007F0F74" w:rsidRPr="00DA1FF3" w:rsidRDefault="007F0F74" w:rsidP="00BC6473">
            <w:pPr>
              <w:pStyle w:val="Tabletext"/>
            </w:pPr>
            <w:r w:rsidRPr="00DA1FF3">
              <w:t>Missing data</w:t>
            </w:r>
          </w:p>
        </w:tc>
        <w:tc>
          <w:tcPr>
            <w:tcW w:w="6469" w:type="dxa"/>
          </w:tcPr>
          <w:p w14:paraId="6950F048" w14:textId="77777777" w:rsidR="007F0F74" w:rsidRPr="007F0F74" w:rsidRDefault="007F0F74" w:rsidP="007F0F74">
            <w:pPr>
              <w:pStyle w:val="Tabletext"/>
            </w:pPr>
            <w:r w:rsidRPr="007F0F74">
              <w:t xml:space="preserve">Missing data on baseline performance status (ECOG score) was high in the real-world data (32%) and this is a key prognostic variable.  The main analysis assumed data was missing completely at random in a complete case analysis. </w:t>
            </w:r>
          </w:p>
          <w:p w14:paraId="611EFB55" w14:textId="77777777" w:rsidR="007F0F74" w:rsidRPr="007F0F74" w:rsidRDefault="007F0F74" w:rsidP="007F0F74">
            <w:pPr>
              <w:pStyle w:val="Tabletext"/>
            </w:pPr>
            <w:r w:rsidRPr="007F0F74">
              <w:t>Because this assumption was expected to be invalid, sensitivity analysis was performed using multiple imputation assuming data was missing at random. Results were consistent with the complete case analysis.</w:t>
            </w:r>
          </w:p>
          <w:p w14:paraId="7C9CCB69" w14:textId="77777777" w:rsidR="007F0F74" w:rsidRPr="007F0F74" w:rsidRDefault="007F0F74" w:rsidP="007F0F74">
            <w:pPr>
              <w:pStyle w:val="Tabletext"/>
            </w:pPr>
            <w:r w:rsidRPr="007F0F74">
              <w:t xml:space="preserve">Quantitative bias analysis was performed to address remaining concerns about missing not at random data, where ECOG scores are worse than expected by the imputation model. Using threshold </w:t>
            </w:r>
            <w:proofErr w:type="gramStart"/>
            <w:r w:rsidRPr="007F0F74">
              <w:t>analysis</w:t>
            </w:r>
            <w:proofErr w:type="gramEnd"/>
            <w:r w:rsidRPr="007F0F74">
              <w:t xml:space="preserve"> the study conclusions remained similar under any reasonable assumptions about the ECOG scores in those with missing values. </w:t>
            </w:r>
          </w:p>
        </w:tc>
      </w:tr>
      <w:tr w:rsidR="007F0F74" w:rsidRPr="00DA1FF3" w14:paraId="172B85BF" w14:textId="77777777" w:rsidTr="00BC6473">
        <w:tc>
          <w:tcPr>
            <w:tcW w:w="2547" w:type="dxa"/>
          </w:tcPr>
          <w:p w14:paraId="4414122F" w14:textId="77777777" w:rsidR="007F0F74" w:rsidRPr="00DA1FF3" w:rsidRDefault="007F0F74" w:rsidP="00BC6473">
            <w:pPr>
              <w:pStyle w:val="Tabletext"/>
            </w:pPr>
            <w:r w:rsidRPr="00DA1FF3">
              <w:t>Reverse causation</w:t>
            </w:r>
          </w:p>
        </w:tc>
        <w:tc>
          <w:tcPr>
            <w:tcW w:w="6469" w:type="dxa"/>
          </w:tcPr>
          <w:p w14:paraId="510A6758" w14:textId="77777777" w:rsidR="007F0F74" w:rsidRPr="007F0F74" w:rsidRDefault="007F0F74" w:rsidP="007F0F74">
            <w:pPr>
              <w:pStyle w:val="Tabletext"/>
            </w:pPr>
            <w:r w:rsidRPr="007F0F74">
              <w:t>Reverse causation is not expected to be a problem in this analysis.</w:t>
            </w:r>
          </w:p>
        </w:tc>
      </w:tr>
    </w:tbl>
    <w:p w14:paraId="75818F61" w14:textId="475AB47E" w:rsidR="002538AB" w:rsidRPr="002538AB" w:rsidRDefault="007F0F74" w:rsidP="002538AB">
      <w:pPr>
        <w:pStyle w:val="Caption"/>
        <w:sectPr w:rsidR="002538AB" w:rsidRPr="002538AB" w:rsidSect="00FC0BAB">
          <w:footerReference w:type="default" r:id="rId31"/>
          <w:pgSz w:w="11906" w:h="16838"/>
          <w:pgMar w:top="1440" w:right="1440" w:bottom="1440" w:left="1440" w:header="708" w:footer="708" w:gutter="0"/>
          <w:cols w:space="708"/>
          <w:docGrid w:linePitch="360"/>
        </w:sectPr>
      </w:pPr>
      <w:r>
        <w:br w:type="page"/>
      </w:r>
    </w:p>
    <w:p w14:paraId="0AD2EBB7" w14:textId="7B11651F" w:rsidR="007347A7" w:rsidRDefault="007347A7" w:rsidP="00EA603C">
      <w:pPr>
        <w:pStyle w:val="Heading1"/>
      </w:pPr>
      <w:bookmarkStart w:id="10" w:name="_Appendix_C_–"/>
      <w:bookmarkStart w:id="11" w:name="_Toc99613200"/>
      <w:bookmarkEnd w:id="10"/>
      <w:r w:rsidRPr="00DA1FF3">
        <w:lastRenderedPageBreak/>
        <w:t xml:space="preserve">Appendix </w:t>
      </w:r>
      <w:r w:rsidR="006B6CDA" w:rsidRPr="00DA1FF3">
        <w:t>3</w:t>
      </w:r>
      <w:r w:rsidRPr="00DA1FF3">
        <w:t xml:space="preserve"> – Reporting information for selected analytical methods</w:t>
      </w:r>
      <w:bookmarkEnd w:id="11"/>
    </w:p>
    <w:p w14:paraId="6561569D" w14:textId="0DB58A24" w:rsidR="00D32E54" w:rsidRPr="00D32E54" w:rsidRDefault="00D32E54" w:rsidP="00D32E54">
      <w:pPr>
        <w:pStyle w:val="Caption"/>
      </w:pPr>
      <w:r>
        <w:t>Guide to reporting on selected analytical methods</w:t>
      </w:r>
    </w:p>
    <w:tbl>
      <w:tblPr>
        <w:tblStyle w:val="Surveillancetable"/>
        <w:tblW w:w="0" w:type="auto"/>
        <w:tblLook w:val="04A0" w:firstRow="1" w:lastRow="0" w:firstColumn="1" w:lastColumn="0" w:noHBand="0" w:noVBand="1"/>
      </w:tblPr>
      <w:tblGrid>
        <w:gridCol w:w="1613"/>
        <w:gridCol w:w="2777"/>
        <w:gridCol w:w="4626"/>
      </w:tblGrid>
      <w:tr w:rsidR="00C06AE8" w:rsidRPr="00DA1FF3" w14:paraId="3AED41F7" w14:textId="329E853B" w:rsidTr="00E638EE">
        <w:trPr>
          <w:cnfStyle w:val="100000000000" w:firstRow="1" w:lastRow="0" w:firstColumn="0" w:lastColumn="0" w:oddVBand="0" w:evenVBand="0" w:oddHBand="0" w:evenHBand="0" w:firstRowFirstColumn="0" w:firstRowLastColumn="0" w:lastRowFirstColumn="0" w:lastRowLastColumn="0"/>
          <w:tblHeader/>
        </w:trPr>
        <w:tc>
          <w:tcPr>
            <w:tcW w:w="1613" w:type="dxa"/>
          </w:tcPr>
          <w:p w14:paraId="689EF23B" w14:textId="6AC4593D" w:rsidR="00C06AE8" w:rsidRPr="00DA1FF3" w:rsidRDefault="00C06AE8" w:rsidP="0034027F">
            <w:pPr>
              <w:pStyle w:val="Tableheadingblack"/>
            </w:pPr>
            <w:r w:rsidRPr="00DA1FF3">
              <w:t>Method</w:t>
            </w:r>
          </w:p>
        </w:tc>
        <w:tc>
          <w:tcPr>
            <w:tcW w:w="2777" w:type="dxa"/>
          </w:tcPr>
          <w:p w14:paraId="34BFBE1E" w14:textId="4E8559B9" w:rsidR="00C06AE8" w:rsidRPr="00DA1FF3" w:rsidRDefault="00C06AE8" w:rsidP="0034027F">
            <w:pPr>
              <w:pStyle w:val="Tableheadingblack"/>
            </w:pPr>
            <w:r w:rsidRPr="00DA1FF3">
              <w:t>Description</w:t>
            </w:r>
          </w:p>
        </w:tc>
        <w:tc>
          <w:tcPr>
            <w:tcW w:w="4626" w:type="dxa"/>
          </w:tcPr>
          <w:p w14:paraId="0669E3DB" w14:textId="47C897C8" w:rsidR="00C06AE8" w:rsidRPr="00DA1FF3" w:rsidRDefault="00C06AE8" w:rsidP="0034027F">
            <w:pPr>
              <w:pStyle w:val="Tableheadingblack"/>
            </w:pPr>
            <w:r w:rsidRPr="00DA1FF3">
              <w:t>Reporting information</w:t>
            </w:r>
          </w:p>
        </w:tc>
      </w:tr>
      <w:tr w:rsidR="00C06AE8" w:rsidRPr="00DA1FF3" w14:paraId="04C119FC" w14:textId="2756FD9C" w:rsidTr="00E638EE">
        <w:tc>
          <w:tcPr>
            <w:tcW w:w="1613" w:type="dxa"/>
          </w:tcPr>
          <w:p w14:paraId="3B087BFE" w14:textId="7F9795E8" w:rsidR="00C06AE8" w:rsidRPr="00DA1FF3" w:rsidRDefault="00C06AE8" w:rsidP="00C06AE8">
            <w:pPr>
              <w:pStyle w:val="Tabletext"/>
            </w:pPr>
            <w:r w:rsidRPr="00DA1FF3">
              <w:t>Direct or indirect standardisation</w:t>
            </w:r>
          </w:p>
        </w:tc>
        <w:tc>
          <w:tcPr>
            <w:tcW w:w="2777" w:type="dxa"/>
          </w:tcPr>
          <w:p w14:paraId="3A19A44E" w14:textId="54461B6A" w:rsidR="00C06AE8" w:rsidRPr="00DA1FF3" w:rsidRDefault="00C06AE8" w:rsidP="00C06AE8">
            <w:pPr>
              <w:pStyle w:val="Tabletext"/>
              <w:rPr>
                <w:color w:val="004650"/>
              </w:rPr>
            </w:pPr>
            <w:r w:rsidRPr="00DA1FF3">
              <w:t>Methods to increase comparability of exposure groups in terms of selected covariates</w:t>
            </w:r>
          </w:p>
        </w:tc>
        <w:tc>
          <w:tcPr>
            <w:tcW w:w="4626" w:type="dxa"/>
          </w:tcPr>
          <w:p w14:paraId="3BD725CD" w14:textId="34B1CB8F" w:rsidR="00C06AE8" w:rsidRPr="00DA1FF3" w:rsidRDefault="00C06AE8" w:rsidP="00C06AE8">
            <w:pPr>
              <w:pStyle w:val="Tablebullet1"/>
            </w:pPr>
            <w:r w:rsidRPr="00DA1FF3">
              <w:t>Standard reference population (description)</w:t>
            </w:r>
          </w:p>
          <w:p w14:paraId="4F4C143A" w14:textId="25E51671" w:rsidR="00C06AE8" w:rsidRPr="00DA1FF3" w:rsidRDefault="00C06AE8" w:rsidP="00C06AE8">
            <w:pPr>
              <w:pStyle w:val="Tablebullet1"/>
            </w:pPr>
            <w:r w:rsidRPr="00DA1FF3">
              <w:t>Covariates used for standardisation</w:t>
            </w:r>
          </w:p>
        </w:tc>
      </w:tr>
      <w:tr w:rsidR="00C06AE8" w:rsidRPr="00DA1FF3" w14:paraId="5615CFA4" w14:textId="34B0C4A5" w:rsidTr="00E638EE">
        <w:tc>
          <w:tcPr>
            <w:tcW w:w="1613" w:type="dxa"/>
          </w:tcPr>
          <w:p w14:paraId="7F0E7D42" w14:textId="1AF890D7" w:rsidR="00C06AE8" w:rsidRPr="00DA1FF3" w:rsidRDefault="00C06AE8" w:rsidP="00C06AE8">
            <w:pPr>
              <w:pStyle w:val="Tabletext"/>
            </w:pPr>
            <w:r w:rsidRPr="00DA1FF3">
              <w:t>Stratification</w:t>
            </w:r>
          </w:p>
        </w:tc>
        <w:tc>
          <w:tcPr>
            <w:tcW w:w="2777" w:type="dxa"/>
          </w:tcPr>
          <w:p w14:paraId="0FEB6F34" w14:textId="4CD94ED6" w:rsidR="00C06AE8" w:rsidRPr="00DA1FF3" w:rsidRDefault="00C06AE8" w:rsidP="00C06AE8">
            <w:pPr>
              <w:pStyle w:val="Tabletext"/>
              <w:rPr>
                <w:color w:val="004650"/>
              </w:rPr>
            </w:pPr>
            <w:r w:rsidRPr="00DA1FF3">
              <w:t>Restricting comparison to select population groups</w:t>
            </w:r>
          </w:p>
        </w:tc>
        <w:tc>
          <w:tcPr>
            <w:tcW w:w="4626" w:type="dxa"/>
          </w:tcPr>
          <w:p w14:paraId="415AE5F7" w14:textId="77777777" w:rsidR="00C06AE8" w:rsidRPr="00DA1FF3" w:rsidRDefault="00C06AE8" w:rsidP="00C06AE8">
            <w:pPr>
              <w:pStyle w:val="Tablebullet1"/>
            </w:pPr>
            <w:r w:rsidRPr="00DA1FF3">
              <w:t>How weights are calculated</w:t>
            </w:r>
          </w:p>
          <w:p w14:paraId="573508A6" w14:textId="30F2BEDF" w:rsidR="00C06AE8" w:rsidRPr="00DA1FF3" w:rsidRDefault="00C06AE8" w:rsidP="00C06AE8">
            <w:pPr>
              <w:pStyle w:val="Tablebullet1"/>
            </w:pPr>
            <w:r w:rsidRPr="00DA1FF3">
              <w:t xml:space="preserve">Whether and how weights are trimmed, </w:t>
            </w:r>
            <w:proofErr w:type="gramStart"/>
            <w:r w:rsidRPr="00DA1FF3">
              <w:t>truncated</w:t>
            </w:r>
            <w:proofErr w:type="gramEnd"/>
            <w:r w:rsidRPr="00DA1FF3">
              <w:t xml:space="preserve"> or stabilised</w:t>
            </w:r>
          </w:p>
          <w:p w14:paraId="2899B2EE" w14:textId="77777777" w:rsidR="00C06AE8" w:rsidRPr="00DA1FF3" w:rsidRDefault="00C06AE8" w:rsidP="00C06AE8">
            <w:pPr>
              <w:pStyle w:val="Tablebullet1"/>
            </w:pPr>
            <w:r w:rsidRPr="00DA1FF3">
              <w:t>Tables for unweighted and weighted population characteristics</w:t>
            </w:r>
          </w:p>
          <w:p w14:paraId="7C74C408" w14:textId="2B721A25" w:rsidR="00C06AE8" w:rsidRPr="00DA1FF3" w:rsidRDefault="00C06AE8" w:rsidP="00C06AE8">
            <w:pPr>
              <w:pStyle w:val="Tablebullet1"/>
            </w:pPr>
            <w:r w:rsidRPr="00DA1FF3">
              <w:t>Mean and distribution of weights</w:t>
            </w:r>
          </w:p>
        </w:tc>
      </w:tr>
      <w:tr w:rsidR="00C06AE8" w:rsidRPr="00DA1FF3" w14:paraId="3CCA8DC6" w14:textId="26915BCC" w:rsidTr="00E638EE">
        <w:tc>
          <w:tcPr>
            <w:tcW w:w="1613" w:type="dxa"/>
          </w:tcPr>
          <w:p w14:paraId="1DCBB7CC" w14:textId="6589A316" w:rsidR="00C06AE8" w:rsidRPr="00DA1FF3" w:rsidRDefault="00C06AE8" w:rsidP="0034027F">
            <w:pPr>
              <w:pStyle w:val="Tabletext"/>
            </w:pPr>
            <w:r w:rsidRPr="00DA1FF3">
              <w:t>Matching</w:t>
            </w:r>
          </w:p>
        </w:tc>
        <w:tc>
          <w:tcPr>
            <w:tcW w:w="2777" w:type="dxa"/>
          </w:tcPr>
          <w:p w14:paraId="2B56D232" w14:textId="6C427A33" w:rsidR="00C06AE8" w:rsidRPr="00DA1FF3" w:rsidRDefault="00C06AE8" w:rsidP="0034027F">
            <w:pPr>
              <w:pStyle w:val="Tabletext"/>
              <w:rPr>
                <w:color w:val="004650" w:themeColor="text2"/>
              </w:rPr>
            </w:pPr>
            <w:r w:rsidRPr="00DA1FF3">
              <w:t>Matching individuals with the same or similar characteristics</w:t>
            </w:r>
          </w:p>
        </w:tc>
        <w:tc>
          <w:tcPr>
            <w:tcW w:w="4626" w:type="dxa"/>
          </w:tcPr>
          <w:p w14:paraId="46286E72" w14:textId="77777777" w:rsidR="00C06AE8" w:rsidRPr="00DA1FF3" w:rsidRDefault="00C06AE8" w:rsidP="00C06AE8">
            <w:pPr>
              <w:pStyle w:val="Tablebullet1"/>
            </w:pPr>
            <w:r w:rsidRPr="00DA1FF3">
              <w:t>Covariates used for matching</w:t>
            </w:r>
          </w:p>
          <w:p w14:paraId="1821DCF0" w14:textId="77777777" w:rsidR="00C06AE8" w:rsidRPr="00DA1FF3" w:rsidRDefault="00C06AE8" w:rsidP="00C06AE8">
            <w:pPr>
              <w:pStyle w:val="Tablebullet1"/>
            </w:pPr>
            <w:r w:rsidRPr="00DA1FF3">
              <w:t>Matching ratio</w:t>
            </w:r>
          </w:p>
          <w:p w14:paraId="317B6260" w14:textId="02F909A7" w:rsidR="00C06AE8" w:rsidRPr="00DA1FF3" w:rsidRDefault="00C06AE8" w:rsidP="00C06AE8">
            <w:pPr>
              <w:pStyle w:val="Tablebullet1"/>
            </w:pPr>
            <w:r w:rsidRPr="00DA1FF3">
              <w:t>Number matched</w:t>
            </w:r>
            <w:r w:rsidR="00923BAC">
              <w:t xml:space="preserve"> and</w:t>
            </w:r>
            <w:r w:rsidRPr="00DA1FF3">
              <w:t xml:space="preserve"> number excluded</w:t>
            </w:r>
          </w:p>
        </w:tc>
      </w:tr>
      <w:tr w:rsidR="00C06AE8" w:rsidRPr="00DA1FF3" w14:paraId="23EDD2E3" w14:textId="6579B85E" w:rsidTr="00E638EE">
        <w:tc>
          <w:tcPr>
            <w:tcW w:w="1613" w:type="dxa"/>
          </w:tcPr>
          <w:p w14:paraId="41ADB4F4" w14:textId="5D613F92" w:rsidR="00C06AE8" w:rsidRPr="00DA1FF3" w:rsidRDefault="00C06AE8" w:rsidP="00C06AE8">
            <w:pPr>
              <w:pStyle w:val="Tabletext"/>
            </w:pPr>
            <w:r w:rsidRPr="00DA1FF3">
              <w:t>Propensity score (general)</w:t>
            </w:r>
          </w:p>
        </w:tc>
        <w:tc>
          <w:tcPr>
            <w:tcW w:w="2777" w:type="dxa"/>
          </w:tcPr>
          <w:p w14:paraId="6D0996DF" w14:textId="76D0BCD2" w:rsidR="00C06AE8" w:rsidRPr="00DA1FF3" w:rsidRDefault="00C06AE8" w:rsidP="00C06AE8">
            <w:pPr>
              <w:pStyle w:val="Tabletext"/>
              <w:rPr>
                <w:color w:val="004650" w:themeColor="text2"/>
              </w:rPr>
            </w:pPr>
            <w:r w:rsidRPr="00DA1FF3">
              <w:t>Estimate of probability of receiving a particular intervention; range of methods available (below)</w:t>
            </w:r>
          </w:p>
        </w:tc>
        <w:tc>
          <w:tcPr>
            <w:tcW w:w="4626" w:type="dxa"/>
          </w:tcPr>
          <w:p w14:paraId="49E99811" w14:textId="1F411D7F" w:rsidR="00C06AE8" w:rsidRPr="00DA1FF3" w:rsidRDefault="00C06AE8" w:rsidP="00C06AE8">
            <w:pPr>
              <w:pStyle w:val="Tablebullet1"/>
            </w:pPr>
            <w:r w:rsidRPr="00DA1FF3">
              <w:t>Model used to estimate propensity scores (</w:t>
            </w:r>
            <w:r w:rsidR="00CF10E3">
              <w:t>such as</w:t>
            </w:r>
            <w:r w:rsidRPr="00DA1FF3">
              <w:t xml:space="preserve"> logistic</w:t>
            </w:r>
            <w:r w:rsidR="00CF10E3">
              <w:t xml:space="preserve"> or</w:t>
            </w:r>
            <w:r w:rsidRPr="00DA1FF3">
              <w:t xml:space="preserve"> multinomial)</w:t>
            </w:r>
          </w:p>
          <w:p w14:paraId="217B994C" w14:textId="77777777" w:rsidR="00C06AE8" w:rsidRPr="00DA1FF3" w:rsidRDefault="00C06AE8" w:rsidP="00C06AE8">
            <w:pPr>
              <w:pStyle w:val="Tablebullet1"/>
            </w:pPr>
            <w:r w:rsidRPr="00DA1FF3">
              <w:t>Covariates used and how they were included in the model</w:t>
            </w:r>
          </w:p>
          <w:p w14:paraId="1DB4B946" w14:textId="580BEAC0" w:rsidR="00C06AE8" w:rsidRPr="00DA1FF3" w:rsidRDefault="00C06AE8" w:rsidP="00C06AE8">
            <w:pPr>
              <w:pStyle w:val="Tablebullet1"/>
            </w:pPr>
            <w:r w:rsidRPr="00DA1FF3">
              <w:t xml:space="preserve">Propensity score distribution before and after adjustments </w:t>
            </w:r>
            <w:r w:rsidR="00CF10E3">
              <w:t xml:space="preserve">(for example, </w:t>
            </w:r>
            <w:proofErr w:type="gramStart"/>
            <w:r w:rsidRPr="00DA1FF3">
              <w:t>pre</w:t>
            </w:r>
            <w:proofErr w:type="gramEnd"/>
            <w:r w:rsidRPr="00DA1FF3">
              <w:t xml:space="preserve"> and post-matching</w:t>
            </w:r>
            <w:r w:rsidR="00CF10E3">
              <w:t>)</w:t>
            </w:r>
          </w:p>
          <w:p w14:paraId="393482E7" w14:textId="77777777" w:rsidR="00C06AE8" w:rsidRPr="00DA1FF3" w:rsidRDefault="00C06AE8" w:rsidP="00C06AE8">
            <w:pPr>
              <w:pStyle w:val="Tablebullet1"/>
            </w:pPr>
            <w:r w:rsidRPr="00DA1FF3">
              <w:t xml:space="preserve">N/% contributing to matched, trimmed, </w:t>
            </w:r>
            <w:proofErr w:type="gramStart"/>
            <w:r w:rsidRPr="00DA1FF3">
              <w:t>truncated</w:t>
            </w:r>
            <w:proofErr w:type="gramEnd"/>
            <w:r w:rsidRPr="00DA1FF3">
              <w:t xml:space="preserve"> or weighted analyses</w:t>
            </w:r>
          </w:p>
          <w:p w14:paraId="16E94000" w14:textId="77777777" w:rsidR="00C06AE8" w:rsidRDefault="00C06AE8" w:rsidP="00C06AE8">
            <w:pPr>
              <w:pStyle w:val="Tablebullet1"/>
            </w:pPr>
            <w:r w:rsidRPr="00DA1FF3">
              <w:t xml:space="preserve">Diagnostic checks for any statistical analysis </w:t>
            </w:r>
            <w:r w:rsidR="00D637E5">
              <w:t>done</w:t>
            </w:r>
          </w:p>
          <w:p w14:paraId="09A2D088" w14:textId="54139879" w:rsidR="00D73F13" w:rsidRPr="00DA1FF3" w:rsidRDefault="00D73F13" w:rsidP="00C06AE8">
            <w:pPr>
              <w:pStyle w:val="Tablebullet1"/>
            </w:pPr>
            <w:r>
              <w:t xml:space="preserve">See </w:t>
            </w:r>
            <w:hyperlink r:id="rId32" w:history="1">
              <w:proofErr w:type="spellStart"/>
              <w:r w:rsidRPr="00D73F13">
                <w:rPr>
                  <w:rStyle w:val="Hyperlink"/>
                </w:rPr>
                <w:t>Tazare</w:t>
              </w:r>
              <w:proofErr w:type="spellEnd"/>
              <w:r w:rsidRPr="00D73F13">
                <w:rPr>
                  <w:rStyle w:val="Hyperlink"/>
                </w:rPr>
                <w:t xml:space="preserve"> et al. 2022</w:t>
              </w:r>
            </w:hyperlink>
            <w:r>
              <w:t xml:space="preserve"> for reporting of high-dimensional propensity score models </w:t>
            </w:r>
          </w:p>
        </w:tc>
      </w:tr>
      <w:tr w:rsidR="00C06AE8" w:rsidRPr="00DA1FF3" w14:paraId="64D671D7" w14:textId="4626B7D7" w:rsidTr="00E638EE">
        <w:tc>
          <w:tcPr>
            <w:tcW w:w="1613" w:type="dxa"/>
          </w:tcPr>
          <w:p w14:paraId="75C01B43" w14:textId="46F7F362" w:rsidR="00C06AE8" w:rsidRPr="00DA1FF3" w:rsidRDefault="00C06AE8" w:rsidP="00C06AE8">
            <w:pPr>
              <w:pStyle w:val="Tabletext"/>
            </w:pPr>
            <w:r w:rsidRPr="00DA1FF3">
              <w:t>Propensity score (stratification)</w:t>
            </w:r>
          </w:p>
        </w:tc>
        <w:tc>
          <w:tcPr>
            <w:tcW w:w="2777" w:type="dxa"/>
          </w:tcPr>
          <w:p w14:paraId="4BCBCF24" w14:textId="558DE1A6" w:rsidR="00C06AE8" w:rsidRPr="00DA1FF3" w:rsidRDefault="00C06AE8" w:rsidP="00C06AE8">
            <w:pPr>
              <w:pStyle w:val="Tabletext"/>
              <w:rPr>
                <w:color w:val="004650" w:themeColor="text2"/>
              </w:rPr>
            </w:pPr>
            <w:r w:rsidRPr="00DA1FF3">
              <w:t>Patients grouped into strata (</w:t>
            </w:r>
            <w:r w:rsidR="00CF10E3">
              <w:t>for example</w:t>
            </w:r>
            <w:r w:rsidRPr="00DA1FF3">
              <w:t>, deciles) based on propensity score and stratum-specific effects aggregated</w:t>
            </w:r>
          </w:p>
        </w:tc>
        <w:tc>
          <w:tcPr>
            <w:tcW w:w="4626" w:type="dxa"/>
          </w:tcPr>
          <w:p w14:paraId="195B5E64" w14:textId="77777777" w:rsidR="00C06AE8" w:rsidRPr="00DA1FF3" w:rsidRDefault="00C06AE8" w:rsidP="00C06AE8">
            <w:pPr>
              <w:pStyle w:val="Tablebullet1"/>
            </w:pPr>
            <w:r w:rsidRPr="00DA1FF3">
              <w:t>How strata are defined</w:t>
            </w:r>
          </w:p>
          <w:p w14:paraId="6140E47D" w14:textId="77777777" w:rsidR="00C06AE8" w:rsidRPr="00DA1FF3" w:rsidRDefault="00C06AE8" w:rsidP="00C06AE8">
            <w:pPr>
              <w:pStyle w:val="Tablebullet1"/>
            </w:pPr>
            <w:r w:rsidRPr="00DA1FF3">
              <w:t>Trimming and whether applied before or after strata defined</w:t>
            </w:r>
          </w:p>
          <w:p w14:paraId="5667830E" w14:textId="118A782A" w:rsidR="00C06AE8" w:rsidRPr="00DA1FF3" w:rsidRDefault="00C06AE8" w:rsidP="00C06AE8">
            <w:pPr>
              <w:pStyle w:val="Tablebullet1"/>
            </w:pPr>
            <w:r w:rsidRPr="00DA1FF3">
              <w:lastRenderedPageBreak/>
              <w:t>Tables for stratified population characteristics</w:t>
            </w:r>
          </w:p>
        </w:tc>
      </w:tr>
      <w:tr w:rsidR="00C06AE8" w:rsidRPr="00DA1FF3" w14:paraId="6F7C0542" w14:textId="5C1B82A8" w:rsidTr="00E638EE">
        <w:tc>
          <w:tcPr>
            <w:tcW w:w="1613" w:type="dxa"/>
          </w:tcPr>
          <w:p w14:paraId="11DA362D" w14:textId="1DEE17B5" w:rsidR="00C06AE8" w:rsidRPr="00DA1FF3" w:rsidRDefault="00C06AE8" w:rsidP="00C06AE8">
            <w:pPr>
              <w:pStyle w:val="Tabletext"/>
            </w:pPr>
            <w:r w:rsidRPr="00DA1FF3">
              <w:lastRenderedPageBreak/>
              <w:t>Propensity score (weighting)</w:t>
            </w:r>
          </w:p>
        </w:tc>
        <w:tc>
          <w:tcPr>
            <w:tcW w:w="2777" w:type="dxa"/>
          </w:tcPr>
          <w:p w14:paraId="3CC1BCFD" w14:textId="135CFDC1" w:rsidR="00C06AE8" w:rsidRPr="00DA1FF3" w:rsidRDefault="00C06AE8" w:rsidP="00C06AE8">
            <w:pPr>
              <w:pStyle w:val="Tabletext"/>
            </w:pPr>
            <w:r w:rsidRPr="00DA1FF3">
              <w:t xml:space="preserve">Weights attached to individuals based on inverse of propensity scores </w:t>
            </w:r>
          </w:p>
        </w:tc>
        <w:tc>
          <w:tcPr>
            <w:tcW w:w="4626" w:type="dxa"/>
          </w:tcPr>
          <w:p w14:paraId="232EC560" w14:textId="77777777" w:rsidR="00C06AE8" w:rsidRPr="00DA1FF3" w:rsidRDefault="00C06AE8" w:rsidP="00C06AE8">
            <w:pPr>
              <w:pStyle w:val="Tablebullet1"/>
            </w:pPr>
            <w:r w:rsidRPr="00DA1FF3">
              <w:t>How weights are calculated</w:t>
            </w:r>
          </w:p>
          <w:p w14:paraId="5456A999" w14:textId="5D4B3EE9" w:rsidR="00C06AE8" w:rsidRPr="00DA1FF3" w:rsidRDefault="00C06AE8" w:rsidP="00C06AE8">
            <w:pPr>
              <w:pStyle w:val="Tablebullet1"/>
            </w:pPr>
            <w:r w:rsidRPr="00DA1FF3">
              <w:t xml:space="preserve">Whether and how weights are trimmed, </w:t>
            </w:r>
            <w:proofErr w:type="gramStart"/>
            <w:r w:rsidRPr="00DA1FF3">
              <w:t>truncated</w:t>
            </w:r>
            <w:proofErr w:type="gramEnd"/>
            <w:r w:rsidRPr="00DA1FF3">
              <w:t xml:space="preserve"> or stabilised</w:t>
            </w:r>
          </w:p>
          <w:p w14:paraId="1BB5357D" w14:textId="77777777" w:rsidR="00C06AE8" w:rsidRPr="00DA1FF3" w:rsidRDefault="00C06AE8" w:rsidP="00C06AE8">
            <w:pPr>
              <w:pStyle w:val="Tablebullet1"/>
            </w:pPr>
            <w:r w:rsidRPr="00DA1FF3">
              <w:t>Tables for unweighted and weighted population characteristics</w:t>
            </w:r>
          </w:p>
          <w:p w14:paraId="26704751" w14:textId="11D1CD43" w:rsidR="00C06AE8" w:rsidRPr="00DA1FF3" w:rsidRDefault="00C06AE8" w:rsidP="00C06AE8">
            <w:pPr>
              <w:pStyle w:val="Tablebullet1"/>
            </w:pPr>
            <w:r w:rsidRPr="00DA1FF3">
              <w:t>Mean and distribution of weights</w:t>
            </w:r>
          </w:p>
        </w:tc>
      </w:tr>
      <w:tr w:rsidR="00C06AE8" w:rsidRPr="00DA1FF3" w14:paraId="1D716DB5" w14:textId="3C6CB190" w:rsidTr="00E638EE">
        <w:tc>
          <w:tcPr>
            <w:tcW w:w="1613" w:type="dxa"/>
          </w:tcPr>
          <w:p w14:paraId="03E29C88" w14:textId="5653AADB" w:rsidR="00C06AE8" w:rsidRPr="00DA1FF3" w:rsidRDefault="00C06AE8" w:rsidP="00C06AE8">
            <w:pPr>
              <w:pStyle w:val="Tabletext"/>
            </w:pPr>
            <w:r w:rsidRPr="00DA1FF3">
              <w:t>Propensity score (matching)</w:t>
            </w:r>
          </w:p>
        </w:tc>
        <w:tc>
          <w:tcPr>
            <w:tcW w:w="2777" w:type="dxa"/>
          </w:tcPr>
          <w:p w14:paraId="279BC215" w14:textId="62CE8406" w:rsidR="00C06AE8" w:rsidRPr="00DA1FF3" w:rsidRDefault="00C06AE8" w:rsidP="00C06AE8">
            <w:pPr>
              <w:pStyle w:val="Tabletext"/>
              <w:rPr>
                <w:color w:val="004650" w:themeColor="text2"/>
              </w:rPr>
            </w:pPr>
            <w:r w:rsidRPr="00DA1FF3">
              <w:t xml:space="preserve">Matches individuals with similar propensity scores </w:t>
            </w:r>
          </w:p>
        </w:tc>
        <w:tc>
          <w:tcPr>
            <w:tcW w:w="4626" w:type="dxa"/>
          </w:tcPr>
          <w:p w14:paraId="6A7EBE7E" w14:textId="77777777" w:rsidR="00C06AE8" w:rsidRPr="00DA1FF3" w:rsidRDefault="00C06AE8" w:rsidP="00BF7CF2">
            <w:pPr>
              <w:pStyle w:val="Tablebullet1"/>
            </w:pPr>
            <w:r w:rsidRPr="00DA1FF3">
              <w:t xml:space="preserve">Matching algorithm used </w:t>
            </w:r>
            <w:proofErr w:type="gramStart"/>
            <w:r w:rsidRPr="00DA1FF3">
              <w:t>including</w:t>
            </w:r>
            <w:proofErr w:type="gramEnd"/>
            <w:r w:rsidRPr="00DA1FF3">
              <w:t xml:space="preserve"> </w:t>
            </w:r>
            <w:proofErr w:type="spellStart"/>
            <w:r w:rsidRPr="00DA1FF3">
              <w:t>caliper</w:t>
            </w:r>
            <w:proofErr w:type="spellEnd"/>
            <w:r w:rsidRPr="00DA1FF3">
              <w:t xml:space="preserve"> and scale</w:t>
            </w:r>
          </w:p>
          <w:p w14:paraId="1B5ED8D8" w14:textId="6B6551A3" w:rsidR="00C06AE8" w:rsidRPr="00DA1FF3" w:rsidRDefault="00C06AE8" w:rsidP="00BF7CF2">
            <w:pPr>
              <w:pStyle w:val="Tablebullet1"/>
            </w:pPr>
            <w:r w:rsidRPr="00DA1FF3">
              <w:t>Matching ratio (</w:t>
            </w:r>
            <w:r w:rsidR="00F94752">
              <w:t>such as</w:t>
            </w:r>
            <w:r w:rsidRPr="00DA1FF3">
              <w:t xml:space="preserve"> fixed 1:1</w:t>
            </w:r>
            <w:r w:rsidR="00F94752">
              <w:t xml:space="preserve"> or</w:t>
            </w:r>
            <w:r w:rsidRPr="00DA1FF3">
              <w:t xml:space="preserve"> variable 1:5)</w:t>
            </w:r>
          </w:p>
          <w:p w14:paraId="30E4B190" w14:textId="20B18D9E" w:rsidR="00C06AE8" w:rsidRPr="00DA1FF3" w:rsidRDefault="00C06AE8" w:rsidP="00BF7CF2">
            <w:pPr>
              <w:pStyle w:val="Tablebullet1"/>
            </w:pPr>
            <w:r w:rsidRPr="00DA1FF3">
              <w:t>Tables for unmatched and matched population characteristics</w:t>
            </w:r>
          </w:p>
        </w:tc>
      </w:tr>
      <w:tr w:rsidR="00C06AE8" w:rsidRPr="00DA1FF3" w14:paraId="48652B1C" w14:textId="507CA965" w:rsidTr="00E638EE">
        <w:tc>
          <w:tcPr>
            <w:tcW w:w="1613" w:type="dxa"/>
          </w:tcPr>
          <w:p w14:paraId="238A7692" w14:textId="56978A22" w:rsidR="00C06AE8" w:rsidRPr="00DA1FF3" w:rsidRDefault="00BF7CF2" w:rsidP="0034027F">
            <w:pPr>
              <w:pStyle w:val="Tabletext"/>
            </w:pPr>
            <w:r w:rsidRPr="00DA1FF3">
              <w:t>Multivariable regression adjustment (incl</w:t>
            </w:r>
            <w:r w:rsidR="00923BAC">
              <w:t>udes</w:t>
            </w:r>
            <w:r w:rsidRPr="00DA1FF3">
              <w:t xml:space="preserve"> using propensity scores)</w:t>
            </w:r>
          </w:p>
        </w:tc>
        <w:tc>
          <w:tcPr>
            <w:tcW w:w="2777" w:type="dxa"/>
          </w:tcPr>
          <w:p w14:paraId="11F39343" w14:textId="044D06D7" w:rsidR="00C06AE8" w:rsidRPr="00DA1FF3" w:rsidRDefault="00BF7CF2" w:rsidP="0034027F">
            <w:pPr>
              <w:pStyle w:val="Tabletext"/>
              <w:keepNext/>
              <w:rPr>
                <w:color w:val="004650" w:themeColor="text2"/>
              </w:rPr>
            </w:pPr>
            <w:r w:rsidRPr="00DA1FF3">
              <w:t>Statistical models comparing outcomes as a function of the intervention and covariates</w:t>
            </w:r>
          </w:p>
        </w:tc>
        <w:tc>
          <w:tcPr>
            <w:tcW w:w="4626" w:type="dxa"/>
          </w:tcPr>
          <w:p w14:paraId="541800D4" w14:textId="623B8AEF" w:rsidR="00BF7CF2" w:rsidRPr="00DA1FF3" w:rsidRDefault="00BF7CF2" w:rsidP="00BF7CF2">
            <w:pPr>
              <w:pStyle w:val="Tablebullet1"/>
            </w:pPr>
            <w:r w:rsidRPr="00DA1FF3">
              <w:t>Type of model (</w:t>
            </w:r>
            <w:r w:rsidR="00F94752">
              <w:t>such as</w:t>
            </w:r>
            <w:r w:rsidRPr="00DA1FF3">
              <w:t xml:space="preserve"> linear regression</w:t>
            </w:r>
            <w:r w:rsidR="00F94752">
              <w:t xml:space="preserve"> or</w:t>
            </w:r>
            <w:r w:rsidRPr="00DA1FF3">
              <w:t xml:space="preserve"> Poisson)</w:t>
            </w:r>
          </w:p>
          <w:p w14:paraId="37E49DCE" w14:textId="77777777" w:rsidR="00BF7CF2" w:rsidRPr="00DA1FF3" w:rsidRDefault="00BF7CF2" w:rsidP="00BF7CF2">
            <w:pPr>
              <w:pStyle w:val="Tablebullet1"/>
            </w:pPr>
            <w:r w:rsidRPr="00DA1FF3">
              <w:t>Covariates used and how they were included</w:t>
            </w:r>
          </w:p>
          <w:p w14:paraId="597B577D" w14:textId="5886CB0A" w:rsidR="00C06AE8" w:rsidRPr="00DA1FF3" w:rsidRDefault="00BF7CF2" w:rsidP="00BF7CF2">
            <w:pPr>
              <w:pStyle w:val="Tablebullet1"/>
            </w:pPr>
            <w:r w:rsidRPr="00DA1FF3">
              <w:t>Diagnostic checks</w:t>
            </w:r>
          </w:p>
        </w:tc>
      </w:tr>
      <w:tr w:rsidR="00BF7CF2" w:rsidRPr="00DA1FF3" w14:paraId="15485E10" w14:textId="77777777" w:rsidTr="00E638EE">
        <w:tc>
          <w:tcPr>
            <w:tcW w:w="1613" w:type="dxa"/>
          </w:tcPr>
          <w:p w14:paraId="15B151F5" w14:textId="63A97834" w:rsidR="00BF7CF2" w:rsidRPr="00DA1FF3" w:rsidRDefault="00BF7CF2" w:rsidP="0034027F">
            <w:pPr>
              <w:pStyle w:val="Tabletext"/>
            </w:pPr>
            <w:r w:rsidRPr="00DA1FF3">
              <w:t>Instrumental variable regression</w:t>
            </w:r>
          </w:p>
        </w:tc>
        <w:tc>
          <w:tcPr>
            <w:tcW w:w="2777" w:type="dxa"/>
          </w:tcPr>
          <w:p w14:paraId="4EA1D9CD" w14:textId="777554B4" w:rsidR="00BF7CF2" w:rsidRPr="00DA1FF3" w:rsidRDefault="00BF7CF2" w:rsidP="0034027F">
            <w:pPr>
              <w:pStyle w:val="Tabletext"/>
              <w:keepNext/>
              <w:rPr>
                <w:color w:val="004650" w:themeColor="text2"/>
              </w:rPr>
            </w:pPr>
            <w:r w:rsidRPr="00DA1FF3">
              <w:t>Use of an exogenous source of variation that influences exposure but with no independent effect on the outcome as an instrument</w:t>
            </w:r>
          </w:p>
        </w:tc>
        <w:tc>
          <w:tcPr>
            <w:tcW w:w="4626" w:type="dxa"/>
          </w:tcPr>
          <w:p w14:paraId="6BE3404F" w14:textId="53825656" w:rsidR="00BF7CF2" w:rsidRPr="00DA1FF3" w:rsidRDefault="00BF7CF2" w:rsidP="00BF7CF2">
            <w:pPr>
              <w:pStyle w:val="Tablebullet1"/>
            </w:pPr>
            <w:r w:rsidRPr="00DA1FF3">
              <w:t>Model used (</w:t>
            </w:r>
            <w:r w:rsidR="00F94752">
              <w:t>for example</w:t>
            </w:r>
            <w:r w:rsidRPr="00DA1FF3">
              <w:t>, 2-stage least squares)</w:t>
            </w:r>
          </w:p>
          <w:p w14:paraId="0826FF87" w14:textId="77777777" w:rsidR="00BF7CF2" w:rsidRPr="00DA1FF3" w:rsidRDefault="00BF7CF2" w:rsidP="00BF7CF2">
            <w:pPr>
              <w:pStyle w:val="Tablebullet1"/>
            </w:pPr>
            <w:r w:rsidRPr="00DA1FF3">
              <w:t>Diagnostic checks</w:t>
            </w:r>
          </w:p>
          <w:p w14:paraId="5B259603" w14:textId="77777777" w:rsidR="00BF7CF2" w:rsidRPr="00DA1FF3" w:rsidRDefault="00BF7CF2" w:rsidP="00BF7CF2">
            <w:pPr>
              <w:pStyle w:val="Tablebullet1"/>
            </w:pPr>
            <w:r w:rsidRPr="00DA1FF3">
              <w:t>Table with distribution of population characteristics across levels of instrument</w:t>
            </w:r>
          </w:p>
          <w:p w14:paraId="4BF8E53A" w14:textId="77777777" w:rsidR="00BF7CF2" w:rsidRPr="00DA1FF3" w:rsidRDefault="00BF7CF2" w:rsidP="00BF7CF2">
            <w:pPr>
              <w:pStyle w:val="Tablebullet1"/>
            </w:pPr>
            <w:r w:rsidRPr="00DA1FF3">
              <w:t>Table with distribution of outcomes across levels of instruments</w:t>
            </w:r>
          </w:p>
          <w:p w14:paraId="267ED0BE" w14:textId="2AFDD0BB" w:rsidR="00BF7CF2" w:rsidRPr="00DA1FF3" w:rsidRDefault="00BF7CF2" w:rsidP="00BF7CF2">
            <w:pPr>
              <w:pStyle w:val="Tablebullet1"/>
            </w:pPr>
            <w:r w:rsidRPr="00DA1FF3">
              <w:t xml:space="preserve">Strength of association between instrument and exposure </w:t>
            </w:r>
          </w:p>
          <w:p w14:paraId="322D7759" w14:textId="663D63A2" w:rsidR="00BF7CF2" w:rsidRPr="00DA1FF3" w:rsidRDefault="00BF7CF2" w:rsidP="00BF7CF2">
            <w:pPr>
              <w:pStyle w:val="Tablebullet1"/>
            </w:pPr>
            <w:r w:rsidRPr="00DA1FF3">
              <w:t>Results of falsification tests</w:t>
            </w:r>
          </w:p>
        </w:tc>
      </w:tr>
    </w:tbl>
    <w:p w14:paraId="4D50CB44" w14:textId="1D6E8CA1" w:rsidR="00FB7602" w:rsidRPr="003C2A02" w:rsidRDefault="00FB7602" w:rsidP="003C2A02"/>
    <w:sectPr w:rsidR="00FB7602" w:rsidRPr="003C2A02" w:rsidSect="00FC0B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6762" w14:textId="77777777" w:rsidR="00931110" w:rsidRDefault="00931110" w:rsidP="00446BEE">
      <w:r>
        <w:separator/>
      </w:r>
    </w:p>
    <w:p w14:paraId="265CF08C" w14:textId="77777777" w:rsidR="00931110" w:rsidRDefault="00931110"/>
    <w:p w14:paraId="5684EB72" w14:textId="77777777" w:rsidR="00931110" w:rsidRDefault="00931110"/>
  </w:endnote>
  <w:endnote w:type="continuationSeparator" w:id="0">
    <w:p w14:paraId="4E98FF43" w14:textId="77777777" w:rsidR="00931110" w:rsidRDefault="00931110" w:rsidP="00446BEE">
      <w:r>
        <w:continuationSeparator/>
      </w:r>
    </w:p>
    <w:p w14:paraId="5E8596C3" w14:textId="77777777" w:rsidR="00931110" w:rsidRDefault="00931110"/>
    <w:p w14:paraId="45F5A67C" w14:textId="77777777" w:rsidR="00931110" w:rsidRDefault="00931110"/>
  </w:endnote>
  <w:endnote w:type="continuationNotice" w:id="1">
    <w:p w14:paraId="414FF9AD" w14:textId="77777777" w:rsidR="00931110" w:rsidRDefault="0093111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14CF" w14:textId="77777777" w:rsidR="007347A7" w:rsidRDefault="007347A7">
    <w:pPr>
      <w:pStyle w:val="Footer"/>
    </w:pPr>
    <w:r>
      <w:t>NICE real-world evidence framework</w:t>
    </w:r>
    <w:r w:rsidRPr="00FF6449">
      <w:tab/>
    </w:r>
    <w:r w:rsidRPr="00FF6449">
      <w:tab/>
    </w:r>
    <w:r w:rsidRPr="00FF6449">
      <w:fldChar w:fldCharType="begin"/>
    </w:r>
    <w:r w:rsidRPr="00FF6449">
      <w:instrText xml:space="preserve"> PAGE </w:instrText>
    </w:r>
    <w:r w:rsidRPr="00FF6449">
      <w:fldChar w:fldCharType="separate"/>
    </w:r>
    <w:r>
      <w:rPr>
        <w:noProof/>
      </w:rPr>
      <w:t>1</w:t>
    </w:r>
    <w:r w:rsidRPr="00FF6449">
      <w:fldChar w:fldCharType="end"/>
    </w:r>
    <w:r w:rsidRPr="00FF6449">
      <w:t xml:space="preserve"> of </w:t>
    </w:r>
    <w:r>
      <w:fldChar w:fldCharType="begin"/>
    </w:r>
    <w:r>
      <w:instrText>NUMPAGES</w:instrText>
    </w:r>
    <w:r>
      <w:fldChar w:fldCharType="separate"/>
    </w:r>
    <w:r>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AB26" w14:textId="77777777" w:rsidR="0034027F" w:rsidRDefault="00155B06">
    <w:pPr>
      <w:pStyle w:val="Footer"/>
    </w:pPr>
    <w:r>
      <w:t>NICE real-world evidence framework</w:t>
    </w:r>
    <w:r w:rsidRPr="00FF6449">
      <w:tab/>
    </w:r>
    <w:r w:rsidRPr="00FF6449">
      <w:tab/>
    </w:r>
    <w:r w:rsidRPr="00FF6449">
      <w:fldChar w:fldCharType="begin"/>
    </w:r>
    <w:r w:rsidRPr="00FF6449">
      <w:instrText xml:space="preserve"> PAGE </w:instrText>
    </w:r>
    <w:r w:rsidRPr="00FF6449">
      <w:fldChar w:fldCharType="separate"/>
    </w:r>
    <w:r>
      <w:rPr>
        <w:noProof/>
      </w:rPr>
      <w:t>1</w:t>
    </w:r>
    <w:r w:rsidRPr="00FF6449">
      <w:fldChar w:fldCharType="end"/>
    </w:r>
    <w:r w:rsidRPr="00FF6449">
      <w:t xml:space="preserve"> of </w:t>
    </w:r>
    <w:r>
      <w:fldChar w:fldCharType="begin"/>
    </w:r>
    <w:r>
      <w:instrText>NUMPAGES</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060F" w14:textId="77777777" w:rsidR="00931110" w:rsidRDefault="00931110" w:rsidP="00446BEE">
      <w:r>
        <w:separator/>
      </w:r>
    </w:p>
    <w:p w14:paraId="5E874BA2" w14:textId="77777777" w:rsidR="00931110" w:rsidRDefault="00931110"/>
    <w:p w14:paraId="076D6C0F" w14:textId="77777777" w:rsidR="00931110" w:rsidRDefault="00931110"/>
  </w:footnote>
  <w:footnote w:type="continuationSeparator" w:id="0">
    <w:p w14:paraId="57CB9BCE" w14:textId="77777777" w:rsidR="00931110" w:rsidRDefault="00931110" w:rsidP="00446BEE">
      <w:r>
        <w:continuationSeparator/>
      </w:r>
    </w:p>
    <w:p w14:paraId="39251384" w14:textId="77777777" w:rsidR="00931110" w:rsidRDefault="00931110"/>
    <w:p w14:paraId="5E6A7516" w14:textId="77777777" w:rsidR="00931110" w:rsidRDefault="00931110"/>
  </w:footnote>
  <w:footnote w:type="continuationNotice" w:id="1">
    <w:p w14:paraId="5A960A04" w14:textId="77777777" w:rsidR="00931110" w:rsidRDefault="0093111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2164"/>
    <w:multiLevelType w:val="hybridMultilevel"/>
    <w:tmpl w:val="FF5E4B8E"/>
    <w:lvl w:ilvl="0" w:tplc="1F041D64">
      <w:start w:val="1"/>
      <w:numFmt w:val="bullet"/>
      <w:pStyle w:val="Bullet1"/>
      <w:lvlText w:val=""/>
      <w:lvlJc w:val="left"/>
      <w:pPr>
        <w:ind w:left="1004" w:hanging="360"/>
      </w:pPr>
      <w:rPr>
        <w:rFonts w:ascii="Symbol" w:hAnsi="Symbol"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5832E86"/>
    <w:multiLevelType w:val="hybridMultilevel"/>
    <w:tmpl w:val="52F6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86F5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4022B6"/>
    <w:multiLevelType w:val="hybridMultilevel"/>
    <w:tmpl w:val="9BBC20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0232F62"/>
    <w:multiLevelType w:val="multilevel"/>
    <w:tmpl w:val="227EBBAE"/>
    <w:styleLink w:val="Bodybullet"/>
    <w:lvl w:ilvl="0">
      <w:start w:val="1"/>
      <w:numFmt w:val="bullet"/>
      <w:lvlText w:val="●"/>
      <w:lvlJc w:val="left"/>
      <w:pPr>
        <w:tabs>
          <w:tab w:val="num" w:pos="284"/>
        </w:tabs>
        <w:ind w:left="567" w:hanging="283"/>
      </w:pPr>
      <w:rPr>
        <w:rFonts w:ascii="Lato" w:hAnsi="Lato" w:hint="default"/>
        <w:color w:val="auto"/>
      </w:rPr>
    </w:lvl>
    <w:lvl w:ilvl="1">
      <w:start w:val="1"/>
      <w:numFmt w:val="bullet"/>
      <w:lvlText w:val="–"/>
      <w:lvlJc w:val="left"/>
      <w:pPr>
        <w:tabs>
          <w:tab w:val="num" w:pos="568"/>
        </w:tabs>
        <w:ind w:left="851" w:hanging="283"/>
      </w:pPr>
      <w:rPr>
        <w:rFonts w:ascii="Lato" w:hAnsi="Lato" w:hint="default"/>
      </w:rPr>
    </w:lvl>
    <w:lvl w:ilvl="2">
      <w:start w:val="1"/>
      <w:numFmt w:val="bullet"/>
      <w:lvlText w:val="◊"/>
      <w:lvlJc w:val="left"/>
      <w:pPr>
        <w:tabs>
          <w:tab w:val="num" w:pos="852"/>
        </w:tabs>
        <w:ind w:left="1135" w:hanging="283"/>
      </w:pPr>
      <w:rPr>
        <w:rFonts w:ascii="Lato" w:hAnsi="Lato" w:hint="default"/>
        <w:color w:val="auto"/>
      </w:rPr>
    </w:lvl>
    <w:lvl w:ilvl="3">
      <w:start w:val="1"/>
      <w:numFmt w:val="decimal"/>
      <w:lvlText w:val="(%4)"/>
      <w:lvlJc w:val="left"/>
      <w:pPr>
        <w:tabs>
          <w:tab w:val="num" w:pos="1136"/>
        </w:tabs>
        <w:ind w:left="1419" w:hanging="283"/>
      </w:pPr>
      <w:rPr>
        <w:rFonts w:hint="default"/>
      </w:rPr>
    </w:lvl>
    <w:lvl w:ilvl="4">
      <w:start w:val="1"/>
      <w:numFmt w:val="lowerLetter"/>
      <w:lvlText w:val="(%5)"/>
      <w:lvlJc w:val="left"/>
      <w:pPr>
        <w:tabs>
          <w:tab w:val="num" w:pos="1420"/>
        </w:tabs>
        <w:ind w:left="1703" w:hanging="283"/>
      </w:pPr>
      <w:rPr>
        <w:rFonts w:hint="default"/>
      </w:rPr>
    </w:lvl>
    <w:lvl w:ilvl="5">
      <w:start w:val="1"/>
      <w:numFmt w:val="lowerRoman"/>
      <w:lvlText w:val="(%6)"/>
      <w:lvlJc w:val="left"/>
      <w:pPr>
        <w:tabs>
          <w:tab w:val="num" w:pos="1704"/>
        </w:tabs>
        <w:ind w:left="1987" w:hanging="283"/>
      </w:pPr>
      <w:rPr>
        <w:rFonts w:hint="default"/>
      </w:rPr>
    </w:lvl>
    <w:lvl w:ilvl="6">
      <w:start w:val="1"/>
      <w:numFmt w:val="decimal"/>
      <w:lvlText w:val="%7."/>
      <w:lvlJc w:val="left"/>
      <w:pPr>
        <w:tabs>
          <w:tab w:val="num" w:pos="1988"/>
        </w:tabs>
        <w:ind w:left="2271" w:hanging="283"/>
      </w:pPr>
      <w:rPr>
        <w:rFonts w:hint="default"/>
      </w:rPr>
    </w:lvl>
    <w:lvl w:ilvl="7">
      <w:start w:val="1"/>
      <w:numFmt w:val="lowerLetter"/>
      <w:lvlText w:val="%8."/>
      <w:lvlJc w:val="left"/>
      <w:pPr>
        <w:tabs>
          <w:tab w:val="num" w:pos="2272"/>
        </w:tabs>
        <w:ind w:left="2555" w:hanging="283"/>
      </w:pPr>
      <w:rPr>
        <w:rFonts w:hint="default"/>
      </w:rPr>
    </w:lvl>
    <w:lvl w:ilvl="8">
      <w:start w:val="1"/>
      <w:numFmt w:val="lowerRoman"/>
      <w:lvlText w:val="%9."/>
      <w:lvlJc w:val="left"/>
      <w:pPr>
        <w:tabs>
          <w:tab w:val="num" w:pos="2556"/>
        </w:tabs>
        <w:ind w:left="2839" w:hanging="283"/>
      </w:pPr>
      <w:rPr>
        <w:rFonts w:hint="default"/>
      </w:rPr>
    </w:lvl>
  </w:abstractNum>
  <w:abstractNum w:abstractNumId="5" w15:restartNumberingAfterBreak="0">
    <w:nsid w:val="120D39CA"/>
    <w:multiLevelType w:val="hybridMultilevel"/>
    <w:tmpl w:val="5D1EAF1C"/>
    <w:lvl w:ilvl="0" w:tplc="FB209956">
      <w:start w:val="1"/>
      <w:numFmt w:val="bullet"/>
      <w:pStyle w:val="Tablebullet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412337E"/>
    <w:multiLevelType w:val="multilevel"/>
    <w:tmpl w:val="E518526A"/>
    <w:styleLink w:val="ESreviewquestionLIST"/>
    <w:lvl w:ilvl="0">
      <w:start w:val="1"/>
      <w:numFmt w:val="decimalZero"/>
      <w:lvlText w:val="XXX - %1"/>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F43F00"/>
    <w:multiLevelType w:val="hybridMultilevel"/>
    <w:tmpl w:val="BFACE18E"/>
    <w:lvl w:ilvl="0" w:tplc="951267A0">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EC407C9"/>
    <w:multiLevelType w:val="multilevel"/>
    <w:tmpl w:val="2898A0B4"/>
    <w:lvl w:ilvl="0">
      <w:start w:val="1"/>
      <w:numFmt w:val="bullet"/>
      <w:pStyle w:val="Indentedbullet1"/>
      <w:lvlText w:val="●"/>
      <w:lvlJc w:val="left"/>
      <w:pPr>
        <w:tabs>
          <w:tab w:val="num" w:pos="1986"/>
        </w:tabs>
        <w:ind w:left="2269" w:hanging="283"/>
      </w:pPr>
      <w:rPr>
        <w:rFonts w:ascii="Lato" w:hAnsi="Lato" w:hint="default"/>
        <w:color w:val="auto"/>
      </w:rPr>
    </w:lvl>
    <w:lvl w:ilvl="1">
      <w:start w:val="1"/>
      <w:numFmt w:val="bullet"/>
      <w:pStyle w:val="Indentedbullet2"/>
      <w:lvlText w:val="–"/>
      <w:lvlJc w:val="left"/>
      <w:pPr>
        <w:tabs>
          <w:tab w:val="num" w:pos="2326"/>
        </w:tabs>
        <w:ind w:left="2553" w:hanging="283"/>
      </w:pPr>
      <w:rPr>
        <w:rFonts w:ascii="Lato" w:hAnsi="Lato" w:hint="default"/>
      </w:rPr>
    </w:lvl>
    <w:lvl w:ilvl="2">
      <w:start w:val="1"/>
      <w:numFmt w:val="bullet"/>
      <w:pStyle w:val="Indentedbullet3"/>
      <w:lvlText w:val="◊"/>
      <w:lvlJc w:val="left"/>
      <w:pPr>
        <w:tabs>
          <w:tab w:val="num" w:pos="2552"/>
        </w:tabs>
        <w:ind w:left="2837" w:hanging="283"/>
      </w:pPr>
      <w:rPr>
        <w:rFonts w:ascii="Lato" w:hAnsi="Lato" w:hint="default"/>
        <w:color w:val="auto"/>
      </w:rPr>
    </w:lvl>
    <w:lvl w:ilvl="3">
      <w:start w:val="1"/>
      <w:numFmt w:val="decimal"/>
      <w:lvlText w:val="(%4)"/>
      <w:lvlJc w:val="left"/>
      <w:pPr>
        <w:tabs>
          <w:tab w:val="num" w:pos="2894"/>
        </w:tabs>
        <w:ind w:left="3121" w:hanging="283"/>
      </w:pPr>
      <w:rPr>
        <w:rFonts w:hint="default"/>
      </w:rPr>
    </w:lvl>
    <w:lvl w:ilvl="4">
      <w:start w:val="1"/>
      <w:numFmt w:val="lowerLetter"/>
      <w:lvlText w:val="(%5)"/>
      <w:lvlJc w:val="left"/>
      <w:pPr>
        <w:tabs>
          <w:tab w:val="num" w:pos="3178"/>
        </w:tabs>
        <w:ind w:left="3405" w:hanging="283"/>
      </w:pPr>
      <w:rPr>
        <w:rFonts w:hint="default"/>
      </w:rPr>
    </w:lvl>
    <w:lvl w:ilvl="5">
      <w:start w:val="1"/>
      <w:numFmt w:val="lowerRoman"/>
      <w:lvlText w:val="(%6)"/>
      <w:lvlJc w:val="left"/>
      <w:pPr>
        <w:tabs>
          <w:tab w:val="num" w:pos="3462"/>
        </w:tabs>
        <w:ind w:left="3689" w:hanging="283"/>
      </w:pPr>
      <w:rPr>
        <w:rFonts w:hint="default"/>
      </w:rPr>
    </w:lvl>
    <w:lvl w:ilvl="6">
      <w:start w:val="1"/>
      <w:numFmt w:val="decimal"/>
      <w:lvlText w:val="%7."/>
      <w:lvlJc w:val="left"/>
      <w:pPr>
        <w:tabs>
          <w:tab w:val="num" w:pos="3746"/>
        </w:tabs>
        <w:ind w:left="3973" w:hanging="283"/>
      </w:pPr>
      <w:rPr>
        <w:rFonts w:hint="default"/>
      </w:rPr>
    </w:lvl>
    <w:lvl w:ilvl="7">
      <w:start w:val="1"/>
      <w:numFmt w:val="lowerLetter"/>
      <w:lvlText w:val="%8."/>
      <w:lvlJc w:val="left"/>
      <w:pPr>
        <w:tabs>
          <w:tab w:val="num" w:pos="4030"/>
        </w:tabs>
        <w:ind w:left="4257" w:hanging="283"/>
      </w:pPr>
      <w:rPr>
        <w:rFonts w:hint="default"/>
      </w:rPr>
    </w:lvl>
    <w:lvl w:ilvl="8">
      <w:start w:val="1"/>
      <w:numFmt w:val="lowerRoman"/>
      <w:lvlText w:val="%9."/>
      <w:lvlJc w:val="left"/>
      <w:pPr>
        <w:tabs>
          <w:tab w:val="num" w:pos="4314"/>
        </w:tabs>
        <w:ind w:left="4541" w:hanging="283"/>
      </w:pPr>
      <w:rPr>
        <w:rFonts w:hint="default"/>
      </w:rPr>
    </w:lvl>
  </w:abstractNum>
  <w:abstractNum w:abstractNumId="9" w15:restartNumberingAfterBreak="0">
    <w:nsid w:val="2A15143D"/>
    <w:multiLevelType w:val="multilevel"/>
    <w:tmpl w:val="4AC24B42"/>
    <w:lvl w:ilvl="0">
      <w:start w:val="1"/>
      <w:numFmt w:val="bullet"/>
      <w:lvlText w:val=""/>
      <w:lvlJc w:val="left"/>
      <w:pPr>
        <w:tabs>
          <w:tab w:val="num" w:pos="-567"/>
        </w:tabs>
        <w:ind w:left="283" w:hanging="283"/>
      </w:pPr>
      <w:rPr>
        <w:rFonts w:ascii="Symbol" w:hAnsi="Symbol" w:hint="default"/>
        <w:color w:val="auto"/>
      </w:rPr>
    </w:lvl>
    <w:lvl w:ilvl="1">
      <w:start w:val="1"/>
      <w:numFmt w:val="bullet"/>
      <w:lvlText w:val=""/>
      <w:lvlJc w:val="left"/>
      <w:pPr>
        <w:tabs>
          <w:tab w:val="num" w:pos="-283"/>
        </w:tabs>
        <w:ind w:left="567" w:hanging="283"/>
      </w:pPr>
      <w:rPr>
        <w:rFonts w:ascii="Symbol" w:hAnsi="Symbol" w:hint="default"/>
      </w:rPr>
    </w:lvl>
    <w:lvl w:ilvl="2">
      <w:start w:val="1"/>
      <w:numFmt w:val="bullet"/>
      <w:lvlText w:val=""/>
      <w:lvlJc w:val="left"/>
      <w:pPr>
        <w:tabs>
          <w:tab w:val="num" w:pos="1"/>
        </w:tabs>
        <w:ind w:left="850" w:hanging="282"/>
      </w:pPr>
      <w:rPr>
        <w:rFonts w:ascii="Symbol" w:hAnsi="Symbol" w:hint="default"/>
        <w:color w:val="auto"/>
      </w:rPr>
    </w:lvl>
    <w:lvl w:ilvl="3">
      <w:start w:val="1"/>
      <w:numFmt w:val="decimal"/>
      <w:lvlText w:val="(%4)"/>
      <w:lvlJc w:val="left"/>
      <w:pPr>
        <w:tabs>
          <w:tab w:val="num" w:pos="285"/>
        </w:tabs>
        <w:ind w:left="285" w:firstLine="567"/>
      </w:pPr>
      <w:rPr>
        <w:rFonts w:hint="default"/>
      </w:rPr>
    </w:lvl>
    <w:lvl w:ilvl="4">
      <w:start w:val="1"/>
      <w:numFmt w:val="lowerLetter"/>
      <w:lvlText w:val="(%5)"/>
      <w:lvlJc w:val="left"/>
      <w:pPr>
        <w:tabs>
          <w:tab w:val="num" w:pos="569"/>
        </w:tabs>
        <w:ind w:left="569" w:firstLine="567"/>
      </w:pPr>
      <w:rPr>
        <w:rFonts w:hint="default"/>
      </w:rPr>
    </w:lvl>
    <w:lvl w:ilvl="5">
      <w:start w:val="1"/>
      <w:numFmt w:val="lowerRoman"/>
      <w:lvlText w:val="(%6)"/>
      <w:lvlJc w:val="left"/>
      <w:pPr>
        <w:tabs>
          <w:tab w:val="num" w:pos="853"/>
        </w:tabs>
        <w:ind w:left="853" w:firstLine="567"/>
      </w:pPr>
      <w:rPr>
        <w:rFonts w:hint="default"/>
      </w:rPr>
    </w:lvl>
    <w:lvl w:ilvl="6">
      <w:start w:val="1"/>
      <w:numFmt w:val="decimal"/>
      <w:lvlText w:val="%7."/>
      <w:lvlJc w:val="left"/>
      <w:pPr>
        <w:tabs>
          <w:tab w:val="num" w:pos="1137"/>
        </w:tabs>
        <w:ind w:left="1137" w:firstLine="567"/>
      </w:pPr>
      <w:rPr>
        <w:rFonts w:hint="default"/>
      </w:rPr>
    </w:lvl>
    <w:lvl w:ilvl="7">
      <w:start w:val="1"/>
      <w:numFmt w:val="lowerLetter"/>
      <w:lvlText w:val="%8."/>
      <w:lvlJc w:val="left"/>
      <w:pPr>
        <w:tabs>
          <w:tab w:val="num" w:pos="1421"/>
        </w:tabs>
        <w:ind w:left="1421" w:firstLine="567"/>
      </w:pPr>
      <w:rPr>
        <w:rFonts w:hint="default"/>
      </w:rPr>
    </w:lvl>
    <w:lvl w:ilvl="8">
      <w:start w:val="1"/>
      <w:numFmt w:val="lowerRoman"/>
      <w:lvlText w:val="%9."/>
      <w:lvlJc w:val="left"/>
      <w:pPr>
        <w:tabs>
          <w:tab w:val="num" w:pos="1705"/>
        </w:tabs>
        <w:ind w:left="1705" w:firstLine="567"/>
      </w:pPr>
      <w:rPr>
        <w:rFonts w:hint="default"/>
      </w:rPr>
    </w:lvl>
  </w:abstractNum>
  <w:abstractNum w:abstractNumId="10" w15:restartNumberingAfterBreak="0">
    <w:nsid w:val="2AB04D37"/>
    <w:multiLevelType w:val="hybridMultilevel"/>
    <w:tmpl w:val="EE908F3A"/>
    <w:lvl w:ilvl="0" w:tplc="C61CCD60">
      <w:start w:val="1"/>
      <w:numFmt w:val="bullet"/>
      <w:pStyle w:val="Bullet2"/>
      <w:lvlText w:val="–"/>
      <w:lvlJc w:val="left"/>
      <w:pPr>
        <w:ind w:left="1288" w:hanging="360"/>
      </w:pPr>
      <w:rPr>
        <w:rFonts w:ascii="Lato" w:hAnsi="Lato"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1" w15:restartNumberingAfterBreak="0">
    <w:nsid w:val="2BB6314B"/>
    <w:multiLevelType w:val="hybridMultilevel"/>
    <w:tmpl w:val="84F89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7C490E"/>
    <w:multiLevelType w:val="hybridMultilevel"/>
    <w:tmpl w:val="4EA207B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D24EC"/>
    <w:multiLevelType w:val="hybridMultilevel"/>
    <w:tmpl w:val="7AE06E9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CD17FEC"/>
    <w:multiLevelType w:val="multilevel"/>
    <w:tmpl w:val="93C2F446"/>
    <w:styleLink w:val="ESbullets"/>
    <w:lvl w:ilvl="0">
      <w:start w:val="1"/>
      <w:numFmt w:val="bullet"/>
      <w:lvlText w:val="•"/>
      <w:lvlJc w:val="left"/>
      <w:pPr>
        <w:ind w:left="284" w:hanging="284"/>
      </w:pPr>
      <w:rPr>
        <w:rFonts w:ascii="Lato" w:hAnsi="Lato" w:hint="default"/>
      </w:rPr>
    </w:lvl>
    <w:lvl w:ilvl="1">
      <w:start w:val="1"/>
      <w:numFmt w:val="bullet"/>
      <w:lvlText w:val="–"/>
      <w:lvlJc w:val="left"/>
      <w:pPr>
        <w:ind w:left="568" w:hanging="284"/>
      </w:pPr>
      <w:rPr>
        <w:rFonts w:ascii="Lato" w:hAnsi="Lato" w:hint="default"/>
      </w:rPr>
    </w:lvl>
    <w:lvl w:ilvl="2">
      <w:start w:val="1"/>
      <w:numFmt w:val="bullet"/>
      <w:lvlText w:val="◊"/>
      <w:lvlJc w:val="left"/>
      <w:pPr>
        <w:ind w:left="852" w:hanging="284"/>
      </w:pPr>
      <w:rPr>
        <w:rFonts w:ascii="Lato" w:hAnsi="Lato"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2D6E08D1"/>
    <w:multiLevelType w:val="multilevel"/>
    <w:tmpl w:val="96B648A4"/>
    <w:numStyleLink w:val="Indentedbullet"/>
  </w:abstractNum>
  <w:abstractNum w:abstractNumId="16" w15:restartNumberingAfterBreak="0">
    <w:nsid w:val="2DAA0EC3"/>
    <w:multiLevelType w:val="hybridMultilevel"/>
    <w:tmpl w:val="FFFFFFFF"/>
    <w:lvl w:ilvl="0" w:tplc="F684B8E0">
      <w:start w:val="1"/>
      <w:numFmt w:val="bullet"/>
      <w:lvlText w:val=""/>
      <w:lvlJc w:val="left"/>
      <w:pPr>
        <w:ind w:left="720" w:hanging="360"/>
      </w:pPr>
      <w:rPr>
        <w:rFonts w:ascii="Symbol" w:hAnsi="Symbol" w:hint="default"/>
      </w:rPr>
    </w:lvl>
    <w:lvl w:ilvl="1" w:tplc="D8FA8FE6">
      <w:start w:val="1"/>
      <w:numFmt w:val="bullet"/>
      <w:lvlText w:val="o"/>
      <w:lvlJc w:val="left"/>
      <w:pPr>
        <w:ind w:left="1440" w:hanging="360"/>
      </w:pPr>
      <w:rPr>
        <w:rFonts w:ascii="Courier New" w:hAnsi="Courier New" w:hint="default"/>
      </w:rPr>
    </w:lvl>
    <w:lvl w:ilvl="2" w:tplc="0A9669BA">
      <w:start w:val="1"/>
      <w:numFmt w:val="bullet"/>
      <w:lvlText w:val=""/>
      <w:lvlJc w:val="left"/>
      <w:pPr>
        <w:ind w:left="2160" w:hanging="360"/>
      </w:pPr>
      <w:rPr>
        <w:rFonts w:ascii="Wingdings" w:hAnsi="Wingdings" w:hint="default"/>
      </w:rPr>
    </w:lvl>
    <w:lvl w:ilvl="3" w:tplc="A014B7E8">
      <w:start w:val="1"/>
      <w:numFmt w:val="bullet"/>
      <w:lvlText w:val=""/>
      <w:lvlJc w:val="left"/>
      <w:pPr>
        <w:ind w:left="2880" w:hanging="360"/>
      </w:pPr>
      <w:rPr>
        <w:rFonts w:ascii="Symbol" w:hAnsi="Symbol" w:hint="default"/>
      </w:rPr>
    </w:lvl>
    <w:lvl w:ilvl="4" w:tplc="AD26FAC6">
      <w:start w:val="1"/>
      <w:numFmt w:val="bullet"/>
      <w:lvlText w:val="o"/>
      <w:lvlJc w:val="left"/>
      <w:pPr>
        <w:ind w:left="3600" w:hanging="360"/>
      </w:pPr>
      <w:rPr>
        <w:rFonts w:ascii="Courier New" w:hAnsi="Courier New" w:hint="default"/>
      </w:rPr>
    </w:lvl>
    <w:lvl w:ilvl="5" w:tplc="331C1068">
      <w:start w:val="1"/>
      <w:numFmt w:val="bullet"/>
      <w:lvlText w:val=""/>
      <w:lvlJc w:val="left"/>
      <w:pPr>
        <w:ind w:left="4320" w:hanging="360"/>
      </w:pPr>
      <w:rPr>
        <w:rFonts w:ascii="Wingdings" w:hAnsi="Wingdings" w:hint="default"/>
      </w:rPr>
    </w:lvl>
    <w:lvl w:ilvl="6" w:tplc="A1DC0D64">
      <w:start w:val="1"/>
      <w:numFmt w:val="bullet"/>
      <w:lvlText w:val=""/>
      <w:lvlJc w:val="left"/>
      <w:pPr>
        <w:ind w:left="5040" w:hanging="360"/>
      </w:pPr>
      <w:rPr>
        <w:rFonts w:ascii="Symbol" w:hAnsi="Symbol" w:hint="default"/>
      </w:rPr>
    </w:lvl>
    <w:lvl w:ilvl="7" w:tplc="093EE700">
      <w:start w:val="1"/>
      <w:numFmt w:val="bullet"/>
      <w:lvlText w:val="o"/>
      <w:lvlJc w:val="left"/>
      <w:pPr>
        <w:ind w:left="5760" w:hanging="360"/>
      </w:pPr>
      <w:rPr>
        <w:rFonts w:ascii="Courier New" w:hAnsi="Courier New" w:hint="default"/>
      </w:rPr>
    </w:lvl>
    <w:lvl w:ilvl="8" w:tplc="9AFE6BAE">
      <w:start w:val="1"/>
      <w:numFmt w:val="bullet"/>
      <w:lvlText w:val=""/>
      <w:lvlJc w:val="left"/>
      <w:pPr>
        <w:ind w:left="6480" w:hanging="360"/>
      </w:pPr>
      <w:rPr>
        <w:rFonts w:ascii="Wingdings" w:hAnsi="Wingdings" w:hint="default"/>
      </w:rPr>
    </w:lvl>
  </w:abstractNum>
  <w:abstractNum w:abstractNumId="17" w15:restartNumberingAfterBreak="0">
    <w:nsid w:val="2DF00DB8"/>
    <w:multiLevelType w:val="multilevel"/>
    <w:tmpl w:val="BD8E70A0"/>
    <w:lvl w:ilvl="0">
      <w:start w:val="1"/>
      <w:numFmt w:val="bullet"/>
      <w:lvlText w:val="●"/>
      <w:lvlJc w:val="left"/>
      <w:pPr>
        <w:tabs>
          <w:tab w:val="num" w:pos="284"/>
        </w:tabs>
        <w:ind w:left="567" w:hanging="283"/>
      </w:pPr>
      <w:rPr>
        <w:rFonts w:ascii="Lato" w:hAnsi="Lato" w:hint="default"/>
        <w:color w:val="auto"/>
      </w:rPr>
    </w:lvl>
    <w:lvl w:ilvl="1">
      <w:start w:val="1"/>
      <w:numFmt w:val="bullet"/>
      <w:pStyle w:val="Tablebullet2"/>
      <w:lvlText w:val="–"/>
      <w:lvlJc w:val="left"/>
      <w:pPr>
        <w:tabs>
          <w:tab w:val="num" w:pos="568"/>
        </w:tabs>
        <w:ind w:left="851" w:hanging="283"/>
      </w:pPr>
      <w:rPr>
        <w:rFonts w:ascii="Lato" w:hAnsi="Lato" w:hint="default"/>
      </w:rPr>
    </w:lvl>
    <w:lvl w:ilvl="2">
      <w:start w:val="1"/>
      <w:numFmt w:val="bullet"/>
      <w:pStyle w:val="Tablebullet3"/>
      <w:lvlText w:val="◊"/>
      <w:lvlJc w:val="left"/>
      <w:pPr>
        <w:tabs>
          <w:tab w:val="num" w:pos="852"/>
        </w:tabs>
        <w:ind w:left="1135" w:hanging="283"/>
      </w:pPr>
      <w:rPr>
        <w:rFonts w:ascii="Lato" w:hAnsi="Lato" w:hint="default"/>
        <w:color w:val="auto"/>
      </w:rPr>
    </w:lvl>
    <w:lvl w:ilvl="3">
      <w:start w:val="1"/>
      <w:numFmt w:val="decimal"/>
      <w:lvlText w:val="(%4)"/>
      <w:lvlJc w:val="left"/>
      <w:pPr>
        <w:tabs>
          <w:tab w:val="num" w:pos="1136"/>
        </w:tabs>
        <w:ind w:left="1419" w:hanging="283"/>
      </w:pPr>
      <w:rPr>
        <w:rFonts w:hint="default"/>
      </w:rPr>
    </w:lvl>
    <w:lvl w:ilvl="4">
      <w:start w:val="1"/>
      <w:numFmt w:val="lowerLetter"/>
      <w:lvlText w:val="(%5)"/>
      <w:lvlJc w:val="left"/>
      <w:pPr>
        <w:tabs>
          <w:tab w:val="num" w:pos="1420"/>
        </w:tabs>
        <w:ind w:left="1703" w:hanging="283"/>
      </w:pPr>
      <w:rPr>
        <w:rFonts w:hint="default"/>
      </w:rPr>
    </w:lvl>
    <w:lvl w:ilvl="5">
      <w:start w:val="1"/>
      <w:numFmt w:val="lowerRoman"/>
      <w:lvlText w:val="(%6)"/>
      <w:lvlJc w:val="left"/>
      <w:pPr>
        <w:tabs>
          <w:tab w:val="num" w:pos="1704"/>
        </w:tabs>
        <w:ind w:left="1987" w:hanging="283"/>
      </w:pPr>
      <w:rPr>
        <w:rFonts w:hint="default"/>
      </w:rPr>
    </w:lvl>
    <w:lvl w:ilvl="6">
      <w:start w:val="1"/>
      <w:numFmt w:val="decimal"/>
      <w:lvlText w:val="%7."/>
      <w:lvlJc w:val="left"/>
      <w:pPr>
        <w:tabs>
          <w:tab w:val="num" w:pos="1988"/>
        </w:tabs>
        <w:ind w:left="2271" w:hanging="283"/>
      </w:pPr>
      <w:rPr>
        <w:rFonts w:hint="default"/>
      </w:rPr>
    </w:lvl>
    <w:lvl w:ilvl="7">
      <w:start w:val="1"/>
      <w:numFmt w:val="lowerLetter"/>
      <w:lvlText w:val="%8."/>
      <w:lvlJc w:val="left"/>
      <w:pPr>
        <w:tabs>
          <w:tab w:val="num" w:pos="2272"/>
        </w:tabs>
        <w:ind w:left="2555" w:hanging="283"/>
      </w:pPr>
      <w:rPr>
        <w:rFonts w:hint="default"/>
      </w:rPr>
    </w:lvl>
    <w:lvl w:ilvl="8">
      <w:start w:val="1"/>
      <w:numFmt w:val="lowerRoman"/>
      <w:lvlText w:val="%9."/>
      <w:lvlJc w:val="left"/>
      <w:pPr>
        <w:tabs>
          <w:tab w:val="num" w:pos="2556"/>
        </w:tabs>
        <w:ind w:left="2839" w:hanging="283"/>
      </w:pPr>
      <w:rPr>
        <w:rFonts w:hint="default"/>
      </w:rPr>
    </w:lvl>
  </w:abstractNum>
  <w:abstractNum w:abstractNumId="18" w15:restartNumberingAfterBreak="0">
    <w:nsid w:val="333A647D"/>
    <w:multiLevelType w:val="hybridMultilevel"/>
    <w:tmpl w:val="B84CC64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7175EC"/>
    <w:multiLevelType w:val="multilevel"/>
    <w:tmpl w:val="227EBBAE"/>
    <w:numStyleLink w:val="Bodybullet"/>
  </w:abstractNum>
  <w:abstractNum w:abstractNumId="20" w15:restartNumberingAfterBreak="0">
    <w:nsid w:val="38960409"/>
    <w:multiLevelType w:val="multilevel"/>
    <w:tmpl w:val="93C2F446"/>
    <w:numStyleLink w:val="ESbullets"/>
  </w:abstractNum>
  <w:abstractNum w:abstractNumId="21" w15:restartNumberingAfterBreak="0">
    <w:nsid w:val="481F01C5"/>
    <w:multiLevelType w:val="hybridMultilevel"/>
    <w:tmpl w:val="FFFFFFFF"/>
    <w:lvl w:ilvl="0" w:tplc="08CCE974">
      <w:start w:val="1"/>
      <w:numFmt w:val="bullet"/>
      <w:lvlText w:val=""/>
      <w:lvlJc w:val="left"/>
      <w:pPr>
        <w:ind w:left="720" w:hanging="360"/>
      </w:pPr>
      <w:rPr>
        <w:rFonts w:ascii="Symbol" w:hAnsi="Symbol" w:hint="default"/>
      </w:rPr>
    </w:lvl>
    <w:lvl w:ilvl="1" w:tplc="A6826FDC">
      <w:start w:val="1"/>
      <w:numFmt w:val="bullet"/>
      <w:lvlText w:val="o"/>
      <w:lvlJc w:val="left"/>
      <w:pPr>
        <w:ind w:left="1440" w:hanging="360"/>
      </w:pPr>
      <w:rPr>
        <w:rFonts w:ascii="Courier New" w:hAnsi="Courier New" w:hint="default"/>
      </w:rPr>
    </w:lvl>
    <w:lvl w:ilvl="2" w:tplc="ED489AFA">
      <w:start w:val="1"/>
      <w:numFmt w:val="bullet"/>
      <w:lvlText w:val=""/>
      <w:lvlJc w:val="left"/>
      <w:pPr>
        <w:ind w:left="2160" w:hanging="360"/>
      </w:pPr>
      <w:rPr>
        <w:rFonts w:ascii="Wingdings" w:hAnsi="Wingdings" w:hint="default"/>
      </w:rPr>
    </w:lvl>
    <w:lvl w:ilvl="3" w:tplc="E800CE1C">
      <w:start w:val="1"/>
      <w:numFmt w:val="bullet"/>
      <w:lvlText w:val=""/>
      <w:lvlJc w:val="left"/>
      <w:pPr>
        <w:ind w:left="2880" w:hanging="360"/>
      </w:pPr>
      <w:rPr>
        <w:rFonts w:ascii="Symbol" w:hAnsi="Symbol" w:hint="default"/>
      </w:rPr>
    </w:lvl>
    <w:lvl w:ilvl="4" w:tplc="7FB246DE">
      <w:start w:val="1"/>
      <w:numFmt w:val="bullet"/>
      <w:lvlText w:val="o"/>
      <w:lvlJc w:val="left"/>
      <w:pPr>
        <w:ind w:left="3600" w:hanging="360"/>
      </w:pPr>
      <w:rPr>
        <w:rFonts w:ascii="Courier New" w:hAnsi="Courier New" w:hint="default"/>
      </w:rPr>
    </w:lvl>
    <w:lvl w:ilvl="5" w:tplc="4202CA60">
      <w:start w:val="1"/>
      <w:numFmt w:val="bullet"/>
      <w:lvlText w:val=""/>
      <w:lvlJc w:val="left"/>
      <w:pPr>
        <w:ind w:left="4320" w:hanging="360"/>
      </w:pPr>
      <w:rPr>
        <w:rFonts w:ascii="Wingdings" w:hAnsi="Wingdings" w:hint="default"/>
      </w:rPr>
    </w:lvl>
    <w:lvl w:ilvl="6" w:tplc="7764DD64">
      <w:start w:val="1"/>
      <w:numFmt w:val="bullet"/>
      <w:lvlText w:val=""/>
      <w:lvlJc w:val="left"/>
      <w:pPr>
        <w:ind w:left="5040" w:hanging="360"/>
      </w:pPr>
      <w:rPr>
        <w:rFonts w:ascii="Symbol" w:hAnsi="Symbol" w:hint="default"/>
      </w:rPr>
    </w:lvl>
    <w:lvl w:ilvl="7" w:tplc="F79CAE3E">
      <w:start w:val="1"/>
      <w:numFmt w:val="bullet"/>
      <w:lvlText w:val="o"/>
      <w:lvlJc w:val="left"/>
      <w:pPr>
        <w:ind w:left="5760" w:hanging="360"/>
      </w:pPr>
      <w:rPr>
        <w:rFonts w:ascii="Courier New" w:hAnsi="Courier New" w:hint="default"/>
      </w:rPr>
    </w:lvl>
    <w:lvl w:ilvl="8" w:tplc="30684E86">
      <w:start w:val="1"/>
      <w:numFmt w:val="bullet"/>
      <w:lvlText w:val=""/>
      <w:lvlJc w:val="left"/>
      <w:pPr>
        <w:ind w:left="6480" w:hanging="360"/>
      </w:pPr>
      <w:rPr>
        <w:rFonts w:ascii="Wingdings" w:hAnsi="Wingdings" w:hint="default"/>
      </w:rPr>
    </w:lvl>
  </w:abstractNum>
  <w:abstractNum w:abstractNumId="22" w15:restartNumberingAfterBreak="0">
    <w:nsid w:val="49DC4871"/>
    <w:multiLevelType w:val="hybridMultilevel"/>
    <w:tmpl w:val="5BA890C8"/>
    <w:lvl w:ilvl="0" w:tplc="EFD44064">
      <w:start w:val="1"/>
      <w:numFmt w:val="bullet"/>
      <w:pStyle w:val="Instructionsbullet"/>
      <w:lvlText w:val=""/>
      <w:lvlJc w:val="left"/>
      <w:pPr>
        <w:ind w:left="862" w:hanging="360"/>
      </w:pPr>
      <w:rPr>
        <w:rFonts w:ascii="Symbol" w:hAnsi="Symbol" w:hint="default"/>
      </w:rPr>
    </w:lvl>
    <w:lvl w:ilvl="1" w:tplc="BFC8EE26" w:tentative="1">
      <w:start w:val="1"/>
      <w:numFmt w:val="bullet"/>
      <w:lvlText w:val="o"/>
      <w:lvlJc w:val="left"/>
      <w:pPr>
        <w:ind w:left="1582" w:hanging="360"/>
      </w:pPr>
      <w:rPr>
        <w:rFonts w:ascii="Courier New" w:hAnsi="Courier New" w:cs="Courier New" w:hint="default"/>
      </w:rPr>
    </w:lvl>
    <w:lvl w:ilvl="2" w:tplc="D084F0F0" w:tentative="1">
      <w:start w:val="1"/>
      <w:numFmt w:val="bullet"/>
      <w:lvlText w:val=""/>
      <w:lvlJc w:val="left"/>
      <w:pPr>
        <w:ind w:left="2302" w:hanging="360"/>
      </w:pPr>
      <w:rPr>
        <w:rFonts w:ascii="Wingdings" w:hAnsi="Wingdings" w:hint="default"/>
      </w:rPr>
    </w:lvl>
    <w:lvl w:ilvl="3" w:tplc="ACDE6224" w:tentative="1">
      <w:start w:val="1"/>
      <w:numFmt w:val="bullet"/>
      <w:lvlText w:val=""/>
      <w:lvlJc w:val="left"/>
      <w:pPr>
        <w:ind w:left="3022" w:hanging="360"/>
      </w:pPr>
      <w:rPr>
        <w:rFonts w:ascii="Symbol" w:hAnsi="Symbol" w:hint="default"/>
      </w:rPr>
    </w:lvl>
    <w:lvl w:ilvl="4" w:tplc="9B8A6EF6" w:tentative="1">
      <w:start w:val="1"/>
      <w:numFmt w:val="bullet"/>
      <w:lvlText w:val="o"/>
      <w:lvlJc w:val="left"/>
      <w:pPr>
        <w:ind w:left="3742" w:hanging="360"/>
      </w:pPr>
      <w:rPr>
        <w:rFonts w:ascii="Courier New" w:hAnsi="Courier New" w:cs="Courier New" w:hint="default"/>
      </w:rPr>
    </w:lvl>
    <w:lvl w:ilvl="5" w:tplc="4ECAFD26" w:tentative="1">
      <w:start w:val="1"/>
      <w:numFmt w:val="bullet"/>
      <w:lvlText w:val=""/>
      <w:lvlJc w:val="left"/>
      <w:pPr>
        <w:ind w:left="4462" w:hanging="360"/>
      </w:pPr>
      <w:rPr>
        <w:rFonts w:ascii="Wingdings" w:hAnsi="Wingdings" w:hint="default"/>
      </w:rPr>
    </w:lvl>
    <w:lvl w:ilvl="6" w:tplc="30BCEEBA" w:tentative="1">
      <w:start w:val="1"/>
      <w:numFmt w:val="bullet"/>
      <w:lvlText w:val=""/>
      <w:lvlJc w:val="left"/>
      <w:pPr>
        <w:ind w:left="5182" w:hanging="360"/>
      </w:pPr>
      <w:rPr>
        <w:rFonts w:ascii="Symbol" w:hAnsi="Symbol" w:hint="default"/>
      </w:rPr>
    </w:lvl>
    <w:lvl w:ilvl="7" w:tplc="DBA60D54" w:tentative="1">
      <w:start w:val="1"/>
      <w:numFmt w:val="bullet"/>
      <w:lvlText w:val="o"/>
      <w:lvlJc w:val="left"/>
      <w:pPr>
        <w:ind w:left="5902" w:hanging="360"/>
      </w:pPr>
      <w:rPr>
        <w:rFonts w:ascii="Courier New" w:hAnsi="Courier New" w:cs="Courier New" w:hint="default"/>
      </w:rPr>
    </w:lvl>
    <w:lvl w:ilvl="8" w:tplc="C9A0A020" w:tentative="1">
      <w:start w:val="1"/>
      <w:numFmt w:val="bullet"/>
      <w:lvlText w:val=""/>
      <w:lvlJc w:val="left"/>
      <w:pPr>
        <w:ind w:left="6622" w:hanging="360"/>
      </w:pPr>
      <w:rPr>
        <w:rFonts w:ascii="Wingdings" w:hAnsi="Wingdings" w:hint="default"/>
      </w:rPr>
    </w:lvl>
  </w:abstractNum>
  <w:abstractNum w:abstractNumId="23" w15:restartNumberingAfterBreak="0">
    <w:nsid w:val="4B011E90"/>
    <w:multiLevelType w:val="hybridMultilevel"/>
    <w:tmpl w:val="FFD2A98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8520C3"/>
    <w:multiLevelType w:val="hybridMultilevel"/>
    <w:tmpl w:val="9DA095F0"/>
    <w:lvl w:ilvl="0" w:tplc="6DD2B072">
      <w:start w:val="1"/>
      <w:numFmt w:val="decimalZero"/>
      <w:lvlText w:val="NQ - %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5" w15:restartNumberingAfterBreak="0">
    <w:nsid w:val="50533D80"/>
    <w:multiLevelType w:val="multilevel"/>
    <w:tmpl w:val="227EBBAE"/>
    <w:numStyleLink w:val="Bodybullet"/>
  </w:abstractNum>
  <w:abstractNum w:abstractNumId="26" w15:restartNumberingAfterBreak="0">
    <w:nsid w:val="51101458"/>
    <w:multiLevelType w:val="hybridMultilevel"/>
    <w:tmpl w:val="8F92615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C6698"/>
    <w:multiLevelType w:val="hybridMultilevel"/>
    <w:tmpl w:val="933837A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CF6313"/>
    <w:multiLevelType w:val="hybridMultilevel"/>
    <w:tmpl w:val="3D64800A"/>
    <w:lvl w:ilvl="0" w:tplc="6FACBC8C">
      <w:start w:val="1"/>
      <w:numFmt w:val="bullet"/>
      <w:lvlText w:val=""/>
      <w:lvlJc w:val="left"/>
      <w:pPr>
        <w:ind w:left="720" w:hanging="360"/>
      </w:pPr>
      <w:rPr>
        <w:rFonts w:ascii="Symbol" w:hAnsi="Symbol" w:hint="default"/>
      </w:rPr>
    </w:lvl>
    <w:lvl w:ilvl="1" w:tplc="EAB00FEE">
      <w:start w:val="1"/>
      <w:numFmt w:val="bullet"/>
      <w:lvlText w:val="o"/>
      <w:lvlJc w:val="left"/>
      <w:pPr>
        <w:ind w:left="1440" w:hanging="360"/>
      </w:pPr>
      <w:rPr>
        <w:rFonts w:ascii="Courier New" w:hAnsi="Courier New" w:hint="default"/>
      </w:rPr>
    </w:lvl>
    <w:lvl w:ilvl="2" w:tplc="6B783CEC">
      <w:start w:val="1"/>
      <w:numFmt w:val="bullet"/>
      <w:lvlText w:val=""/>
      <w:lvlJc w:val="left"/>
      <w:pPr>
        <w:ind w:left="2160" w:hanging="360"/>
      </w:pPr>
      <w:rPr>
        <w:rFonts w:ascii="Wingdings" w:hAnsi="Wingdings" w:hint="default"/>
      </w:rPr>
    </w:lvl>
    <w:lvl w:ilvl="3" w:tplc="8BBC25BC">
      <w:start w:val="1"/>
      <w:numFmt w:val="bullet"/>
      <w:lvlText w:val=""/>
      <w:lvlJc w:val="left"/>
      <w:pPr>
        <w:ind w:left="2880" w:hanging="360"/>
      </w:pPr>
      <w:rPr>
        <w:rFonts w:ascii="Symbol" w:hAnsi="Symbol" w:hint="default"/>
      </w:rPr>
    </w:lvl>
    <w:lvl w:ilvl="4" w:tplc="1CE26AAE">
      <w:start w:val="1"/>
      <w:numFmt w:val="bullet"/>
      <w:lvlText w:val="o"/>
      <w:lvlJc w:val="left"/>
      <w:pPr>
        <w:ind w:left="3600" w:hanging="360"/>
      </w:pPr>
      <w:rPr>
        <w:rFonts w:ascii="Courier New" w:hAnsi="Courier New" w:hint="default"/>
      </w:rPr>
    </w:lvl>
    <w:lvl w:ilvl="5" w:tplc="13D64B38">
      <w:start w:val="1"/>
      <w:numFmt w:val="bullet"/>
      <w:lvlText w:val=""/>
      <w:lvlJc w:val="left"/>
      <w:pPr>
        <w:ind w:left="4320" w:hanging="360"/>
      </w:pPr>
      <w:rPr>
        <w:rFonts w:ascii="Wingdings" w:hAnsi="Wingdings" w:hint="default"/>
      </w:rPr>
    </w:lvl>
    <w:lvl w:ilvl="6" w:tplc="F138A51A">
      <w:start w:val="1"/>
      <w:numFmt w:val="bullet"/>
      <w:lvlText w:val=""/>
      <w:lvlJc w:val="left"/>
      <w:pPr>
        <w:ind w:left="5040" w:hanging="360"/>
      </w:pPr>
      <w:rPr>
        <w:rFonts w:ascii="Symbol" w:hAnsi="Symbol" w:hint="default"/>
      </w:rPr>
    </w:lvl>
    <w:lvl w:ilvl="7" w:tplc="5F9430A8">
      <w:start w:val="1"/>
      <w:numFmt w:val="bullet"/>
      <w:lvlText w:val="o"/>
      <w:lvlJc w:val="left"/>
      <w:pPr>
        <w:ind w:left="5760" w:hanging="360"/>
      </w:pPr>
      <w:rPr>
        <w:rFonts w:ascii="Courier New" w:hAnsi="Courier New" w:hint="default"/>
      </w:rPr>
    </w:lvl>
    <w:lvl w:ilvl="8" w:tplc="2594F048">
      <w:start w:val="1"/>
      <w:numFmt w:val="bullet"/>
      <w:lvlText w:val=""/>
      <w:lvlJc w:val="left"/>
      <w:pPr>
        <w:ind w:left="6480" w:hanging="360"/>
      </w:pPr>
      <w:rPr>
        <w:rFonts w:ascii="Wingdings" w:hAnsi="Wingdings" w:hint="default"/>
      </w:rPr>
    </w:lvl>
  </w:abstractNum>
  <w:abstractNum w:abstractNumId="29" w15:restartNumberingAfterBreak="0">
    <w:nsid w:val="54F91C27"/>
    <w:multiLevelType w:val="hybridMultilevel"/>
    <w:tmpl w:val="D55A62A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223E06"/>
    <w:multiLevelType w:val="hybridMultilevel"/>
    <w:tmpl w:val="7890A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0C5B52"/>
    <w:multiLevelType w:val="multilevel"/>
    <w:tmpl w:val="227EBBAE"/>
    <w:numStyleLink w:val="Bodybullet"/>
  </w:abstractNum>
  <w:abstractNum w:abstractNumId="32" w15:restartNumberingAfterBreak="0">
    <w:nsid w:val="562332E3"/>
    <w:multiLevelType w:val="multilevel"/>
    <w:tmpl w:val="96B648A4"/>
    <w:styleLink w:val="Indentedbullet"/>
    <w:lvl w:ilvl="0">
      <w:start w:val="1"/>
      <w:numFmt w:val="bullet"/>
      <w:lvlText w:val="●"/>
      <w:lvlJc w:val="left"/>
      <w:pPr>
        <w:tabs>
          <w:tab w:val="num" w:pos="1986"/>
        </w:tabs>
        <w:ind w:left="2269" w:hanging="283"/>
      </w:pPr>
      <w:rPr>
        <w:rFonts w:ascii="Lato" w:hAnsi="Lato" w:hint="default"/>
        <w:color w:val="auto"/>
      </w:rPr>
    </w:lvl>
    <w:lvl w:ilvl="1">
      <w:start w:val="1"/>
      <w:numFmt w:val="bullet"/>
      <w:lvlText w:val="–"/>
      <w:lvlJc w:val="left"/>
      <w:pPr>
        <w:tabs>
          <w:tab w:val="num" w:pos="2326"/>
        </w:tabs>
        <w:ind w:left="2553" w:hanging="283"/>
      </w:pPr>
      <w:rPr>
        <w:rFonts w:ascii="Lato" w:hAnsi="Lato" w:hint="default"/>
      </w:rPr>
    </w:lvl>
    <w:lvl w:ilvl="2">
      <w:start w:val="1"/>
      <w:numFmt w:val="bullet"/>
      <w:lvlText w:val="◊"/>
      <w:lvlJc w:val="left"/>
      <w:pPr>
        <w:tabs>
          <w:tab w:val="num" w:pos="2552"/>
        </w:tabs>
        <w:ind w:left="2837" w:hanging="283"/>
      </w:pPr>
      <w:rPr>
        <w:rFonts w:ascii="Lato" w:hAnsi="Lato" w:hint="default"/>
        <w:color w:val="auto"/>
      </w:rPr>
    </w:lvl>
    <w:lvl w:ilvl="3">
      <w:start w:val="1"/>
      <w:numFmt w:val="decimal"/>
      <w:lvlText w:val="(%4)"/>
      <w:lvlJc w:val="left"/>
      <w:pPr>
        <w:tabs>
          <w:tab w:val="num" w:pos="2894"/>
        </w:tabs>
        <w:ind w:left="3121" w:hanging="283"/>
      </w:pPr>
      <w:rPr>
        <w:rFonts w:hint="default"/>
      </w:rPr>
    </w:lvl>
    <w:lvl w:ilvl="4">
      <w:start w:val="1"/>
      <w:numFmt w:val="lowerLetter"/>
      <w:lvlText w:val="(%5)"/>
      <w:lvlJc w:val="left"/>
      <w:pPr>
        <w:tabs>
          <w:tab w:val="num" w:pos="3178"/>
        </w:tabs>
        <w:ind w:left="3405" w:hanging="283"/>
      </w:pPr>
      <w:rPr>
        <w:rFonts w:hint="default"/>
      </w:rPr>
    </w:lvl>
    <w:lvl w:ilvl="5">
      <w:start w:val="1"/>
      <w:numFmt w:val="lowerRoman"/>
      <w:lvlText w:val="(%6)"/>
      <w:lvlJc w:val="left"/>
      <w:pPr>
        <w:tabs>
          <w:tab w:val="num" w:pos="3462"/>
        </w:tabs>
        <w:ind w:left="3689" w:hanging="283"/>
      </w:pPr>
      <w:rPr>
        <w:rFonts w:hint="default"/>
      </w:rPr>
    </w:lvl>
    <w:lvl w:ilvl="6">
      <w:start w:val="1"/>
      <w:numFmt w:val="decimal"/>
      <w:lvlText w:val="%7."/>
      <w:lvlJc w:val="left"/>
      <w:pPr>
        <w:tabs>
          <w:tab w:val="num" w:pos="3746"/>
        </w:tabs>
        <w:ind w:left="3973" w:hanging="283"/>
      </w:pPr>
      <w:rPr>
        <w:rFonts w:hint="default"/>
      </w:rPr>
    </w:lvl>
    <w:lvl w:ilvl="7">
      <w:start w:val="1"/>
      <w:numFmt w:val="lowerLetter"/>
      <w:lvlText w:val="%8."/>
      <w:lvlJc w:val="left"/>
      <w:pPr>
        <w:tabs>
          <w:tab w:val="num" w:pos="4030"/>
        </w:tabs>
        <w:ind w:left="4257" w:hanging="283"/>
      </w:pPr>
      <w:rPr>
        <w:rFonts w:hint="default"/>
      </w:rPr>
    </w:lvl>
    <w:lvl w:ilvl="8">
      <w:start w:val="1"/>
      <w:numFmt w:val="lowerRoman"/>
      <w:lvlText w:val="%9."/>
      <w:lvlJc w:val="left"/>
      <w:pPr>
        <w:tabs>
          <w:tab w:val="num" w:pos="4314"/>
        </w:tabs>
        <w:ind w:left="4541" w:hanging="283"/>
      </w:pPr>
      <w:rPr>
        <w:rFonts w:hint="default"/>
      </w:rPr>
    </w:lvl>
  </w:abstractNum>
  <w:abstractNum w:abstractNumId="33" w15:restartNumberingAfterBreak="0">
    <w:nsid w:val="5A1945A3"/>
    <w:multiLevelType w:val="hybridMultilevel"/>
    <w:tmpl w:val="E132D964"/>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9353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C6F243D"/>
    <w:multiLevelType w:val="hybridMultilevel"/>
    <w:tmpl w:val="E40E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73361B"/>
    <w:multiLevelType w:val="multilevel"/>
    <w:tmpl w:val="227EBBAE"/>
    <w:numStyleLink w:val="Bodybullet"/>
  </w:abstractNum>
  <w:abstractNum w:abstractNumId="37" w15:restartNumberingAfterBreak="0">
    <w:nsid w:val="6ECC6722"/>
    <w:multiLevelType w:val="hybridMultilevel"/>
    <w:tmpl w:val="B2A2898E"/>
    <w:lvl w:ilvl="0" w:tplc="88E64556">
      <w:start w:val="1"/>
      <w:numFmt w:val="decimal"/>
      <w:pStyle w:val="Numberedlist"/>
      <w:lvlText w:val="%1."/>
      <w:lvlJc w:val="left"/>
      <w:pPr>
        <w:ind w:left="720" w:hanging="360"/>
      </w:pPr>
    </w:lvl>
    <w:lvl w:ilvl="1" w:tplc="F5D20940" w:tentative="1">
      <w:start w:val="1"/>
      <w:numFmt w:val="lowerLetter"/>
      <w:lvlText w:val="%2."/>
      <w:lvlJc w:val="left"/>
      <w:pPr>
        <w:ind w:left="1440" w:hanging="360"/>
      </w:pPr>
    </w:lvl>
    <w:lvl w:ilvl="2" w:tplc="319804CA" w:tentative="1">
      <w:start w:val="1"/>
      <w:numFmt w:val="lowerRoman"/>
      <w:lvlText w:val="%3."/>
      <w:lvlJc w:val="right"/>
      <w:pPr>
        <w:ind w:left="2160" w:hanging="180"/>
      </w:pPr>
    </w:lvl>
    <w:lvl w:ilvl="3" w:tplc="2C4477A2" w:tentative="1">
      <w:start w:val="1"/>
      <w:numFmt w:val="decimal"/>
      <w:lvlText w:val="%4."/>
      <w:lvlJc w:val="left"/>
      <w:pPr>
        <w:ind w:left="2880" w:hanging="360"/>
      </w:pPr>
    </w:lvl>
    <w:lvl w:ilvl="4" w:tplc="2368C874" w:tentative="1">
      <w:start w:val="1"/>
      <w:numFmt w:val="lowerLetter"/>
      <w:lvlText w:val="%5."/>
      <w:lvlJc w:val="left"/>
      <w:pPr>
        <w:ind w:left="3600" w:hanging="360"/>
      </w:pPr>
    </w:lvl>
    <w:lvl w:ilvl="5" w:tplc="B9B25C3A" w:tentative="1">
      <w:start w:val="1"/>
      <w:numFmt w:val="lowerRoman"/>
      <w:lvlText w:val="%6."/>
      <w:lvlJc w:val="right"/>
      <w:pPr>
        <w:ind w:left="4320" w:hanging="180"/>
      </w:pPr>
    </w:lvl>
    <w:lvl w:ilvl="6" w:tplc="6FE88C3E" w:tentative="1">
      <w:start w:val="1"/>
      <w:numFmt w:val="decimal"/>
      <w:lvlText w:val="%7."/>
      <w:lvlJc w:val="left"/>
      <w:pPr>
        <w:ind w:left="5040" w:hanging="360"/>
      </w:pPr>
    </w:lvl>
    <w:lvl w:ilvl="7" w:tplc="C52E1768" w:tentative="1">
      <w:start w:val="1"/>
      <w:numFmt w:val="lowerLetter"/>
      <w:lvlText w:val="%8."/>
      <w:lvlJc w:val="left"/>
      <w:pPr>
        <w:ind w:left="5760" w:hanging="360"/>
      </w:pPr>
    </w:lvl>
    <w:lvl w:ilvl="8" w:tplc="3F982552" w:tentative="1">
      <w:start w:val="1"/>
      <w:numFmt w:val="lowerRoman"/>
      <w:lvlText w:val="%9."/>
      <w:lvlJc w:val="right"/>
      <w:pPr>
        <w:ind w:left="6480" w:hanging="180"/>
      </w:pPr>
    </w:lvl>
  </w:abstractNum>
  <w:abstractNum w:abstractNumId="38" w15:restartNumberingAfterBreak="0">
    <w:nsid w:val="7B3504BB"/>
    <w:multiLevelType w:val="hybridMultilevel"/>
    <w:tmpl w:val="9CD0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B417AF"/>
    <w:multiLevelType w:val="hybridMultilevel"/>
    <w:tmpl w:val="6DE08728"/>
    <w:lvl w:ilvl="0" w:tplc="9A1CBDFA">
      <w:start w:val="1"/>
      <w:numFmt w:val="bullet"/>
      <w:lvlText w:val=""/>
      <w:lvlJc w:val="left"/>
      <w:pPr>
        <w:ind w:left="720" w:hanging="360"/>
      </w:pPr>
      <w:rPr>
        <w:rFonts w:ascii="Symbol" w:hAnsi="Symbol" w:hint="default"/>
      </w:rPr>
    </w:lvl>
    <w:lvl w:ilvl="1" w:tplc="9886C304">
      <w:start w:val="1"/>
      <w:numFmt w:val="bullet"/>
      <w:lvlText w:val="o"/>
      <w:lvlJc w:val="left"/>
      <w:pPr>
        <w:ind w:left="1440" w:hanging="360"/>
      </w:pPr>
      <w:rPr>
        <w:rFonts w:ascii="Courier New" w:hAnsi="Courier New" w:hint="default"/>
      </w:rPr>
    </w:lvl>
    <w:lvl w:ilvl="2" w:tplc="F7B2FFE0">
      <w:start w:val="1"/>
      <w:numFmt w:val="bullet"/>
      <w:lvlText w:val=""/>
      <w:lvlJc w:val="left"/>
      <w:pPr>
        <w:ind w:left="2160" w:hanging="360"/>
      </w:pPr>
      <w:rPr>
        <w:rFonts w:ascii="Wingdings" w:hAnsi="Wingdings" w:hint="default"/>
      </w:rPr>
    </w:lvl>
    <w:lvl w:ilvl="3" w:tplc="017C51B4">
      <w:start w:val="1"/>
      <w:numFmt w:val="bullet"/>
      <w:lvlText w:val=""/>
      <w:lvlJc w:val="left"/>
      <w:pPr>
        <w:ind w:left="2880" w:hanging="360"/>
      </w:pPr>
      <w:rPr>
        <w:rFonts w:ascii="Symbol" w:hAnsi="Symbol" w:hint="default"/>
      </w:rPr>
    </w:lvl>
    <w:lvl w:ilvl="4" w:tplc="BC50E508">
      <w:start w:val="1"/>
      <w:numFmt w:val="bullet"/>
      <w:lvlText w:val="o"/>
      <w:lvlJc w:val="left"/>
      <w:pPr>
        <w:ind w:left="3600" w:hanging="360"/>
      </w:pPr>
      <w:rPr>
        <w:rFonts w:ascii="Courier New" w:hAnsi="Courier New" w:hint="default"/>
      </w:rPr>
    </w:lvl>
    <w:lvl w:ilvl="5" w:tplc="E7A8CEB0">
      <w:start w:val="1"/>
      <w:numFmt w:val="bullet"/>
      <w:lvlText w:val=""/>
      <w:lvlJc w:val="left"/>
      <w:pPr>
        <w:ind w:left="4320" w:hanging="360"/>
      </w:pPr>
      <w:rPr>
        <w:rFonts w:ascii="Wingdings" w:hAnsi="Wingdings" w:hint="default"/>
      </w:rPr>
    </w:lvl>
    <w:lvl w:ilvl="6" w:tplc="B344A7F2">
      <w:start w:val="1"/>
      <w:numFmt w:val="bullet"/>
      <w:lvlText w:val=""/>
      <w:lvlJc w:val="left"/>
      <w:pPr>
        <w:ind w:left="5040" w:hanging="360"/>
      </w:pPr>
      <w:rPr>
        <w:rFonts w:ascii="Symbol" w:hAnsi="Symbol" w:hint="default"/>
      </w:rPr>
    </w:lvl>
    <w:lvl w:ilvl="7" w:tplc="6A7CB240">
      <w:start w:val="1"/>
      <w:numFmt w:val="bullet"/>
      <w:lvlText w:val="o"/>
      <w:lvlJc w:val="left"/>
      <w:pPr>
        <w:ind w:left="5760" w:hanging="360"/>
      </w:pPr>
      <w:rPr>
        <w:rFonts w:ascii="Courier New" w:hAnsi="Courier New" w:hint="default"/>
      </w:rPr>
    </w:lvl>
    <w:lvl w:ilvl="8" w:tplc="C6FC61B4">
      <w:start w:val="1"/>
      <w:numFmt w:val="bullet"/>
      <w:lvlText w:val=""/>
      <w:lvlJc w:val="left"/>
      <w:pPr>
        <w:ind w:left="6480" w:hanging="360"/>
      </w:pPr>
      <w:rPr>
        <w:rFonts w:ascii="Wingdings" w:hAnsi="Wingdings" w:hint="default"/>
      </w:rPr>
    </w:lvl>
  </w:abstractNum>
  <w:num w:numId="1">
    <w:abstractNumId w:val="39"/>
  </w:num>
  <w:num w:numId="2">
    <w:abstractNumId w:val="28"/>
  </w:num>
  <w:num w:numId="3">
    <w:abstractNumId w:val="24"/>
  </w:num>
  <w:num w:numId="4">
    <w:abstractNumId w:val="22"/>
  </w:num>
  <w:num w:numId="5">
    <w:abstractNumId w:val="6"/>
  </w:num>
  <w:num w:numId="6">
    <w:abstractNumId w:val="9"/>
  </w:num>
  <w:num w:numId="7">
    <w:abstractNumId w:val="37"/>
  </w:num>
  <w:num w:numId="8">
    <w:abstractNumId w:val="14"/>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1"/>
  </w:num>
  <w:num w:numId="13">
    <w:abstractNumId w:val="34"/>
  </w:num>
  <w:num w:numId="14">
    <w:abstractNumId w:val="25"/>
  </w:num>
  <w:num w:numId="15">
    <w:abstractNumId w:val="32"/>
  </w:num>
  <w:num w:numId="16">
    <w:abstractNumId w:val="15"/>
  </w:num>
  <w:num w:numId="17">
    <w:abstractNumId w:val="19"/>
  </w:num>
  <w:num w:numId="18">
    <w:abstractNumId w:val="20"/>
  </w:num>
  <w:num w:numId="19">
    <w:abstractNumId w:val="8"/>
  </w:num>
  <w:num w:numId="20">
    <w:abstractNumId w:val="17"/>
  </w:num>
  <w:num w:numId="21">
    <w:abstractNumId w:val="36"/>
    <w:lvlOverride w:ilvl="0">
      <w:lvl w:ilvl="0">
        <w:start w:val="1"/>
        <w:numFmt w:val="bullet"/>
        <w:lvlText w:val="●"/>
        <w:lvlJc w:val="left"/>
        <w:pPr>
          <w:tabs>
            <w:tab w:val="num" w:pos="284"/>
          </w:tabs>
          <w:ind w:left="567" w:hanging="28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abstractNumId w:val="18"/>
  </w:num>
  <w:num w:numId="23">
    <w:abstractNumId w:val="1"/>
  </w:num>
  <w:num w:numId="24">
    <w:abstractNumId w:val="12"/>
  </w:num>
  <w:num w:numId="25">
    <w:abstractNumId w:val="23"/>
  </w:num>
  <w:num w:numId="26">
    <w:abstractNumId w:val="26"/>
  </w:num>
  <w:num w:numId="27">
    <w:abstractNumId w:val="27"/>
  </w:num>
  <w:num w:numId="28">
    <w:abstractNumId w:val="11"/>
  </w:num>
  <w:num w:numId="29">
    <w:abstractNumId w:val="13"/>
  </w:num>
  <w:num w:numId="30">
    <w:abstractNumId w:val="3"/>
  </w:num>
  <w:num w:numId="31">
    <w:abstractNumId w:val="0"/>
  </w:num>
  <w:num w:numId="32">
    <w:abstractNumId w:val="33"/>
  </w:num>
  <w:num w:numId="33">
    <w:abstractNumId w:val="38"/>
  </w:num>
  <w:num w:numId="34">
    <w:abstractNumId w:val="7"/>
  </w:num>
  <w:num w:numId="35">
    <w:abstractNumId w:val="10"/>
  </w:num>
  <w:num w:numId="36">
    <w:abstractNumId w:val="16"/>
  </w:num>
  <w:num w:numId="37">
    <w:abstractNumId w:val="21"/>
  </w:num>
  <w:num w:numId="38">
    <w:abstractNumId w:val="30"/>
  </w:num>
  <w:num w:numId="39">
    <w:abstractNumId w:val="5"/>
  </w:num>
  <w:num w:numId="40">
    <w:abstractNumId w:val="35"/>
  </w:num>
  <w:num w:numId="41">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2F"/>
    <w:rsid w:val="00000955"/>
    <w:rsid w:val="000021D4"/>
    <w:rsid w:val="0000227B"/>
    <w:rsid w:val="000025FF"/>
    <w:rsid w:val="000039A8"/>
    <w:rsid w:val="00003CF0"/>
    <w:rsid w:val="00004CF3"/>
    <w:rsid w:val="000053F8"/>
    <w:rsid w:val="00005840"/>
    <w:rsid w:val="000067FD"/>
    <w:rsid w:val="00007466"/>
    <w:rsid w:val="00007A14"/>
    <w:rsid w:val="00010C45"/>
    <w:rsid w:val="00015A88"/>
    <w:rsid w:val="000164D9"/>
    <w:rsid w:val="0001688C"/>
    <w:rsid w:val="00016B14"/>
    <w:rsid w:val="000170DA"/>
    <w:rsid w:val="00017D1D"/>
    <w:rsid w:val="000218F5"/>
    <w:rsid w:val="00021C55"/>
    <w:rsid w:val="00022CFF"/>
    <w:rsid w:val="0002348E"/>
    <w:rsid w:val="000239F3"/>
    <w:rsid w:val="00024458"/>
    <w:rsid w:val="00024D0A"/>
    <w:rsid w:val="00025340"/>
    <w:rsid w:val="0002688F"/>
    <w:rsid w:val="000270FC"/>
    <w:rsid w:val="0003032A"/>
    <w:rsid w:val="00030BFB"/>
    <w:rsid w:val="0003140B"/>
    <w:rsid w:val="000316E1"/>
    <w:rsid w:val="00037CA5"/>
    <w:rsid w:val="000401BE"/>
    <w:rsid w:val="00040912"/>
    <w:rsid w:val="0004179F"/>
    <w:rsid w:val="0004236C"/>
    <w:rsid w:val="00042793"/>
    <w:rsid w:val="00042DF9"/>
    <w:rsid w:val="0004388F"/>
    <w:rsid w:val="0004462D"/>
    <w:rsid w:val="000455AA"/>
    <w:rsid w:val="000459A2"/>
    <w:rsid w:val="00046200"/>
    <w:rsid w:val="0004683D"/>
    <w:rsid w:val="00047196"/>
    <w:rsid w:val="0004726C"/>
    <w:rsid w:val="000472DC"/>
    <w:rsid w:val="000477E6"/>
    <w:rsid w:val="00047EBC"/>
    <w:rsid w:val="000502F4"/>
    <w:rsid w:val="00052128"/>
    <w:rsid w:val="00052639"/>
    <w:rsid w:val="00052956"/>
    <w:rsid w:val="00054E70"/>
    <w:rsid w:val="0005508F"/>
    <w:rsid w:val="00055917"/>
    <w:rsid w:val="000603B8"/>
    <w:rsid w:val="00060DAF"/>
    <w:rsid w:val="000618F0"/>
    <w:rsid w:val="00061B49"/>
    <w:rsid w:val="000622DF"/>
    <w:rsid w:val="00063173"/>
    <w:rsid w:val="00066AE4"/>
    <w:rsid w:val="00070065"/>
    <w:rsid w:val="00072DFC"/>
    <w:rsid w:val="00073207"/>
    <w:rsid w:val="00073454"/>
    <w:rsid w:val="00073523"/>
    <w:rsid w:val="00075EC2"/>
    <w:rsid w:val="00076C40"/>
    <w:rsid w:val="00076E6C"/>
    <w:rsid w:val="00077298"/>
    <w:rsid w:val="00080DD0"/>
    <w:rsid w:val="000818E9"/>
    <w:rsid w:val="000819C7"/>
    <w:rsid w:val="00081E11"/>
    <w:rsid w:val="0008309E"/>
    <w:rsid w:val="00083D4D"/>
    <w:rsid w:val="00083E51"/>
    <w:rsid w:val="0008570F"/>
    <w:rsid w:val="00085CFC"/>
    <w:rsid w:val="00092A7D"/>
    <w:rsid w:val="00093778"/>
    <w:rsid w:val="00093D68"/>
    <w:rsid w:val="0009415E"/>
    <w:rsid w:val="00094552"/>
    <w:rsid w:val="00094F95"/>
    <w:rsid w:val="000966EA"/>
    <w:rsid w:val="00097546"/>
    <w:rsid w:val="000978E6"/>
    <w:rsid w:val="000A08E1"/>
    <w:rsid w:val="000A1536"/>
    <w:rsid w:val="000A19C2"/>
    <w:rsid w:val="000A318A"/>
    <w:rsid w:val="000A37A1"/>
    <w:rsid w:val="000A37B0"/>
    <w:rsid w:val="000A3BC6"/>
    <w:rsid w:val="000A3D47"/>
    <w:rsid w:val="000A4AD7"/>
    <w:rsid w:val="000A4FEE"/>
    <w:rsid w:val="000A560B"/>
    <w:rsid w:val="000A56BD"/>
    <w:rsid w:val="000A5C6B"/>
    <w:rsid w:val="000A69ED"/>
    <w:rsid w:val="000B18BC"/>
    <w:rsid w:val="000B3C04"/>
    <w:rsid w:val="000B3D8C"/>
    <w:rsid w:val="000B3EB7"/>
    <w:rsid w:val="000B43F7"/>
    <w:rsid w:val="000B4858"/>
    <w:rsid w:val="000B4BF8"/>
    <w:rsid w:val="000B50F8"/>
    <w:rsid w:val="000B5939"/>
    <w:rsid w:val="000B71A2"/>
    <w:rsid w:val="000C2F6D"/>
    <w:rsid w:val="000C58D6"/>
    <w:rsid w:val="000C72CC"/>
    <w:rsid w:val="000D143F"/>
    <w:rsid w:val="000D1A0C"/>
    <w:rsid w:val="000D1A58"/>
    <w:rsid w:val="000D1AFB"/>
    <w:rsid w:val="000D2FE7"/>
    <w:rsid w:val="000D4BE9"/>
    <w:rsid w:val="000D57D3"/>
    <w:rsid w:val="000D65F8"/>
    <w:rsid w:val="000D7802"/>
    <w:rsid w:val="000E0881"/>
    <w:rsid w:val="000E0B51"/>
    <w:rsid w:val="000E23A7"/>
    <w:rsid w:val="000E38C5"/>
    <w:rsid w:val="000E39A4"/>
    <w:rsid w:val="000E3D95"/>
    <w:rsid w:val="000E41D1"/>
    <w:rsid w:val="000E70BA"/>
    <w:rsid w:val="000F000E"/>
    <w:rsid w:val="000F082C"/>
    <w:rsid w:val="000F0AC5"/>
    <w:rsid w:val="000F2792"/>
    <w:rsid w:val="000F2894"/>
    <w:rsid w:val="000F2F71"/>
    <w:rsid w:val="000F4109"/>
    <w:rsid w:val="000F44FC"/>
    <w:rsid w:val="000F4FB8"/>
    <w:rsid w:val="000F503C"/>
    <w:rsid w:val="000F581C"/>
    <w:rsid w:val="000F7AF8"/>
    <w:rsid w:val="00101AC6"/>
    <w:rsid w:val="00103B4E"/>
    <w:rsid w:val="00104C97"/>
    <w:rsid w:val="00104F60"/>
    <w:rsid w:val="00105283"/>
    <w:rsid w:val="00105881"/>
    <w:rsid w:val="001059DF"/>
    <w:rsid w:val="00107136"/>
    <w:rsid w:val="0011020C"/>
    <w:rsid w:val="001113D6"/>
    <w:rsid w:val="00111CCE"/>
    <w:rsid w:val="00112202"/>
    <w:rsid w:val="00112B7A"/>
    <w:rsid w:val="001134E7"/>
    <w:rsid w:val="00114472"/>
    <w:rsid w:val="00114770"/>
    <w:rsid w:val="001166D3"/>
    <w:rsid w:val="001169C2"/>
    <w:rsid w:val="00120DC6"/>
    <w:rsid w:val="00120F13"/>
    <w:rsid w:val="00122EA2"/>
    <w:rsid w:val="00125AE4"/>
    <w:rsid w:val="00126866"/>
    <w:rsid w:val="00126B1D"/>
    <w:rsid w:val="00131BA0"/>
    <w:rsid w:val="0013362E"/>
    <w:rsid w:val="00133CEA"/>
    <w:rsid w:val="001344A4"/>
    <w:rsid w:val="00134E07"/>
    <w:rsid w:val="001367A5"/>
    <w:rsid w:val="00140BE6"/>
    <w:rsid w:val="00141BF0"/>
    <w:rsid w:val="00141E0F"/>
    <w:rsid w:val="00144ACE"/>
    <w:rsid w:val="00145444"/>
    <w:rsid w:val="00146438"/>
    <w:rsid w:val="00147692"/>
    <w:rsid w:val="00151E4B"/>
    <w:rsid w:val="001522D1"/>
    <w:rsid w:val="001524AC"/>
    <w:rsid w:val="00152C20"/>
    <w:rsid w:val="00152E29"/>
    <w:rsid w:val="00154740"/>
    <w:rsid w:val="00154DA1"/>
    <w:rsid w:val="00155441"/>
    <w:rsid w:val="00155AB8"/>
    <w:rsid w:val="00155B06"/>
    <w:rsid w:val="00156B25"/>
    <w:rsid w:val="001615DD"/>
    <w:rsid w:val="00161F9D"/>
    <w:rsid w:val="001623FC"/>
    <w:rsid w:val="0016303F"/>
    <w:rsid w:val="00163445"/>
    <w:rsid w:val="001643A6"/>
    <w:rsid w:val="001649B5"/>
    <w:rsid w:val="00164F7F"/>
    <w:rsid w:val="00166C7F"/>
    <w:rsid w:val="00166CE4"/>
    <w:rsid w:val="00167873"/>
    <w:rsid w:val="0017149E"/>
    <w:rsid w:val="0017169E"/>
    <w:rsid w:val="001725B8"/>
    <w:rsid w:val="00172BD5"/>
    <w:rsid w:val="00173155"/>
    <w:rsid w:val="001753C9"/>
    <w:rsid w:val="00175CD3"/>
    <w:rsid w:val="00176C08"/>
    <w:rsid w:val="00176CFF"/>
    <w:rsid w:val="00177DAB"/>
    <w:rsid w:val="00180776"/>
    <w:rsid w:val="0018146D"/>
    <w:rsid w:val="00181A4A"/>
    <w:rsid w:val="00182AFC"/>
    <w:rsid w:val="00182F6C"/>
    <w:rsid w:val="00183810"/>
    <w:rsid w:val="00184097"/>
    <w:rsid w:val="00184C12"/>
    <w:rsid w:val="00184C3B"/>
    <w:rsid w:val="00184CEA"/>
    <w:rsid w:val="00185AF0"/>
    <w:rsid w:val="00186054"/>
    <w:rsid w:val="001917FC"/>
    <w:rsid w:val="0019261F"/>
    <w:rsid w:val="00192931"/>
    <w:rsid w:val="00192C51"/>
    <w:rsid w:val="00193FAC"/>
    <w:rsid w:val="00194674"/>
    <w:rsid w:val="00194EF9"/>
    <w:rsid w:val="0019552E"/>
    <w:rsid w:val="00195F07"/>
    <w:rsid w:val="00196177"/>
    <w:rsid w:val="001A01D4"/>
    <w:rsid w:val="001A0209"/>
    <w:rsid w:val="001A05B0"/>
    <w:rsid w:val="001A0604"/>
    <w:rsid w:val="001A0731"/>
    <w:rsid w:val="001A0AFD"/>
    <w:rsid w:val="001A0F1E"/>
    <w:rsid w:val="001A149F"/>
    <w:rsid w:val="001A14E5"/>
    <w:rsid w:val="001A1C38"/>
    <w:rsid w:val="001A3A98"/>
    <w:rsid w:val="001A4ADD"/>
    <w:rsid w:val="001A4CA9"/>
    <w:rsid w:val="001A7602"/>
    <w:rsid w:val="001A7811"/>
    <w:rsid w:val="001A7F20"/>
    <w:rsid w:val="001A7F52"/>
    <w:rsid w:val="001B0743"/>
    <w:rsid w:val="001B0EE9"/>
    <w:rsid w:val="001B1C52"/>
    <w:rsid w:val="001B277F"/>
    <w:rsid w:val="001B2CD6"/>
    <w:rsid w:val="001B3096"/>
    <w:rsid w:val="001B4721"/>
    <w:rsid w:val="001B62D9"/>
    <w:rsid w:val="001B65B3"/>
    <w:rsid w:val="001B6BC1"/>
    <w:rsid w:val="001C0365"/>
    <w:rsid w:val="001C0411"/>
    <w:rsid w:val="001C0931"/>
    <w:rsid w:val="001C14B6"/>
    <w:rsid w:val="001C31B0"/>
    <w:rsid w:val="001C3D66"/>
    <w:rsid w:val="001C3DE9"/>
    <w:rsid w:val="001C44F6"/>
    <w:rsid w:val="001C6025"/>
    <w:rsid w:val="001C6556"/>
    <w:rsid w:val="001D1131"/>
    <w:rsid w:val="001D15E2"/>
    <w:rsid w:val="001D1C81"/>
    <w:rsid w:val="001D2969"/>
    <w:rsid w:val="001D2C92"/>
    <w:rsid w:val="001D2DED"/>
    <w:rsid w:val="001D47D2"/>
    <w:rsid w:val="001D5724"/>
    <w:rsid w:val="001D578A"/>
    <w:rsid w:val="001D6DA4"/>
    <w:rsid w:val="001D7779"/>
    <w:rsid w:val="001D7FB3"/>
    <w:rsid w:val="001E0BC6"/>
    <w:rsid w:val="001E11DF"/>
    <w:rsid w:val="001E1781"/>
    <w:rsid w:val="001E1A2F"/>
    <w:rsid w:val="001E1F6F"/>
    <w:rsid w:val="001E4AEC"/>
    <w:rsid w:val="001E58BF"/>
    <w:rsid w:val="001E5F71"/>
    <w:rsid w:val="001E6809"/>
    <w:rsid w:val="001E7678"/>
    <w:rsid w:val="001E7BB5"/>
    <w:rsid w:val="001F09EE"/>
    <w:rsid w:val="001F0B9A"/>
    <w:rsid w:val="001F1F8F"/>
    <w:rsid w:val="001F214F"/>
    <w:rsid w:val="001F2402"/>
    <w:rsid w:val="001F2614"/>
    <w:rsid w:val="001F421B"/>
    <w:rsid w:val="001F4CD2"/>
    <w:rsid w:val="001F4E4F"/>
    <w:rsid w:val="001F54D5"/>
    <w:rsid w:val="001F5E25"/>
    <w:rsid w:val="001F67B4"/>
    <w:rsid w:val="001F7B0F"/>
    <w:rsid w:val="00201266"/>
    <w:rsid w:val="002025CB"/>
    <w:rsid w:val="002029A6"/>
    <w:rsid w:val="00202F16"/>
    <w:rsid w:val="0020536E"/>
    <w:rsid w:val="00205931"/>
    <w:rsid w:val="002068BD"/>
    <w:rsid w:val="00206A6A"/>
    <w:rsid w:val="00210158"/>
    <w:rsid w:val="00210B6B"/>
    <w:rsid w:val="00211087"/>
    <w:rsid w:val="00211830"/>
    <w:rsid w:val="002133D3"/>
    <w:rsid w:val="002149A9"/>
    <w:rsid w:val="00215207"/>
    <w:rsid w:val="002174EB"/>
    <w:rsid w:val="00222060"/>
    <w:rsid w:val="00223FAF"/>
    <w:rsid w:val="00224873"/>
    <w:rsid w:val="00224BB8"/>
    <w:rsid w:val="00226891"/>
    <w:rsid w:val="002309EE"/>
    <w:rsid w:val="00230AFB"/>
    <w:rsid w:val="00231148"/>
    <w:rsid w:val="00231429"/>
    <w:rsid w:val="00235956"/>
    <w:rsid w:val="00235F75"/>
    <w:rsid w:val="002368AA"/>
    <w:rsid w:val="002376DF"/>
    <w:rsid w:val="002408EA"/>
    <w:rsid w:val="0024096A"/>
    <w:rsid w:val="00240B66"/>
    <w:rsid w:val="00240CD5"/>
    <w:rsid w:val="00241B24"/>
    <w:rsid w:val="00242ADD"/>
    <w:rsid w:val="00242B91"/>
    <w:rsid w:val="00243347"/>
    <w:rsid w:val="002433B4"/>
    <w:rsid w:val="00246B57"/>
    <w:rsid w:val="00246C83"/>
    <w:rsid w:val="00247949"/>
    <w:rsid w:val="00250637"/>
    <w:rsid w:val="00250B3D"/>
    <w:rsid w:val="00251249"/>
    <w:rsid w:val="00252434"/>
    <w:rsid w:val="00252AC4"/>
    <w:rsid w:val="002538AB"/>
    <w:rsid w:val="00253B4B"/>
    <w:rsid w:val="0025521A"/>
    <w:rsid w:val="00255707"/>
    <w:rsid w:val="0025573E"/>
    <w:rsid w:val="00256BC6"/>
    <w:rsid w:val="00256E26"/>
    <w:rsid w:val="00260369"/>
    <w:rsid w:val="00261F49"/>
    <w:rsid w:val="0026252A"/>
    <w:rsid w:val="002627F6"/>
    <w:rsid w:val="00263B1F"/>
    <w:rsid w:val="00264866"/>
    <w:rsid w:val="002715C0"/>
    <w:rsid w:val="00271FBB"/>
    <w:rsid w:val="002731C7"/>
    <w:rsid w:val="0027338E"/>
    <w:rsid w:val="0027556B"/>
    <w:rsid w:val="00275AE9"/>
    <w:rsid w:val="00276DA0"/>
    <w:rsid w:val="0027740F"/>
    <w:rsid w:val="00280DFB"/>
    <w:rsid w:val="002819D7"/>
    <w:rsid w:val="00281DC5"/>
    <w:rsid w:val="002824FD"/>
    <w:rsid w:val="002825A7"/>
    <w:rsid w:val="0028291A"/>
    <w:rsid w:val="00282A9D"/>
    <w:rsid w:val="00282AC3"/>
    <w:rsid w:val="00283A71"/>
    <w:rsid w:val="00284B18"/>
    <w:rsid w:val="00284FDD"/>
    <w:rsid w:val="00285042"/>
    <w:rsid w:val="0028608F"/>
    <w:rsid w:val="00286A61"/>
    <w:rsid w:val="00286BA4"/>
    <w:rsid w:val="0028749E"/>
    <w:rsid w:val="002918E2"/>
    <w:rsid w:val="002930DA"/>
    <w:rsid w:val="002931D6"/>
    <w:rsid w:val="00293404"/>
    <w:rsid w:val="002943E9"/>
    <w:rsid w:val="00295A5C"/>
    <w:rsid w:val="0029639F"/>
    <w:rsid w:val="002964B8"/>
    <w:rsid w:val="002979E9"/>
    <w:rsid w:val="002A0B3B"/>
    <w:rsid w:val="002A12A2"/>
    <w:rsid w:val="002A2495"/>
    <w:rsid w:val="002A3871"/>
    <w:rsid w:val="002A49D1"/>
    <w:rsid w:val="002A5A93"/>
    <w:rsid w:val="002A6BAF"/>
    <w:rsid w:val="002A766D"/>
    <w:rsid w:val="002A772E"/>
    <w:rsid w:val="002A7956"/>
    <w:rsid w:val="002B008F"/>
    <w:rsid w:val="002B0BE5"/>
    <w:rsid w:val="002B0F67"/>
    <w:rsid w:val="002B153D"/>
    <w:rsid w:val="002B1D96"/>
    <w:rsid w:val="002B2008"/>
    <w:rsid w:val="002B2ABC"/>
    <w:rsid w:val="002B5CE3"/>
    <w:rsid w:val="002B5E46"/>
    <w:rsid w:val="002B6712"/>
    <w:rsid w:val="002B6BB2"/>
    <w:rsid w:val="002B7763"/>
    <w:rsid w:val="002C1A7E"/>
    <w:rsid w:val="002C1DBF"/>
    <w:rsid w:val="002C2488"/>
    <w:rsid w:val="002C286E"/>
    <w:rsid w:val="002C2C14"/>
    <w:rsid w:val="002C3C01"/>
    <w:rsid w:val="002C3D8A"/>
    <w:rsid w:val="002C3DF0"/>
    <w:rsid w:val="002C47DC"/>
    <w:rsid w:val="002C4856"/>
    <w:rsid w:val="002C521C"/>
    <w:rsid w:val="002C606B"/>
    <w:rsid w:val="002C7AB4"/>
    <w:rsid w:val="002C7BEE"/>
    <w:rsid w:val="002D009F"/>
    <w:rsid w:val="002D06A6"/>
    <w:rsid w:val="002D0D23"/>
    <w:rsid w:val="002D299D"/>
    <w:rsid w:val="002D2B36"/>
    <w:rsid w:val="002D3376"/>
    <w:rsid w:val="002D3847"/>
    <w:rsid w:val="002D3F3A"/>
    <w:rsid w:val="002D5795"/>
    <w:rsid w:val="002D6D41"/>
    <w:rsid w:val="002E0DC5"/>
    <w:rsid w:val="002E1036"/>
    <w:rsid w:val="002E1D4C"/>
    <w:rsid w:val="002E2138"/>
    <w:rsid w:val="002E2B62"/>
    <w:rsid w:val="002E3DD4"/>
    <w:rsid w:val="002E400A"/>
    <w:rsid w:val="002E5164"/>
    <w:rsid w:val="002E63B5"/>
    <w:rsid w:val="002E66C1"/>
    <w:rsid w:val="002E71E0"/>
    <w:rsid w:val="002E7477"/>
    <w:rsid w:val="002F0EF1"/>
    <w:rsid w:val="002F153E"/>
    <w:rsid w:val="002F30C8"/>
    <w:rsid w:val="002F5EC6"/>
    <w:rsid w:val="002F6414"/>
    <w:rsid w:val="002F6626"/>
    <w:rsid w:val="002F694D"/>
    <w:rsid w:val="002F703E"/>
    <w:rsid w:val="002F7CDC"/>
    <w:rsid w:val="003005C2"/>
    <w:rsid w:val="003020BC"/>
    <w:rsid w:val="00303C2F"/>
    <w:rsid w:val="0030524E"/>
    <w:rsid w:val="00306D3F"/>
    <w:rsid w:val="00307577"/>
    <w:rsid w:val="00307CD7"/>
    <w:rsid w:val="00307EC1"/>
    <w:rsid w:val="003105CB"/>
    <w:rsid w:val="0031120A"/>
    <w:rsid w:val="003115EC"/>
    <w:rsid w:val="00311ED0"/>
    <w:rsid w:val="003126D5"/>
    <w:rsid w:val="003128E8"/>
    <w:rsid w:val="003131D3"/>
    <w:rsid w:val="00313A15"/>
    <w:rsid w:val="00313EA3"/>
    <w:rsid w:val="003144D6"/>
    <w:rsid w:val="00316840"/>
    <w:rsid w:val="0031712E"/>
    <w:rsid w:val="00317C96"/>
    <w:rsid w:val="00317CD1"/>
    <w:rsid w:val="00317E85"/>
    <w:rsid w:val="00320573"/>
    <w:rsid w:val="00320B01"/>
    <w:rsid w:val="00320C87"/>
    <w:rsid w:val="00320CE2"/>
    <w:rsid w:val="003219D5"/>
    <w:rsid w:val="00322200"/>
    <w:rsid w:val="0032242B"/>
    <w:rsid w:val="0032285C"/>
    <w:rsid w:val="00322976"/>
    <w:rsid w:val="00322E47"/>
    <w:rsid w:val="003246F4"/>
    <w:rsid w:val="00324CDF"/>
    <w:rsid w:val="0032515A"/>
    <w:rsid w:val="00325D4E"/>
    <w:rsid w:val="003263F8"/>
    <w:rsid w:val="003266AE"/>
    <w:rsid w:val="0032685F"/>
    <w:rsid w:val="00327E1A"/>
    <w:rsid w:val="00327FED"/>
    <w:rsid w:val="00331B60"/>
    <w:rsid w:val="00332BDB"/>
    <w:rsid w:val="00333188"/>
    <w:rsid w:val="00335146"/>
    <w:rsid w:val="003353CA"/>
    <w:rsid w:val="003357E9"/>
    <w:rsid w:val="00335AA9"/>
    <w:rsid w:val="00335BB9"/>
    <w:rsid w:val="00335C1B"/>
    <w:rsid w:val="00336341"/>
    <w:rsid w:val="00340065"/>
    <w:rsid w:val="0034027F"/>
    <w:rsid w:val="0034180F"/>
    <w:rsid w:val="00341C27"/>
    <w:rsid w:val="00343597"/>
    <w:rsid w:val="003446D7"/>
    <w:rsid w:val="00345BB4"/>
    <w:rsid w:val="003462E4"/>
    <w:rsid w:val="003471F2"/>
    <w:rsid w:val="00350DD5"/>
    <w:rsid w:val="00351A0B"/>
    <w:rsid w:val="00353000"/>
    <w:rsid w:val="00354EDA"/>
    <w:rsid w:val="00356D60"/>
    <w:rsid w:val="00357E84"/>
    <w:rsid w:val="00357FF9"/>
    <w:rsid w:val="0036032E"/>
    <w:rsid w:val="00361466"/>
    <w:rsid w:val="003618EC"/>
    <w:rsid w:val="00361FFC"/>
    <w:rsid w:val="003629D9"/>
    <w:rsid w:val="00362EAF"/>
    <w:rsid w:val="00363C6C"/>
    <w:rsid w:val="0036431F"/>
    <w:rsid w:val="003648C5"/>
    <w:rsid w:val="00365825"/>
    <w:rsid w:val="00365933"/>
    <w:rsid w:val="003664C4"/>
    <w:rsid w:val="00366CD2"/>
    <w:rsid w:val="00371CED"/>
    <w:rsid w:val="003722FA"/>
    <w:rsid w:val="00372ACF"/>
    <w:rsid w:val="0037457D"/>
    <w:rsid w:val="00374EE8"/>
    <w:rsid w:val="00375ED7"/>
    <w:rsid w:val="003763A0"/>
    <w:rsid w:val="00376665"/>
    <w:rsid w:val="003777C1"/>
    <w:rsid w:val="00382670"/>
    <w:rsid w:val="003828E0"/>
    <w:rsid w:val="00383263"/>
    <w:rsid w:val="00384120"/>
    <w:rsid w:val="0038591D"/>
    <w:rsid w:val="00386F1D"/>
    <w:rsid w:val="00386FEC"/>
    <w:rsid w:val="00391D04"/>
    <w:rsid w:val="00393695"/>
    <w:rsid w:val="003937C2"/>
    <w:rsid w:val="00393A99"/>
    <w:rsid w:val="003944DD"/>
    <w:rsid w:val="003954AC"/>
    <w:rsid w:val="00395B15"/>
    <w:rsid w:val="0039760C"/>
    <w:rsid w:val="003A05AA"/>
    <w:rsid w:val="003A06A3"/>
    <w:rsid w:val="003A1AED"/>
    <w:rsid w:val="003A1DA3"/>
    <w:rsid w:val="003A33C9"/>
    <w:rsid w:val="003A4C01"/>
    <w:rsid w:val="003A692A"/>
    <w:rsid w:val="003A7F7F"/>
    <w:rsid w:val="003B0103"/>
    <w:rsid w:val="003B0AE3"/>
    <w:rsid w:val="003B2259"/>
    <w:rsid w:val="003B2769"/>
    <w:rsid w:val="003B2B26"/>
    <w:rsid w:val="003B2DFE"/>
    <w:rsid w:val="003B3D30"/>
    <w:rsid w:val="003B444A"/>
    <w:rsid w:val="003B5BC7"/>
    <w:rsid w:val="003C206D"/>
    <w:rsid w:val="003C2A02"/>
    <w:rsid w:val="003C2C47"/>
    <w:rsid w:val="003C3FF8"/>
    <w:rsid w:val="003C4EA5"/>
    <w:rsid w:val="003C5D76"/>
    <w:rsid w:val="003C5DEC"/>
    <w:rsid w:val="003C619F"/>
    <w:rsid w:val="003C67C6"/>
    <w:rsid w:val="003C7782"/>
    <w:rsid w:val="003C7AAF"/>
    <w:rsid w:val="003D2042"/>
    <w:rsid w:val="003D39D2"/>
    <w:rsid w:val="003D3B4B"/>
    <w:rsid w:val="003D4569"/>
    <w:rsid w:val="003D553C"/>
    <w:rsid w:val="003D651C"/>
    <w:rsid w:val="003E085B"/>
    <w:rsid w:val="003E097B"/>
    <w:rsid w:val="003E188C"/>
    <w:rsid w:val="003E2795"/>
    <w:rsid w:val="003E4B98"/>
    <w:rsid w:val="003E5282"/>
    <w:rsid w:val="003E6113"/>
    <w:rsid w:val="003E6DE6"/>
    <w:rsid w:val="003E7AEF"/>
    <w:rsid w:val="003F07A7"/>
    <w:rsid w:val="003F09DA"/>
    <w:rsid w:val="003F0A53"/>
    <w:rsid w:val="003F0F57"/>
    <w:rsid w:val="003F128A"/>
    <w:rsid w:val="003F142E"/>
    <w:rsid w:val="003F35E7"/>
    <w:rsid w:val="003F4945"/>
    <w:rsid w:val="003F5461"/>
    <w:rsid w:val="003F6D4C"/>
    <w:rsid w:val="00401626"/>
    <w:rsid w:val="00401D32"/>
    <w:rsid w:val="00401E8B"/>
    <w:rsid w:val="00401EDE"/>
    <w:rsid w:val="00402935"/>
    <w:rsid w:val="00403110"/>
    <w:rsid w:val="0040463B"/>
    <w:rsid w:val="004052F4"/>
    <w:rsid w:val="00405479"/>
    <w:rsid w:val="00405662"/>
    <w:rsid w:val="004075B6"/>
    <w:rsid w:val="00407C74"/>
    <w:rsid w:val="00411750"/>
    <w:rsid w:val="004138AD"/>
    <w:rsid w:val="00414060"/>
    <w:rsid w:val="00414BE1"/>
    <w:rsid w:val="00415B10"/>
    <w:rsid w:val="00416787"/>
    <w:rsid w:val="004169EF"/>
    <w:rsid w:val="00416F4C"/>
    <w:rsid w:val="0041749F"/>
    <w:rsid w:val="00420770"/>
    <w:rsid w:val="00420952"/>
    <w:rsid w:val="00422CAB"/>
    <w:rsid w:val="00423BE7"/>
    <w:rsid w:val="004247DD"/>
    <w:rsid w:val="00427327"/>
    <w:rsid w:val="00427F07"/>
    <w:rsid w:val="00430056"/>
    <w:rsid w:val="00430BC9"/>
    <w:rsid w:val="0043217F"/>
    <w:rsid w:val="004338C3"/>
    <w:rsid w:val="00433EFF"/>
    <w:rsid w:val="0043458B"/>
    <w:rsid w:val="0043489B"/>
    <w:rsid w:val="00434BF8"/>
    <w:rsid w:val="004352AE"/>
    <w:rsid w:val="004367F1"/>
    <w:rsid w:val="00437715"/>
    <w:rsid w:val="00437D8C"/>
    <w:rsid w:val="00440EC7"/>
    <w:rsid w:val="004414F9"/>
    <w:rsid w:val="00441BD1"/>
    <w:rsid w:val="00442178"/>
    <w:rsid w:val="00442380"/>
    <w:rsid w:val="00442D51"/>
    <w:rsid w:val="00443081"/>
    <w:rsid w:val="004441D5"/>
    <w:rsid w:val="00444769"/>
    <w:rsid w:val="004449FB"/>
    <w:rsid w:val="00445344"/>
    <w:rsid w:val="004457DF"/>
    <w:rsid w:val="00445E3A"/>
    <w:rsid w:val="00446521"/>
    <w:rsid w:val="00446BEE"/>
    <w:rsid w:val="00451624"/>
    <w:rsid w:val="004528FD"/>
    <w:rsid w:val="00452B8A"/>
    <w:rsid w:val="00452FC3"/>
    <w:rsid w:val="0045559D"/>
    <w:rsid w:val="0045673D"/>
    <w:rsid w:val="0045687C"/>
    <w:rsid w:val="004569ED"/>
    <w:rsid w:val="00456C8B"/>
    <w:rsid w:val="004570C1"/>
    <w:rsid w:val="0045733F"/>
    <w:rsid w:val="00457868"/>
    <w:rsid w:val="00463447"/>
    <w:rsid w:val="0046349C"/>
    <w:rsid w:val="00463C06"/>
    <w:rsid w:val="00471CB1"/>
    <w:rsid w:val="004737AD"/>
    <w:rsid w:val="004758C3"/>
    <w:rsid w:val="0047707C"/>
    <w:rsid w:val="0048010A"/>
    <w:rsid w:val="00480DF3"/>
    <w:rsid w:val="00481DDA"/>
    <w:rsid w:val="004822DA"/>
    <w:rsid w:val="0048255A"/>
    <w:rsid w:val="00483BFA"/>
    <w:rsid w:val="0048557E"/>
    <w:rsid w:val="0048568C"/>
    <w:rsid w:val="00486C19"/>
    <w:rsid w:val="00487D96"/>
    <w:rsid w:val="00491157"/>
    <w:rsid w:val="00494354"/>
    <w:rsid w:val="004950FA"/>
    <w:rsid w:val="004A08CC"/>
    <w:rsid w:val="004A0B0F"/>
    <w:rsid w:val="004A0FC2"/>
    <w:rsid w:val="004A1339"/>
    <w:rsid w:val="004A241E"/>
    <w:rsid w:val="004A2C3E"/>
    <w:rsid w:val="004A3428"/>
    <w:rsid w:val="004A490E"/>
    <w:rsid w:val="004A5870"/>
    <w:rsid w:val="004A5FB6"/>
    <w:rsid w:val="004A68F2"/>
    <w:rsid w:val="004A6B7C"/>
    <w:rsid w:val="004B0A79"/>
    <w:rsid w:val="004B124E"/>
    <w:rsid w:val="004B12C5"/>
    <w:rsid w:val="004B246E"/>
    <w:rsid w:val="004B2C32"/>
    <w:rsid w:val="004B31A0"/>
    <w:rsid w:val="004B406C"/>
    <w:rsid w:val="004B4713"/>
    <w:rsid w:val="004B543D"/>
    <w:rsid w:val="004B59AD"/>
    <w:rsid w:val="004B59B8"/>
    <w:rsid w:val="004B5EF3"/>
    <w:rsid w:val="004B6140"/>
    <w:rsid w:val="004C2487"/>
    <w:rsid w:val="004C25FA"/>
    <w:rsid w:val="004C3DDA"/>
    <w:rsid w:val="004C4B67"/>
    <w:rsid w:val="004C5E08"/>
    <w:rsid w:val="004C661D"/>
    <w:rsid w:val="004D0D96"/>
    <w:rsid w:val="004D1FA1"/>
    <w:rsid w:val="004D4E8A"/>
    <w:rsid w:val="004D4FA0"/>
    <w:rsid w:val="004D7847"/>
    <w:rsid w:val="004D7B18"/>
    <w:rsid w:val="004D7BBB"/>
    <w:rsid w:val="004D7C28"/>
    <w:rsid w:val="004E0E00"/>
    <w:rsid w:val="004E0F70"/>
    <w:rsid w:val="004E1E84"/>
    <w:rsid w:val="004E4462"/>
    <w:rsid w:val="004E4577"/>
    <w:rsid w:val="004E5767"/>
    <w:rsid w:val="004E59D9"/>
    <w:rsid w:val="004E780E"/>
    <w:rsid w:val="004F0ECF"/>
    <w:rsid w:val="004F11C8"/>
    <w:rsid w:val="004F16DF"/>
    <w:rsid w:val="004F1BFD"/>
    <w:rsid w:val="004F202F"/>
    <w:rsid w:val="004F2E7A"/>
    <w:rsid w:val="004F2E87"/>
    <w:rsid w:val="004F3FF8"/>
    <w:rsid w:val="004F48FA"/>
    <w:rsid w:val="004F4AB1"/>
    <w:rsid w:val="004F5B7C"/>
    <w:rsid w:val="004F5C12"/>
    <w:rsid w:val="004F6E0B"/>
    <w:rsid w:val="004F7473"/>
    <w:rsid w:val="004F7508"/>
    <w:rsid w:val="00500B7B"/>
    <w:rsid w:val="00500C18"/>
    <w:rsid w:val="0050100B"/>
    <w:rsid w:val="00501DBA"/>
    <w:rsid w:val="005025A1"/>
    <w:rsid w:val="00502DC6"/>
    <w:rsid w:val="00505CCE"/>
    <w:rsid w:val="0050693D"/>
    <w:rsid w:val="005101E4"/>
    <w:rsid w:val="00510A4B"/>
    <w:rsid w:val="005120B9"/>
    <w:rsid w:val="00513A68"/>
    <w:rsid w:val="005148CD"/>
    <w:rsid w:val="0051620B"/>
    <w:rsid w:val="00516B93"/>
    <w:rsid w:val="00517730"/>
    <w:rsid w:val="00517C58"/>
    <w:rsid w:val="005217CF"/>
    <w:rsid w:val="00521C92"/>
    <w:rsid w:val="005220C0"/>
    <w:rsid w:val="0052244D"/>
    <w:rsid w:val="0052445C"/>
    <w:rsid w:val="005250E9"/>
    <w:rsid w:val="005310C1"/>
    <w:rsid w:val="005320B2"/>
    <w:rsid w:val="005322ED"/>
    <w:rsid w:val="00532E65"/>
    <w:rsid w:val="00533642"/>
    <w:rsid w:val="00535929"/>
    <w:rsid w:val="00535F1A"/>
    <w:rsid w:val="0053610D"/>
    <w:rsid w:val="005377A5"/>
    <w:rsid w:val="00541EEE"/>
    <w:rsid w:val="00544EC2"/>
    <w:rsid w:val="005452B0"/>
    <w:rsid w:val="00545F5F"/>
    <w:rsid w:val="005505C6"/>
    <w:rsid w:val="00551FD0"/>
    <w:rsid w:val="00552066"/>
    <w:rsid w:val="00554A47"/>
    <w:rsid w:val="0055661F"/>
    <w:rsid w:val="00556C0F"/>
    <w:rsid w:val="00560032"/>
    <w:rsid w:val="00562F7E"/>
    <w:rsid w:val="0056538D"/>
    <w:rsid w:val="00570B01"/>
    <w:rsid w:val="00570CAF"/>
    <w:rsid w:val="00570D2B"/>
    <w:rsid w:val="005722D4"/>
    <w:rsid w:val="00577589"/>
    <w:rsid w:val="0058087D"/>
    <w:rsid w:val="005809A0"/>
    <w:rsid w:val="00580B3C"/>
    <w:rsid w:val="00584F4E"/>
    <w:rsid w:val="00586D6F"/>
    <w:rsid w:val="0059377C"/>
    <w:rsid w:val="00593ACD"/>
    <w:rsid w:val="00595E33"/>
    <w:rsid w:val="005964B8"/>
    <w:rsid w:val="00597018"/>
    <w:rsid w:val="005A0146"/>
    <w:rsid w:val="005A2482"/>
    <w:rsid w:val="005A3E21"/>
    <w:rsid w:val="005A48C0"/>
    <w:rsid w:val="005A7638"/>
    <w:rsid w:val="005B0EED"/>
    <w:rsid w:val="005B1168"/>
    <w:rsid w:val="005B2D3C"/>
    <w:rsid w:val="005B2F52"/>
    <w:rsid w:val="005B35B0"/>
    <w:rsid w:val="005B416E"/>
    <w:rsid w:val="005C0B74"/>
    <w:rsid w:val="005C118D"/>
    <w:rsid w:val="005C1599"/>
    <w:rsid w:val="005C367D"/>
    <w:rsid w:val="005C49F6"/>
    <w:rsid w:val="005C4B48"/>
    <w:rsid w:val="005C62B9"/>
    <w:rsid w:val="005C7CA9"/>
    <w:rsid w:val="005D0DD8"/>
    <w:rsid w:val="005D10F5"/>
    <w:rsid w:val="005D1933"/>
    <w:rsid w:val="005D1BCB"/>
    <w:rsid w:val="005D2CBC"/>
    <w:rsid w:val="005D3128"/>
    <w:rsid w:val="005D3160"/>
    <w:rsid w:val="005D3712"/>
    <w:rsid w:val="005D4D82"/>
    <w:rsid w:val="005D4F37"/>
    <w:rsid w:val="005D6D0F"/>
    <w:rsid w:val="005D790E"/>
    <w:rsid w:val="005E037A"/>
    <w:rsid w:val="005E0BC3"/>
    <w:rsid w:val="005E2257"/>
    <w:rsid w:val="005E4806"/>
    <w:rsid w:val="005E5484"/>
    <w:rsid w:val="005E76E9"/>
    <w:rsid w:val="005E7D30"/>
    <w:rsid w:val="005F0150"/>
    <w:rsid w:val="005F34C6"/>
    <w:rsid w:val="005F39AA"/>
    <w:rsid w:val="005F3EF0"/>
    <w:rsid w:val="005F5D23"/>
    <w:rsid w:val="005F6917"/>
    <w:rsid w:val="005F79A2"/>
    <w:rsid w:val="00600E79"/>
    <w:rsid w:val="00601630"/>
    <w:rsid w:val="006025C5"/>
    <w:rsid w:val="00603F11"/>
    <w:rsid w:val="0060535B"/>
    <w:rsid w:val="00605E11"/>
    <w:rsid w:val="00607BB3"/>
    <w:rsid w:val="00611027"/>
    <w:rsid w:val="00612298"/>
    <w:rsid w:val="006150F8"/>
    <w:rsid w:val="00620044"/>
    <w:rsid w:val="00621D4E"/>
    <w:rsid w:val="00626534"/>
    <w:rsid w:val="0062689E"/>
    <w:rsid w:val="006300E8"/>
    <w:rsid w:val="006313D9"/>
    <w:rsid w:val="0063160C"/>
    <w:rsid w:val="0063240A"/>
    <w:rsid w:val="006352F6"/>
    <w:rsid w:val="00640462"/>
    <w:rsid w:val="00640F16"/>
    <w:rsid w:val="006419D2"/>
    <w:rsid w:val="0064292F"/>
    <w:rsid w:val="006432AF"/>
    <w:rsid w:val="006438F3"/>
    <w:rsid w:val="00643D25"/>
    <w:rsid w:val="00643DBF"/>
    <w:rsid w:val="00644AAF"/>
    <w:rsid w:val="00645E24"/>
    <w:rsid w:val="006474D6"/>
    <w:rsid w:val="006504C3"/>
    <w:rsid w:val="0065128C"/>
    <w:rsid w:val="00651336"/>
    <w:rsid w:val="00651AC3"/>
    <w:rsid w:val="00652714"/>
    <w:rsid w:val="00653D50"/>
    <w:rsid w:val="0065523F"/>
    <w:rsid w:val="006608F1"/>
    <w:rsid w:val="00660B3F"/>
    <w:rsid w:val="006639CE"/>
    <w:rsid w:val="00663A47"/>
    <w:rsid w:val="00663B98"/>
    <w:rsid w:val="006651FF"/>
    <w:rsid w:val="00665547"/>
    <w:rsid w:val="00673993"/>
    <w:rsid w:val="00673DF0"/>
    <w:rsid w:val="00676162"/>
    <w:rsid w:val="006774E5"/>
    <w:rsid w:val="006776F6"/>
    <w:rsid w:val="0067774B"/>
    <w:rsid w:val="00677BB5"/>
    <w:rsid w:val="00680F16"/>
    <w:rsid w:val="0068323A"/>
    <w:rsid w:val="006836D5"/>
    <w:rsid w:val="00685423"/>
    <w:rsid w:val="00685615"/>
    <w:rsid w:val="0068588C"/>
    <w:rsid w:val="0068650D"/>
    <w:rsid w:val="00686EE9"/>
    <w:rsid w:val="006872D6"/>
    <w:rsid w:val="00690A19"/>
    <w:rsid w:val="00690C50"/>
    <w:rsid w:val="006913BA"/>
    <w:rsid w:val="006921E1"/>
    <w:rsid w:val="00692B08"/>
    <w:rsid w:val="00695AD0"/>
    <w:rsid w:val="0069766D"/>
    <w:rsid w:val="006A0D16"/>
    <w:rsid w:val="006A113E"/>
    <w:rsid w:val="006A1D00"/>
    <w:rsid w:val="006A2067"/>
    <w:rsid w:val="006A2489"/>
    <w:rsid w:val="006A3177"/>
    <w:rsid w:val="006A3191"/>
    <w:rsid w:val="006A33D0"/>
    <w:rsid w:val="006A3DDA"/>
    <w:rsid w:val="006A4215"/>
    <w:rsid w:val="006A4389"/>
    <w:rsid w:val="006A5315"/>
    <w:rsid w:val="006A5809"/>
    <w:rsid w:val="006A6481"/>
    <w:rsid w:val="006A7899"/>
    <w:rsid w:val="006A7CF2"/>
    <w:rsid w:val="006B32A9"/>
    <w:rsid w:val="006B4664"/>
    <w:rsid w:val="006B492B"/>
    <w:rsid w:val="006B6487"/>
    <w:rsid w:val="006B6CDA"/>
    <w:rsid w:val="006B701B"/>
    <w:rsid w:val="006C0D7D"/>
    <w:rsid w:val="006C1407"/>
    <w:rsid w:val="006C2034"/>
    <w:rsid w:val="006C239D"/>
    <w:rsid w:val="006C4727"/>
    <w:rsid w:val="006C61B7"/>
    <w:rsid w:val="006C68BA"/>
    <w:rsid w:val="006C7785"/>
    <w:rsid w:val="006C7B86"/>
    <w:rsid w:val="006D1EFA"/>
    <w:rsid w:val="006D264D"/>
    <w:rsid w:val="006D28E8"/>
    <w:rsid w:val="006D2FA4"/>
    <w:rsid w:val="006D3E97"/>
    <w:rsid w:val="006D4F5A"/>
    <w:rsid w:val="006D5758"/>
    <w:rsid w:val="006D6015"/>
    <w:rsid w:val="006D627F"/>
    <w:rsid w:val="006D6297"/>
    <w:rsid w:val="006D682D"/>
    <w:rsid w:val="006E05CB"/>
    <w:rsid w:val="006E0E91"/>
    <w:rsid w:val="006E1227"/>
    <w:rsid w:val="006E2238"/>
    <w:rsid w:val="006E2A76"/>
    <w:rsid w:val="006E4975"/>
    <w:rsid w:val="006E6162"/>
    <w:rsid w:val="006E6D72"/>
    <w:rsid w:val="006E7AEE"/>
    <w:rsid w:val="006E7BEE"/>
    <w:rsid w:val="006F13B6"/>
    <w:rsid w:val="006F2027"/>
    <w:rsid w:val="006F3657"/>
    <w:rsid w:val="006F4B25"/>
    <w:rsid w:val="006F4C1F"/>
    <w:rsid w:val="006F5C14"/>
    <w:rsid w:val="006F6496"/>
    <w:rsid w:val="006F7D9F"/>
    <w:rsid w:val="00700524"/>
    <w:rsid w:val="00700F4C"/>
    <w:rsid w:val="00701B8D"/>
    <w:rsid w:val="007021D9"/>
    <w:rsid w:val="0070426C"/>
    <w:rsid w:val="00704532"/>
    <w:rsid w:val="00706026"/>
    <w:rsid w:val="0070626D"/>
    <w:rsid w:val="00710A5D"/>
    <w:rsid w:val="0071140C"/>
    <w:rsid w:val="00711842"/>
    <w:rsid w:val="007135C6"/>
    <w:rsid w:val="007146EC"/>
    <w:rsid w:val="00715D7D"/>
    <w:rsid w:val="007163DB"/>
    <w:rsid w:val="00716466"/>
    <w:rsid w:val="00716E94"/>
    <w:rsid w:val="0071721A"/>
    <w:rsid w:val="00717BA2"/>
    <w:rsid w:val="00721937"/>
    <w:rsid w:val="00721C93"/>
    <w:rsid w:val="00721FC5"/>
    <w:rsid w:val="0072255F"/>
    <w:rsid w:val="00725210"/>
    <w:rsid w:val="00732568"/>
    <w:rsid w:val="00733341"/>
    <w:rsid w:val="007347A7"/>
    <w:rsid w:val="00734F5F"/>
    <w:rsid w:val="00736348"/>
    <w:rsid w:val="00736881"/>
    <w:rsid w:val="00737108"/>
    <w:rsid w:val="0074118F"/>
    <w:rsid w:val="0074198A"/>
    <w:rsid w:val="00741CF6"/>
    <w:rsid w:val="00742D5E"/>
    <w:rsid w:val="00742F18"/>
    <w:rsid w:val="0074371E"/>
    <w:rsid w:val="0074491E"/>
    <w:rsid w:val="007462FB"/>
    <w:rsid w:val="007466F6"/>
    <w:rsid w:val="00750BD0"/>
    <w:rsid w:val="007518CF"/>
    <w:rsid w:val="00752035"/>
    <w:rsid w:val="00752070"/>
    <w:rsid w:val="00753284"/>
    <w:rsid w:val="007560D4"/>
    <w:rsid w:val="00756A1D"/>
    <w:rsid w:val="00756A8F"/>
    <w:rsid w:val="0075701B"/>
    <w:rsid w:val="00760908"/>
    <w:rsid w:val="00760C0D"/>
    <w:rsid w:val="00761225"/>
    <w:rsid w:val="007615CC"/>
    <w:rsid w:val="00761EDB"/>
    <w:rsid w:val="00763D33"/>
    <w:rsid w:val="00765820"/>
    <w:rsid w:val="00765DB0"/>
    <w:rsid w:val="00765EFB"/>
    <w:rsid w:val="00766C37"/>
    <w:rsid w:val="00766D91"/>
    <w:rsid w:val="00767AD1"/>
    <w:rsid w:val="00770876"/>
    <w:rsid w:val="00771D0A"/>
    <w:rsid w:val="0077203C"/>
    <w:rsid w:val="007733D2"/>
    <w:rsid w:val="0077691B"/>
    <w:rsid w:val="00776D1F"/>
    <w:rsid w:val="00777CDC"/>
    <w:rsid w:val="0078001F"/>
    <w:rsid w:val="00781C46"/>
    <w:rsid w:val="00781D69"/>
    <w:rsid w:val="007827DD"/>
    <w:rsid w:val="00782D7F"/>
    <w:rsid w:val="00782DD5"/>
    <w:rsid w:val="00783D58"/>
    <w:rsid w:val="007847F4"/>
    <w:rsid w:val="0078547D"/>
    <w:rsid w:val="00785A74"/>
    <w:rsid w:val="00785EB6"/>
    <w:rsid w:val="00785F80"/>
    <w:rsid w:val="007862C5"/>
    <w:rsid w:val="00786DE0"/>
    <w:rsid w:val="00790105"/>
    <w:rsid w:val="00790293"/>
    <w:rsid w:val="00793F8D"/>
    <w:rsid w:val="007940BD"/>
    <w:rsid w:val="00795286"/>
    <w:rsid w:val="0079657E"/>
    <w:rsid w:val="007975EF"/>
    <w:rsid w:val="007A0EFA"/>
    <w:rsid w:val="007A12B2"/>
    <w:rsid w:val="007A13BC"/>
    <w:rsid w:val="007A16ED"/>
    <w:rsid w:val="007A2FCA"/>
    <w:rsid w:val="007A3612"/>
    <w:rsid w:val="007A4D5E"/>
    <w:rsid w:val="007A542A"/>
    <w:rsid w:val="007A6274"/>
    <w:rsid w:val="007A6642"/>
    <w:rsid w:val="007B03EE"/>
    <w:rsid w:val="007B0FD3"/>
    <w:rsid w:val="007B12F6"/>
    <w:rsid w:val="007B1475"/>
    <w:rsid w:val="007B18AE"/>
    <w:rsid w:val="007B3832"/>
    <w:rsid w:val="007B55A7"/>
    <w:rsid w:val="007B5E93"/>
    <w:rsid w:val="007B6C11"/>
    <w:rsid w:val="007C37D7"/>
    <w:rsid w:val="007C453A"/>
    <w:rsid w:val="007C5C20"/>
    <w:rsid w:val="007D0A2B"/>
    <w:rsid w:val="007D104F"/>
    <w:rsid w:val="007D2976"/>
    <w:rsid w:val="007D4C42"/>
    <w:rsid w:val="007D6B1E"/>
    <w:rsid w:val="007D6E12"/>
    <w:rsid w:val="007E6F07"/>
    <w:rsid w:val="007F0BBC"/>
    <w:rsid w:val="007F0F74"/>
    <w:rsid w:val="007F238D"/>
    <w:rsid w:val="007F3050"/>
    <w:rsid w:val="007F346D"/>
    <w:rsid w:val="007F41B0"/>
    <w:rsid w:val="007F479E"/>
    <w:rsid w:val="007F5FB8"/>
    <w:rsid w:val="00800CDB"/>
    <w:rsid w:val="008011B6"/>
    <w:rsid w:val="00802561"/>
    <w:rsid w:val="00802DB5"/>
    <w:rsid w:val="00803E90"/>
    <w:rsid w:val="00805B02"/>
    <w:rsid w:val="00806423"/>
    <w:rsid w:val="00806603"/>
    <w:rsid w:val="00807A9C"/>
    <w:rsid w:val="00811847"/>
    <w:rsid w:val="00813D5A"/>
    <w:rsid w:val="008147D2"/>
    <w:rsid w:val="008149B1"/>
    <w:rsid w:val="00814FC3"/>
    <w:rsid w:val="008151F9"/>
    <w:rsid w:val="008153C3"/>
    <w:rsid w:val="00815C23"/>
    <w:rsid w:val="00816547"/>
    <w:rsid w:val="00816CA2"/>
    <w:rsid w:val="00816D84"/>
    <w:rsid w:val="00816EF8"/>
    <w:rsid w:val="0081E25B"/>
    <w:rsid w:val="00820340"/>
    <w:rsid w:val="008218C7"/>
    <w:rsid w:val="00821B7C"/>
    <w:rsid w:val="00821D89"/>
    <w:rsid w:val="00821DAE"/>
    <w:rsid w:val="008226AF"/>
    <w:rsid w:val="0082348D"/>
    <w:rsid w:val="0082370E"/>
    <w:rsid w:val="00824501"/>
    <w:rsid w:val="008262AE"/>
    <w:rsid w:val="00826B44"/>
    <w:rsid w:val="00827CC3"/>
    <w:rsid w:val="00827E94"/>
    <w:rsid w:val="00827E9A"/>
    <w:rsid w:val="00830C2C"/>
    <w:rsid w:val="00831487"/>
    <w:rsid w:val="00832B9D"/>
    <w:rsid w:val="0083358A"/>
    <w:rsid w:val="008335F0"/>
    <w:rsid w:val="00833DB3"/>
    <w:rsid w:val="008353A9"/>
    <w:rsid w:val="00835AC7"/>
    <w:rsid w:val="00836233"/>
    <w:rsid w:val="00837473"/>
    <w:rsid w:val="00843092"/>
    <w:rsid w:val="008430B6"/>
    <w:rsid w:val="008439B7"/>
    <w:rsid w:val="00843A9F"/>
    <w:rsid w:val="0084495B"/>
    <w:rsid w:val="0084502B"/>
    <w:rsid w:val="00846197"/>
    <w:rsid w:val="008464F0"/>
    <w:rsid w:val="00846A1A"/>
    <w:rsid w:val="0084723E"/>
    <w:rsid w:val="00847438"/>
    <w:rsid w:val="008500ED"/>
    <w:rsid w:val="00850308"/>
    <w:rsid w:val="008519BC"/>
    <w:rsid w:val="008523BE"/>
    <w:rsid w:val="0085449C"/>
    <w:rsid w:val="00856823"/>
    <w:rsid w:val="00856EB2"/>
    <w:rsid w:val="0086024F"/>
    <w:rsid w:val="008614E2"/>
    <w:rsid w:val="008616CB"/>
    <w:rsid w:val="00861B92"/>
    <w:rsid w:val="00861F54"/>
    <w:rsid w:val="008639DB"/>
    <w:rsid w:val="00871662"/>
    <w:rsid w:val="008716F9"/>
    <w:rsid w:val="00872E4F"/>
    <w:rsid w:val="008731AE"/>
    <w:rsid w:val="00874599"/>
    <w:rsid w:val="0087556B"/>
    <w:rsid w:val="0087609A"/>
    <w:rsid w:val="0087735E"/>
    <w:rsid w:val="00877602"/>
    <w:rsid w:val="008776DF"/>
    <w:rsid w:val="00880CBE"/>
    <w:rsid w:val="008814FB"/>
    <w:rsid w:val="008817F0"/>
    <w:rsid w:val="0088189A"/>
    <w:rsid w:val="00881940"/>
    <w:rsid w:val="00881A45"/>
    <w:rsid w:val="008831AF"/>
    <w:rsid w:val="008836F5"/>
    <w:rsid w:val="00884079"/>
    <w:rsid w:val="00884AB8"/>
    <w:rsid w:val="008851CB"/>
    <w:rsid w:val="0088568E"/>
    <w:rsid w:val="0088605C"/>
    <w:rsid w:val="00887423"/>
    <w:rsid w:val="00887457"/>
    <w:rsid w:val="0089015C"/>
    <w:rsid w:val="00891206"/>
    <w:rsid w:val="00892869"/>
    <w:rsid w:val="00895023"/>
    <w:rsid w:val="00895FD8"/>
    <w:rsid w:val="0089683B"/>
    <w:rsid w:val="00897D2A"/>
    <w:rsid w:val="008A122E"/>
    <w:rsid w:val="008A1C6C"/>
    <w:rsid w:val="008A2EFE"/>
    <w:rsid w:val="008A41A5"/>
    <w:rsid w:val="008A44E2"/>
    <w:rsid w:val="008A4808"/>
    <w:rsid w:val="008A58C5"/>
    <w:rsid w:val="008A5B00"/>
    <w:rsid w:val="008A6B1A"/>
    <w:rsid w:val="008A72BF"/>
    <w:rsid w:val="008A7678"/>
    <w:rsid w:val="008B020C"/>
    <w:rsid w:val="008B3166"/>
    <w:rsid w:val="008B468A"/>
    <w:rsid w:val="008B5271"/>
    <w:rsid w:val="008B6969"/>
    <w:rsid w:val="008B69D0"/>
    <w:rsid w:val="008B7AF4"/>
    <w:rsid w:val="008B7F19"/>
    <w:rsid w:val="008C0121"/>
    <w:rsid w:val="008C35E2"/>
    <w:rsid w:val="008C36C2"/>
    <w:rsid w:val="008C3A82"/>
    <w:rsid w:val="008C5AF6"/>
    <w:rsid w:val="008C64EE"/>
    <w:rsid w:val="008C7C32"/>
    <w:rsid w:val="008D0CF5"/>
    <w:rsid w:val="008D22E1"/>
    <w:rsid w:val="008D29B8"/>
    <w:rsid w:val="008D36AC"/>
    <w:rsid w:val="008D4C5A"/>
    <w:rsid w:val="008D5699"/>
    <w:rsid w:val="008D65FB"/>
    <w:rsid w:val="008D79FD"/>
    <w:rsid w:val="008E111D"/>
    <w:rsid w:val="008E2F4F"/>
    <w:rsid w:val="008E2F9D"/>
    <w:rsid w:val="008E3115"/>
    <w:rsid w:val="008E3D45"/>
    <w:rsid w:val="008E52B5"/>
    <w:rsid w:val="008E7F08"/>
    <w:rsid w:val="008F01F0"/>
    <w:rsid w:val="008F020D"/>
    <w:rsid w:val="008F099A"/>
    <w:rsid w:val="008F1F84"/>
    <w:rsid w:val="008F356D"/>
    <w:rsid w:val="008F44C1"/>
    <w:rsid w:val="008F4E47"/>
    <w:rsid w:val="008F5E30"/>
    <w:rsid w:val="008F6B3B"/>
    <w:rsid w:val="008F7E42"/>
    <w:rsid w:val="00900111"/>
    <w:rsid w:val="0090034D"/>
    <w:rsid w:val="009004A8"/>
    <w:rsid w:val="009009C3"/>
    <w:rsid w:val="00911DE0"/>
    <w:rsid w:val="00912674"/>
    <w:rsid w:val="00913879"/>
    <w:rsid w:val="00913991"/>
    <w:rsid w:val="00914D7F"/>
    <w:rsid w:val="00914F07"/>
    <w:rsid w:val="00914F11"/>
    <w:rsid w:val="0091644E"/>
    <w:rsid w:val="00917EFA"/>
    <w:rsid w:val="00921AF5"/>
    <w:rsid w:val="00922841"/>
    <w:rsid w:val="009239E8"/>
    <w:rsid w:val="00923BAC"/>
    <w:rsid w:val="0092452E"/>
    <w:rsid w:val="00925C77"/>
    <w:rsid w:val="00925CA9"/>
    <w:rsid w:val="0092657F"/>
    <w:rsid w:val="00926D0A"/>
    <w:rsid w:val="0092763C"/>
    <w:rsid w:val="009309BC"/>
    <w:rsid w:val="00931110"/>
    <w:rsid w:val="00931D32"/>
    <w:rsid w:val="00931E97"/>
    <w:rsid w:val="00932447"/>
    <w:rsid w:val="00932873"/>
    <w:rsid w:val="00932EF3"/>
    <w:rsid w:val="00936390"/>
    <w:rsid w:val="0093657C"/>
    <w:rsid w:val="009379EE"/>
    <w:rsid w:val="00940AB6"/>
    <w:rsid w:val="009418F4"/>
    <w:rsid w:val="00941A81"/>
    <w:rsid w:val="00941E05"/>
    <w:rsid w:val="00942AE1"/>
    <w:rsid w:val="00942C2B"/>
    <w:rsid w:val="00943FA0"/>
    <w:rsid w:val="0094432F"/>
    <w:rsid w:val="00944B03"/>
    <w:rsid w:val="00944D3A"/>
    <w:rsid w:val="00945D01"/>
    <w:rsid w:val="00945D75"/>
    <w:rsid w:val="009469CA"/>
    <w:rsid w:val="009477C2"/>
    <w:rsid w:val="00947A2D"/>
    <w:rsid w:val="0095020F"/>
    <w:rsid w:val="009502FB"/>
    <w:rsid w:val="00951389"/>
    <w:rsid w:val="0095218A"/>
    <w:rsid w:val="009523D9"/>
    <w:rsid w:val="00952AA5"/>
    <w:rsid w:val="00956C88"/>
    <w:rsid w:val="00957D87"/>
    <w:rsid w:val="00961355"/>
    <w:rsid w:val="00961B07"/>
    <w:rsid w:val="00964921"/>
    <w:rsid w:val="00966300"/>
    <w:rsid w:val="00966EB7"/>
    <w:rsid w:val="009713F8"/>
    <w:rsid w:val="00971929"/>
    <w:rsid w:val="00972136"/>
    <w:rsid w:val="00973982"/>
    <w:rsid w:val="00973DF8"/>
    <w:rsid w:val="0097425B"/>
    <w:rsid w:val="0097524F"/>
    <w:rsid w:val="00975B84"/>
    <w:rsid w:val="00975C14"/>
    <w:rsid w:val="00975E7C"/>
    <w:rsid w:val="0097658D"/>
    <w:rsid w:val="00976972"/>
    <w:rsid w:val="009770AE"/>
    <w:rsid w:val="00980FA0"/>
    <w:rsid w:val="0098127F"/>
    <w:rsid w:val="00981704"/>
    <w:rsid w:val="0098217A"/>
    <w:rsid w:val="00982472"/>
    <w:rsid w:val="00983AF7"/>
    <w:rsid w:val="00983DD1"/>
    <w:rsid w:val="009844AE"/>
    <w:rsid w:val="009863FD"/>
    <w:rsid w:val="00986C6C"/>
    <w:rsid w:val="00986E4C"/>
    <w:rsid w:val="00987378"/>
    <w:rsid w:val="00987E94"/>
    <w:rsid w:val="00990785"/>
    <w:rsid w:val="009907EF"/>
    <w:rsid w:val="00990AEA"/>
    <w:rsid w:val="00990DC1"/>
    <w:rsid w:val="009932A1"/>
    <w:rsid w:val="009934A9"/>
    <w:rsid w:val="009936AD"/>
    <w:rsid w:val="00993C57"/>
    <w:rsid w:val="009957A2"/>
    <w:rsid w:val="0099680B"/>
    <w:rsid w:val="009A0130"/>
    <w:rsid w:val="009A053A"/>
    <w:rsid w:val="009A1102"/>
    <w:rsid w:val="009A155E"/>
    <w:rsid w:val="009A224C"/>
    <w:rsid w:val="009A26FD"/>
    <w:rsid w:val="009A3623"/>
    <w:rsid w:val="009A43B9"/>
    <w:rsid w:val="009A551C"/>
    <w:rsid w:val="009A5793"/>
    <w:rsid w:val="009A633B"/>
    <w:rsid w:val="009A6BD5"/>
    <w:rsid w:val="009A74F4"/>
    <w:rsid w:val="009B1FDA"/>
    <w:rsid w:val="009B25B8"/>
    <w:rsid w:val="009B2D18"/>
    <w:rsid w:val="009B3759"/>
    <w:rsid w:val="009B44A5"/>
    <w:rsid w:val="009B46F6"/>
    <w:rsid w:val="009B5B63"/>
    <w:rsid w:val="009B6A21"/>
    <w:rsid w:val="009C13E9"/>
    <w:rsid w:val="009C3575"/>
    <w:rsid w:val="009C36E9"/>
    <w:rsid w:val="009C4684"/>
    <w:rsid w:val="009C5578"/>
    <w:rsid w:val="009D0A18"/>
    <w:rsid w:val="009D1024"/>
    <w:rsid w:val="009D522B"/>
    <w:rsid w:val="009D54B6"/>
    <w:rsid w:val="009D5CF2"/>
    <w:rsid w:val="009D5F6A"/>
    <w:rsid w:val="009D60FB"/>
    <w:rsid w:val="009D6194"/>
    <w:rsid w:val="009D6B02"/>
    <w:rsid w:val="009D7C3E"/>
    <w:rsid w:val="009E0C3D"/>
    <w:rsid w:val="009E13B6"/>
    <w:rsid w:val="009E1EED"/>
    <w:rsid w:val="009E2A0F"/>
    <w:rsid w:val="009E4BF5"/>
    <w:rsid w:val="009E5124"/>
    <w:rsid w:val="009E5BDE"/>
    <w:rsid w:val="009E5CFE"/>
    <w:rsid w:val="009E680B"/>
    <w:rsid w:val="009E7B73"/>
    <w:rsid w:val="009F288D"/>
    <w:rsid w:val="009F3A31"/>
    <w:rsid w:val="009F5967"/>
    <w:rsid w:val="009F5F5E"/>
    <w:rsid w:val="009F5F8C"/>
    <w:rsid w:val="009F71F9"/>
    <w:rsid w:val="009F7508"/>
    <w:rsid w:val="00A00A66"/>
    <w:rsid w:val="00A00C8B"/>
    <w:rsid w:val="00A054A7"/>
    <w:rsid w:val="00A06A08"/>
    <w:rsid w:val="00A10357"/>
    <w:rsid w:val="00A120C6"/>
    <w:rsid w:val="00A1245B"/>
    <w:rsid w:val="00A12F4A"/>
    <w:rsid w:val="00A12F79"/>
    <w:rsid w:val="00A134DD"/>
    <w:rsid w:val="00A14813"/>
    <w:rsid w:val="00A153B4"/>
    <w:rsid w:val="00A154B8"/>
    <w:rsid w:val="00A15A1F"/>
    <w:rsid w:val="00A160D0"/>
    <w:rsid w:val="00A174B4"/>
    <w:rsid w:val="00A175C1"/>
    <w:rsid w:val="00A20E19"/>
    <w:rsid w:val="00A20E56"/>
    <w:rsid w:val="00A21734"/>
    <w:rsid w:val="00A221C4"/>
    <w:rsid w:val="00A224C9"/>
    <w:rsid w:val="00A306C9"/>
    <w:rsid w:val="00A3078E"/>
    <w:rsid w:val="00A30A5B"/>
    <w:rsid w:val="00A3191C"/>
    <w:rsid w:val="00A319A2"/>
    <w:rsid w:val="00A3325A"/>
    <w:rsid w:val="00A33E8C"/>
    <w:rsid w:val="00A36291"/>
    <w:rsid w:val="00A366AC"/>
    <w:rsid w:val="00A36765"/>
    <w:rsid w:val="00A378F3"/>
    <w:rsid w:val="00A40502"/>
    <w:rsid w:val="00A412FA"/>
    <w:rsid w:val="00A41698"/>
    <w:rsid w:val="00A4173B"/>
    <w:rsid w:val="00A420C2"/>
    <w:rsid w:val="00A42C0D"/>
    <w:rsid w:val="00A43013"/>
    <w:rsid w:val="00A434FE"/>
    <w:rsid w:val="00A436E9"/>
    <w:rsid w:val="00A439F1"/>
    <w:rsid w:val="00A469CC"/>
    <w:rsid w:val="00A476C9"/>
    <w:rsid w:val="00A4799B"/>
    <w:rsid w:val="00A47BE6"/>
    <w:rsid w:val="00A47D0F"/>
    <w:rsid w:val="00A47D74"/>
    <w:rsid w:val="00A508B6"/>
    <w:rsid w:val="00A50C83"/>
    <w:rsid w:val="00A510F0"/>
    <w:rsid w:val="00A52EFC"/>
    <w:rsid w:val="00A53F09"/>
    <w:rsid w:val="00A54663"/>
    <w:rsid w:val="00A55868"/>
    <w:rsid w:val="00A55A0F"/>
    <w:rsid w:val="00A561B2"/>
    <w:rsid w:val="00A5653E"/>
    <w:rsid w:val="00A616F0"/>
    <w:rsid w:val="00A6326C"/>
    <w:rsid w:val="00A65022"/>
    <w:rsid w:val="00A65C42"/>
    <w:rsid w:val="00A70026"/>
    <w:rsid w:val="00A70207"/>
    <w:rsid w:val="00A70594"/>
    <w:rsid w:val="00A71BEE"/>
    <w:rsid w:val="00A72B5C"/>
    <w:rsid w:val="00A7438E"/>
    <w:rsid w:val="00A746A5"/>
    <w:rsid w:val="00A765AC"/>
    <w:rsid w:val="00A76815"/>
    <w:rsid w:val="00A771B8"/>
    <w:rsid w:val="00A809B2"/>
    <w:rsid w:val="00A83EFD"/>
    <w:rsid w:val="00A84174"/>
    <w:rsid w:val="00A87884"/>
    <w:rsid w:val="00A91528"/>
    <w:rsid w:val="00A93590"/>
    <w:rsid w:val="00A93F41"/>
    <w:rsid w:val="00A93F9D"/>
    <w:rsid w:val="00A94166"/>
    <w:rsid w:val="00A96F9E"/>
    <w:rsid w:val="00A97179"/>
    <w:rsid w:val="00A97E16"/>
    <w:rsid w:val="00AA1A8B"/>
    <w:rsid w:val="00AA2BA2"/>
    <w:rsid w:val="00AA5891"/>
    <w:rsid w:val="00AA6AA8"/>
    <w:rsid w:val="00AA6BF4"/>
    <w:rsid w:val="00AA6C45"/>
    <w:rsid w:val="00AA7390"/>
    <w:rsid w:val="00AB1DD6"/>
    <w:rsid w:val="00AB27A4"/>
    <w:rsid w:val="00AB30C2"/>
    <w:rsid w:val="00AB4330"/>
    <w:rsid w:val="00AB47CB"/>
    <w:rsid w:val="00AB5746"/>
    <w:rsid w:val="00AB5B2D"/>
    <w:rsid w:val="00AB5F0B"/>
    <w:rsid w:val="00AB644C"/>
    <w:rsid w:val="00AB6C11"/>
    <w:rsid w:val="00AB6D99"/>
    <w:rsid w:val="00AB6EB0"/>
    <w:rsid w:val="00AB6F54"/>
    <w:rsid w:val="00AB7281"/>
    <w:rsid w:val="00AC017A"/>
    <w:rsid w:val="00AC122F"/>
    <w:rsid w:val="00AC12C7"/>
    <w:rsid w:val="00AC1A8B"/>
    <w:rsid w:val="00AC3245"/>
    <w:rsid w:val="00AC3325"/>
    <w:rsid w:val="00AC5CA7"/>
    <w:rsid w:val="00AC6073"/>
    <w:rsid w:val="00AC64B3"/>
    <w:rsid w:val="00AC694A"/>
    <w:rsid w:val="00AD0D16"/>
    <w:rsid w:val="00AD1877"/>
    <w:rsid w:val="00AD22EE"/>
    <w:rsid w:val="00AD3A36"/>
    <w:rsid w:val="00AD45FB"/>
    <w:rsid w:val="00AD536F"/>
    <w:rsid w:val="00AD7AF7"/>
    <w:rsid w:val="00AE03B1"/>
    <w:rsid w:val="00AE13CE"/>
    <w:rsid w:val="00AE1EEC"/>
    <w:rsid w:val="00AE1F59"/>
    <w:rsid w:val="00AE1FEF"/>
    <w:rsid w:val="00AE37B7"/>
    <w:rsid w:val="00AE56B6"/>
    <w:rsid w:val="00AE6A6F"/>
    <w:rsid w:val="00AE7E98"/>
    <w:rsid w:val="00AF01BE"/>
    <w:rsid w:val="00AF108A"/>
    <w:rsid w:val="00AF3719"/>
    <w:rsid w:val="00AF42A4"/>
    <w:rsid w:val="00AF4738"/>
    <w:rsid w:val="00AF489D"/>
    <w:rsid w:val="00AF5E66"/>
    <w:rsid w:val="00AF797B"/>
    <w:rsid w:val="00B01582"/>
    <w:rsid w:val="00B02C10"/>
    <w:rsid w:val="00B02E55"/>
    <w:rsid w:val="00B03139"/>
    <w:rsid w:val="00B036C1"/>
    <w:rsid w:val="00B03E4F"/>
    <w:rsid w:val="00B050CD"/>
    <w:rsid w:val="00B051E1"/>
    <w:rsid w:val="00B05EC3"/>
    <w:rsid w:val="00B06D4A"/>
    <w:rsid w:val="00B06FE0"/>
    <w:rsid w:val="00B07309"/>
    <w:rsid w:val="00B07386"/>
    <w:rsid w:val="00B1025F"/>
    <w:rsid w:val="00B10E5E"/>
    <w:rsid w:val="00B1168D"/>
    <w:rsid w:val="00B12F78"/>
    <w:rsid w:val="00B1314B"/>
    <w:rsid w:val="00B1522E"/>
    <w:rsid w:val="00B15256"/>
    <w:rsid w:val="00B16E86"/>
    <w:rsid w:val="00B1724A"/>
    <w:rsid w:val="00B20CBE"/>
    <w:rsid w:val="00B2278D"/>
    <w:rsid w:val="00B227AC"/>
    <w:rsid w:val="00B22F81"/>
    <w:rsid w:val="00B22FA3"/>
    <w:rsid w:val="00B23C87"/>
    <w:rsid w:val="00B24284"/>
    <w:rsid w:val="00B24C7E"/>
    <w:rsid w:val="00B25CEF"/>
    <w:rsid w:val="00B267B2"/>
    <w:rsid w:val="00B26F1F"/>
    <w:rsid w:val="00B27272"/>
    <w:rsid w:val="00B31A31"/>
    <w:rsid w:val="00B32149"/>
    <w:rsid w:val="00B34920"/>
    <w:rsid w:val="00B34DAA"/>
    <w:rsid w:val="00B35060"/>
    <w:rsid w:val="00B365A7"/>
    <w:rsid w:val="00B406D8"/>
    <w:rsid w:val="00B425B4"/>
    <w:rsid w:val="00B4308D"/>
    <w:rsid w:val="00B43B60"/>
    <w:rsid w:val="00B43BC7"/>
    <w:rsid w:val="00B458E9"/>
    <w:rsid w:val="00B46048"/>
    <w:rsid w:val="00B46646"/>
    <w:rsid w:val="00B46CB8"/>
    <w:rsid w:val="00B46F5F"/>
    <w:rsid w:val="00B470F5"/>
    <w:rsid w:val="00B47681"/>
    <w:rsid w:val="00B52838"/>
    <w:rsid w:val="00B528DF"/>
    <w:rsid w:val="00B5395A"/>
    <w:rsid w:val="00B53A58"/>
    <w:rsid w:val="00B53AF9"/>
    <w:rsid w:val="00B53E1A"/>
    <w:rsid w:val="00B540D8"/>
    <w:rsid w:val="00B54231"/>
    <w:rsid w:val="00B5431F"/>
    <w:rsid w:val="00B54604"/>
    <w:rsid w:val="00B558D4"/>
    <w:rsid w:val="00B56E23"/>
    <w:rsid w:val="00B570F3"/>
    <w:rsid w:val="00B57637"/>
    <w:rsid w:val="00B61C09"/>
    <w:rsid w:val="00B62229"/>
    <w:rsid w:val="00B63FD7"/>
    <w:rsid w:val="00B64169"/>
    <w:rsid w:val="00B646DD"/>
    <w:rsid w:val="00B64F43"/>
    <w:rsid w:val="00B66CA6"/>
    <w:rsid w:val="00B67126"/>
    <w:rsid w:val="00B703CF"/>
    <w:rsid w:val="00B712AB"/>
    <w:rsid w:val="00B71E3D"/>
    <w:rsid w:val="00B72071"/>
    <w:rsid w:val="00B7262D"/>
    <w:rsid w:val="00B74440"/>
    <w:rsid w:val="00B7540D"/>
    <w:rsid w:val="00B7606A"/>
    <w:rsid w:val="00B761BA"/>
    <w:rsid w:val="00B7656C"/>
    <w:rsid w:val="00B82281"/>
    <w:rsid w:val="00B8346A"/>
    <w:rsid w:val="00B838F0"/>
    <w:rsid w:val="00B83B00"/>
    <w:rsid w:val="00B83BDF"/>
    <w:rsid w:val="00B840AD"/>
    <w:rsid w:val="00B84A6D"/>
    <w:rsid w:val="00B863AC"/>
    <w:rsid w:val="00B871F9"/>
    <w:rsid w:val="00B87717"/>
    <w:rsid w:val="00B879CC"/>
    <w:rsid w:val="00B87BBD"/>
    <w:rsid w:val="00B91426"/>
    <w:rsid w:val="00B91E38"/>
    <w:rsid w:val="00B91E6F"/>
    <w:rsid w:val="00B923C1"/>
    <w:rsid w:val="00B928D9"/>
    <w:rsid w:val="00B92C0F"/>
    <w:rsid w:val="00B92C4F"/>
    <w:rsid w:val="00B92ED0"/>
    <w:rsid w:val="00B955D5"/>
    <w:rsid w:val="00B95F3E"/>
    <w:rsid w:val="00B95F44"/>
    <w:rsid w:val="00B975D7"/>
    <w:rsid w:val="00B97ACD"/>
    <w:rsid w:val="00BA03AE"/>
    <w:rsid w:val="00BA1B3C"/>
    <w:rsid w:val="00BA3FB8"/>
    <w:rsid w:val="00BA4B90"/>
    <w:rsid w:val="00BA619E"/>
    <w:rsid w:val="00BA7208"/>
    <w:rsid w:val="00BA7E49"/>
    <w:rsid w:val="00BB045B"/>
    <w:rsid w:val="00BB0646"/>
    <w:rsid w:val="00BB07C2"/>
    <w:rsid w:val="00BB1A2F"/>
    <w:rsid w:val="00BB1AE0"/>
    <w:rsid w:val="00BB1D8D"/>
    <w:rsid w:val="00BB26D1"/>
    <w:rsid w:val="00BB2B51"/>
    <w:rsid w:val="00BB3AC0"/>
    <w:rsid w:val="00BB4083"/>
    <w:rsid w:val="00BB411B"/>
    <w:rsid w:val="00BB7290"/>
    <w:rsid w:val="00BB75F4"/>
    <w:rsid w:val="00BB78D3"/>
    <w:rsid w:val="00BB79C2"/>
    <w:rsid w:val="00BC0534"/>
    <w:rsid w:val="00BC399C"/>
    <w:rsid w:val="00BC466A"/>
    <w:rsid w:val="00BC4EF1"/>
    <w:rsid w:val="00BC5B7F"/>
    <w:rsid w:val="00BD0894"/>
    <w:rsid w:val="00BD10DC"/>
    <w:rsid w:val="00BD111D"/>
    <w:rsid w:val="00BD1952"/>
    <w:rsid w:val="00BD3A7F"/>
    <w:rsid w:val="00BD3C4E"/>
    <w:rsid w:val="00BD4C7F"/>
    <w:rsid w:val="00BD4E5D"/>
    <w:rsid w:val="00BD5A9D"/>
    <w:rsid w:val="00BD5B8F"/>
    <w:rsid w:val="00BD6040"/>
    <w:rsid w:val="00BD615F"/>
    <w:rsid w:val="00BD70D8"/>
    <w:rsid w:val="00BD7312"/>
    <w:rsid w:val="00BE081D"/>
    <w:rsid w:val="00BE15D8"/>
    <w:rsid w:val="00BE35AE"/>
    <w:rsid w:val="00BE539F"/>
    <w:rsid w:val="00BE565A"/>
    <w:rsid w:val="00BF1853"/>
    <w:rsid w:val="00BF275E"/>
    <w:rsid w:val="00BF30A3"/>
    <w:rsid w:val="00BF33E3"/>
    <w:rsid w:val="00BF4140"/>
    <w:rsid w:val="00BF58DE"/>
    <w:rsid w:val="00BF7CF2"/>
    <w:rsid w:val="00BF7FB3"/>
    <w:rsid w:val="00BF7FE0"/>
    <w:rsid w:val="00C01206"/>
    <w:rsid w:val="00C02113"/>
    <w:rsid w:val="00C02DA6"/>
    <w:rsid w:val="00C03386"/>
    <w:rsid w:val="00C03781"/>
    <w:rsid w:val="00C03C65"/>
    <w:rsid w:val="00C04CD9"/>
    <w:rsid w:val="00C0636B"/>
    <w:rsid w:val="00C0647C"/>
    <w:rsid w:val="00C06AE8"/>
    <w:rsid w:val="00C06F45"/>
    <w:rsid w:val="00C070AD"/>
    <w:rsid w:val="00C077CE"/>
    <w:rsid w:val="00C0786A"/>
    <w:rsid w:val="00C07AC6"/>
    <w:rsid w:val="00C100E5"/>
    <w:rsid w:val="00C10D62"/>
    <w:rsid w:val="00C11964"/>
    <w:rsid w:val="00C11ED4"/>
    <w:rsid w:val="00C120D9"/>
    <w:rsid w:val="00C12F47"/>
    <w:rsid w:val="00C13E37"/>
    <w:rsid w:val="00C141DD"/>
    <w:rsid w:val="00C14A6C"/>
    <w:rsid w:val="00C153D9"/>
    <w:rsid w:val="00C20C53"/>
    <w:rsid w:val="00C21A29"/>
    <w:rsid w:val="00C22D02"/>
    <w:rsid w:val="00C23101"/>
    <w:rsid w:val="00C231FF"/>
    <w:rsid w:val="00C25AEA"/>
    <w:rsid w:val="00C30342"/>
    <w:rsid w:val="00C31505"/>
    <w:rsid w:val="00C317A8"/>
    <w:rsid w:val="00C3270B"/>
    <w:rsid w:val="00C34170"/>
    <w:rsid w:val="00C34757"/>
    <w:rsid w:val="00C35595"/>
    <w:rsid w:val="00C35C26"/>
    <w:rsid w:val="00C37E28"/>
    <w:rsid w:val="00C4003D"/>
    <w:rsid w:val="00C406FA"/>
    <w:rsid w:val="00C432C8"/>
    <w:rsid w:val="00C43B3E"/>
    <w:rsid w:val="00C47444"/>
    <w:rsid w:val="00C47C0F"/>
    <w:rsid w:val="00C529A9"/>
    <w:rsid w:val="00C52E35"/>
    <w:rsid w:val="00C536C1"/>
    <w:rsid w:val="00C54C1C"/>
    <w:rsid w:val="00C550AC"/>
    <w:rsid w:val="00C551A7"/>
    <w:rsid w:val="00C55421"/>
    <w:rsid w:val="00C55D8F"/>
    <w:rsid w:val="00C577CC"/>
    <w:rsid w:val="00C60081"/>
    <w:rsid w:val="00C605CA"/>
    <w:rsid w:val="00C607A0"/>
    <w:rsid w:val="00C6365B"/>
    <w:rsid w:val="00C636A0"/>
    <w:rsid w:val="00C63EF3"/>
    <w:rsid w:val="00C64D20"/>
    <w:rsid w:val="00C64E24"/>
    <w:rsid w:val="00C65703"/>
    <w:rsid w:val="00C65E31"/>
    <w:rsid w:val="00C6789F"/>
    <w:rsid w:val="00C70E7B"/>
    <w:rsid w:val="00C71563"/>
    <w:rsid w:val="00C71B8E"/>
    <w:rsid w:val="00C72FB0"/>
    <w:rsid w:val="00C73AC0"/>
    <w:rsid w:val="00C73EBF"/>
    <w:rsid w:val="00C748E4"/>
    <w:rsid w:val="00C74E3B"/>
    <w:rsid w:val="00C75549"/>
    <w:rsid w:val="00C75605"/>
    <w:rsid w:val="00C7617A"/>
    <w:rsid w:val="00C7697D"/>
    <w:rsid w:val="00C80825"/>
    <w:rsid w:val="00C810D4"/>
    <w:rsid w:val="00C81104"/>
    <w:rsid w:val="00C82F68"/>
    <w:rsid w:val="00C830C0"/>
    <w:rsid w:val="00C838C2"/>
    <w:rsid w:val="00C83B95"/>
    <w:rsid w:val="00C85564"/>
    <w:rsid w:val="00C869DA"/>
    <w:rsid w:val="00C90B84"/>
    <w:rsid w:val="00C9102C"/>
    <w:rsid w:val="00C92E11"/>
    <w:rsid w:val="00C92E58"/>
    <w:rsid w:val="00C94036"/>
    <w:rsid w:val="00C9487D"/>
    <w:rsid w:val="00C9545B"/>
    <w:rsid w:val="00C9579E"/>
    <w:rsid w:val="00C9590E"/>
    <w:rsid w:val="00C962D7"/>
    <w:rsid w:val="00C96411"/>
    <w:rsid w:val="00C9684C"/>
    <w:rsid w:val="00C96DC3"/>
    <w:rsid w:val="00C97012"/>
    <w:rsid w:val="00C976A4"/>
    <w:rsid w:val="00CA0253"/>
    <w:rsid w:val="00CA087A"/>
    <w:rsid w:val="00CA28DC"/>
    <w:rsid w:val="00CA2A04"/>
    <w:rsid w:val="00CA4195"/>
    <w:rsid w:val="00CA501F"/>
    <w:rsid w:val="00CA600D"/>
    <w:rsid w:val="00CA7544"/>
    <w:rsid w:val="00CA7B56"/>
    <w:rsid w:val="00CA7EF3"/>
    <w:rsid w:val="00CB085C"/>
    <w:rsid w:val="00CB1CAB"/>
    <w:rsid w:val="00CB1D70"/>
    <w:rsid w:val="00CB21CE"/>
    <w:rsid w:val="00CB26AF"/>
    <w:rsid w:val="00CB2E43"/>
    <w:rsid w:val="00CB2EF3"/>
    <w:rsid w:val="00CB338E"/>
    <w:rsid w:val="00CB34E7"/>
    <w:rsid w:val="00CB3EE4"/>
    <w:rsid w:val="00CB50FB"/>
    <w:rsid w:val="00CB5671"/>
    <w:rsid w:val="00CB5D41"/>
    <w:rsid w:val="00CB6AB0"/>
    <w:rsid w:val="00CB6C02"/>
    <w:rsid w:val="00CB73B2"/>
    <w:rsid w:val="00CC083C"/>
    <w:rsid w:val="00CC14BA"/>
    <w:rsid w:val="00CC1F35"/>
    <w:rsid w:val="00CC2EB8"/>
    <w:rsid w:val="00CC399A"/>
    <w:rsid w:val="00CC3E2F"/>
    <w:rsid w:val="00CC4247"/>
    <w:rsid w:val="00CC4D25"/>
    <w:rsid w:val="00CC4F8F"/>
    <w:rsid w:val="00CC6A7A"/>
    <w:rsid w:val="00CD0263"/>
    <w:rsid w:val="00CD0E17"/>
    <w:rsid w:val="00CD17F1"/>
    <w:rsid w:val="00CD1A8C"/>
    <w:rsid w:val="00CD1BBC"/>
    <w:rsid w:val="00CD2FC6"/>
    <w:rsid w:val="00CD4141"/>
    <w:rsid w:val="00CD4854"/>
    <w:rsid w:val="00CD5611"/>
    <w:rsid w:val="00CD6669"/>
    <w:rsid w:val="00CD6C72"/>
    <w:rsid w:val="00CD6E11"/>
    <w:rsid w:val="00CE2A7B"/>
    <w:rsid w:val="00CE2CA7"/>
    <w:rsid w:val="00CE3194"/>
    <w:rsid w:val="00CE3DC2"/>
    <w:rsid w:val="00CE438D"/>
    <w:rsid w:val="00CE695D"/>
    <w:rsid w:val="00CE77B6"/>
    <w:rsid w:val="00CE77F6"/>
    <w:rsid w:val="00CF0CB5"/>
    <w:rsid w:val="00CF10E3"/>
    <w:rsid w:val="00CF141A"/>
    <w:rsid w:val="00CF1BCB"/>
    <w:rsid w:val="00CF1C9F"/>
    <w:rsid w:val="00CF2898"/>
    <w:rsid w:val="00CF3B63"/>
    <w:rsid w:val="00CF3E39"/>
    <w:rsid w:val="00CF3F42"/>
    <w:rsid w:val="00CF4688"/>
    <w:rsid w:val="00CF4B0C"/>
    <w:rsid w:val="00CF58B7"/>
    <w:rsid w:val="00D009FC"/>
    <w:rsid w:val="00D009FF"/>
    <w:rsid w:val="00D015CB"/>
    <w:rsid w:val="00D01BEE"/>
    <w:rsid w:val="00D02608"/>
    <w:rsid w:val="00D02749"/>
    <w:rsid w:val="00D02A5B"/>
    <w:rsid w:val="00D0308E"/>
    <w:rsid w:val="00D06AF2"/>
    <w:rsid w:val="00D0795A"/>
    <w:rsid w:val="00D11B76"/>
    <w:rsid w:val="00D120A0"/>
    <w:rsid w:val="00D13FE4"/>
    <w:rsid w:val="00D15153"/>
    <w:rsid w:val="00D15E1B"/>
    <w:rsid w:val="00D16441"/>
    <w:rsid w:val="00D16BE1"/>
    <w:rsid w:val="00D16C15"/>
    <w:rsid w:val="00D178E0"/>
    <w:rsid w:val="00D21C74"/>
    <w:rsid w:val="00D21E00"/>
    <w:rsid w:val="00D2207E"/>
    <w:rsid w:val="00D22224"/>
    <w:rsid w:val="00D2279D"/>
    <w:rsid w:val="00D22AB9"/>
    <w:rsid w:val="00D23A98"/>
    <w:rsid w:val="00D23CB9"/>
    <w:rsid w:val="00D23E85"/>
    <w:rsid w:val="00D2493E"/>
    <w:rsid w:val="00D24C02"/>
    <w:rsid w:val="00D24F7C"/>
    <w:rsid w:val="00D24FFD"/>
    <w:rsid w:val="00D2578D"/>
    <w:rsid w:val="00D26F9A"/>
    <w:rsid w:val="00D27241"/>
    <w:rsid w:val="00D27422"/>
    <w:rsid w:val="00D27665"/>
    <w:rsid w:val="00D30A86"/>
    <w:rsid w:val="00D3105C"/>
    <w:rsid w:val="00D32E54"/>
    <w:rsid w:val="00D33B3B"/>
    <w:rsid w:val="00D34284"/>
    <w:rsid w:val="00D34C2C"/>
    <w:rsid w:val="00D34D23"/>
    <w:rsid w:val="00D351C1"/>
    <w:rsid w:val="00D3575E"/>
    <w:rsid w:val="00D35E60"/>
    <w:rsid w:val="00D35ED1"/>
    <w:rsid w:val="00D35EFB"/>
    <w:rsid w:val="00D36E78"/>
    <w:rsid w:val="00D37CC3"/>
    <w:rsid w:val="00D40659"/>
    <w:rsid w:val="00D40DD9"/>
    <w:rsid w:val="00D4137F"/>
    <w:rsid w:val="00D41F90"/>
    <w:rsid w:val="00D420F9"/>
    <w:rsid w:val="00D430E3"/>
    <w:rsid w:val="00D44B62"/>
    <w:rsid w:val="00D46A35"/>
    <w:rsid w:val="00D47497"/>
    <w:rsid w:val="00D479C4"/>
    <w:rsid w:val="00D47B33"/>
    <w:rsid w:val="00D47C72"/>
    <w:rsid w:val="00D504B3"/>
    <w:rsid w:val="00D50544"/>
    <w:rsid w:val="00D506D3"/>
    <w:rsid w:val="00D53780"/>
    <w:rsid w:val="00D54050"/>
    <w:rsid w:val="00D54610"/>
    <w:rsid w:val="00D562DF"/>
    <w:rsid w:val="00D57711"/>
    <w:rsid w:val="00D579DA"/>
    <w:rsid w:val="00D6069B"/>
    <w:rsid w:val="00D60AF5"/>
    <w:rsid w:val="00D6180F"/>
    <w:rsid w:val="00D61B2A"/>
    <w:rsid w:val="00D61F98"/>
    <w:rsid w:val="00D6363D"/>
    <w:rsid w:val="00D637E5"/>
    <w:rsid w:val="00D64182"/>
    <w:rsid w:val="00D65324"/>
    <w:rsid w:val="00D65BE2"/>
    <w:rsid w:val="00D719E3"/>
    <w:rsid w:val="00D71C9B"/>
    <w:rsid w:val="00D72F36"/>
    <w:rsid w:val="00D73583"/>
    <w:rsid w:val="00D73F13"/>
    <w:rsid w:val="00D747A3"/>
    <w:rsid w:val="00D7511C"/>
    <w:rsid w:val="00D75228"/>
    <w:rsid w:val="00D75259"/>
    <w:rsid w:val="00D77962"/>
    <w:rsid w:val="00D77D68"/>
    <w:rsid w:val="00D80EB7"/>
    <w:rsid w:val="00D83C92"/>
    <w:rsid w:val="00D83D6D"/>
    <w:rsid w:val="00D83F56"/>
    <w:rsid w:val="00D84E3E"/>
    <w:rsid w:val="00D861BA"/>
    <w:rsid w:val="00D866A5"/>
    <w:rsid w:val="00D86BF0"/>
    <w:rsid w:val="00D87FBC"/>
    <w:rsid w:val="00D87FEE"/>
    <w:rsid w:val="00D91F02"/>
    <w:rsid w:val="00D921B5"/>
    <w:rsid w:val="00D944E1"/>
    <w:rsid w:val="00D9571B"/>
    <w:rsid w:val="00D9641A"/>
    <w:rsid w:val="00D979A0"/>
    <w:rsid w:val="00DA03EC"/>
    <w:rsid w:val="00DA1DBE"/>
    <w:rsid w:val="00DA1FF3"/>
    <w:rsid w:val="00DA418C"/>
    <w:rsid w:val="00DA6060"/>
    <w:rsid w:val="00DA6CCC"/>
    <w:rsid w:val="00DB08BC"/>
    <w:rsid w:val="00DB2746"/>
    <w:rsid w:val="00DB3A2B"/>
    <w:rsid w:val="00DB4307"/>
    <w:rsid w:val="00DB4547"/>
    <w:rsid w:val="00DB52BD"/>
    <w:rsid w:val="00DB5704"/>
    <w:rsid w:val="00DB5979"/>
    <w:rsid w:val="00DB68BA"/>
    <w:rsid w:val="00DC03D6"/>
    <w:rsid w:val="00DC0440"/>
    <w:rsid w:val="00DC14B0"/>
    <w:rsid w:val="00DC1BFA"/>
    <w:rsid w:val="00DC424A"/>
    <w:rsid w:val="00DC444F"/>
    <w:rsid w:val="00DC5EBF"/>
    <w:rsid w:val="00DC6D51"/>
    <w:rsid w:val="00DC7146"/>
    <w:rsid w:val="00DC72BF"/>
    <w:rsid w:val="00DD06B1"/>
    <w:rsid w:val="00DD0B23"/>
    <w:rsid w:val="00DD119F"/>
    <w:rsid w:val="00DD32D6"/>
    <w:rsid w:val="00DD3EB5"/>
    <w:rsid w:val="00DD44B2"/>
    <w:rsid w:val="00DD54BA"/>
    <w:rsid w:val="00DD5790"/>
    <w:rsid w:val="00DD768B"/>
    <w:rsid w:val="00DE073A"/>
    <w:rsid w:val="00DE1CA5"/>
    <w:rsid w:val="00DE2F96"/>
    <w:rsid w:val="00DE37D6"/>
    <w:rsid w:val="00DE5151"/>
    <w:rsid w:val="00DE5AAA"/>
    <w:rsid w:val="00DE5F67"/>
    <w:rsid w:val="00DE5F90"/>
    <w:rsid w:val="00DE63EC"/>
    <w:rsid w:val="00DE6A96"/>
    <w:rsid w:val="00DE6DDB"/>
    <w:rsid w:val="00DE7769"/>
    <w:rsid w:val="00DE7EB9"/>
    <w:rsid w:val="00DE7FB4"/>
    <w:rsid w:val="00DF1301"/>
    <w:rsid w:val="00DF1806"/>
    <w:rsid w:val="00DF315E"/>
    <w:rsid w:val="00DF33F5"/>
    <w:rsid w:val="00DF3FA1"/>
    <w:rsid w:val="00DF3FF4"/>
    <w:rsid w:val="00DF494B"/>
    <w:rsid w:val="00DF4F24"/>
    <w:rsid w:val="00DF50D1"/>
    <w:rsid w:val="00DF5181"/>
    <w:rsid w:val="00DF6731"/>
    <w:rsid w:val="00DF758F"/>
    <w:rsid w:val="00DF79E0"/>
    <w:rsid w:val="00DF7DFD"/>
    <w:rsid w:val="00DF7F41"/>
    <w:rsid w:val="00E00117"/>
    <w:rsid w:val="00E00268"/>
    <w:rsid w:val="00E00B51"/>
    <w:rsid w:val="00E0149A"/>
    <w:rsid w:val="00E020ED"/>
    <w:rsid w:val="00E021B8"/>
    <w:rsid w:val="00E026C1"/>
    <w:rsid w:val="00E02A4F"/>
    <w:rsid w:val="00E03A03"/>
    <w:rsid w:val="00E0509D"/>
    <w:rsid w:val="00E0524F"/>
    <w:rsid w:val="00E05626"/>
    <w:rsid w:val="00E05EFD"/>
    <w:rsid w:val="00E062F4"/>
    <w:rsid w:val="00E074D1"/>
    <w:rsid w:val="00E1015A"/>
    <w:rsid w:val="00E113E9"/>
    <w:rsid w:val="00E12F05"/>
    <w:rsid w:val="00E14FDE"/>
    <w:rsid w:val="00E15101"/>
    <w:rsid w:val="00E154C3"/>
    <w:rsid w:val="00E16A27"/>
    <w:rsid w:val="00E176BA"/>
    <w:rsid w:val="00E17961"/>
    <w:rsid w:val="00E20A48"/>
    <w:rsid w:val="00E2123D"/>
    <w:rsid w:val="00E218C3"/>
    <w:rsid w:val="00E21A15"/>
    <w:rsid w:val="00E22823"/>
    <w:rsid w:val="00E2320E"/>
    <w:rsid w:val="00E23C5C"/>
    <w:rsid w:val="00E25DF1"/>
    <w:rsid w:val="00E26065"/>
    <w:rsid w:val="00E26783"/>
    <w:rsid w:val="00E26C76"/>
    <w:rsid w:val="00E26CD9"/>
    <w:rsid w:val="00E27168"/>
    <w:rsid w:val="00E27B17"/>
    <w:rsid w:val="00E308BD"/>
    <w:rsid w:val="00E30905"/>
    <w:rsid w:val="00E30C4D"/>
    <w:rsid w:val="00E30D1F"/>
    <w:rsid w:val="00E30D6A"/>
    <w:rsid w:val="00E31553"/>
    <w:rsid w:val="00E318ED"/>
    <w:rsid w:val="00E349E3"/>
    <w:rsid w:val="00E34CEC"/>
    <w:rsid w:val="00E366E1"/>
    <w:rsid w:val="00E402AB"/>
    <w:rsid w:val="00E4053B"/>
    <w:rsid w:val="00E40C9B"/>
    <w:rsid w:val="00E42472"/>
    <w:rsid w:val="00E43D97"/>
    <w:rsid w:val="00E44160"/>
    <w:rsid w:val="00E46891"/>
    <w:rsid w:val="00E47870"/>
    <w:rsid w:val="00E511F4"/>
    <w:rsid w:val="00E51920"/>
    <w:rsid w:val="00E51B7E"/>
    <w:rsid w:val="00E52847"/>
    <w:rsid w:val="00E52E60"/>
    <w:rsid w:val="00E52F08"/>
    <w:rsid w:val="00E53850"/>
    <w:rsid w:val="00E54929"/>
    <w:rsid w:val="00E55785"/>
    <w:rsid w:val="00E56E7E"/>
    <w:rsid w:val="00E5772E"/>
    <w:rsid w:val="00E62185"/>
    <w:rsid w:val="00E62516"/>
    <w:rsid w:val="00E629AB"/>
    <w:rsid w:val="00E6336E"/>
    <w:rsid w:val="00E638EE"/>
    <w:rsid w:val="00E64120"/>
    <w:rsid w:val="00E64264"/>
    <w:rsid w:val="00E64570"/>
    <w:rsid w:val="00E648AA"/>
    <w:rsid w:val="00E64AF5"/>
    <w:rsid w:val="00E653AD"/>
    <w:rsid w:val="00E6558E"/>
    <w:rsid w:val="00E65AA1"/>
    <w:rsid w:val="00E65E3E"/>
    <w:rsid w:val="00E660A1"/>
    <w:rsid w:val="00E6664F"/>
    <w:rsid w:val="00E67957"/>
    <w:rsid w:val="00E67CA3"/>
    <w:rsid w:val="00E705B2"/>
    <w:rsid w:val="00E71290"/>
    <w:rsid w:val="00E714FE"/>
    <w:rsid w:val="00E729C0"/>
    <w:rsid w:val="00E7375A"/>
    <w:rsid w:val="00E7441C"/>
    <w:rsid w:val="00E7522B"/>
    <w:rsid w:val="00E7585F"/>
    <w:rsid w:val="00E7638E"/>
    <w:rsid w:val="00E76B1D"/>
    <w:rsid w:val="00E77720"/>
    <w:rsid w:val="00E77A8A"/>
    <w:rsid w:val="00E80853"/>
    <w:rsid w:val="00E80A94"/>
    <w:rsid w:val="00E82606"/>
    <w:rsid w:val="00E83500"/>
    <w:rsid w:val="00E83615"/>
    <w:rsid w:val="00E83F54"/>
    <w:rsid w:val="00E845C9"/>
    <w:rsid w:val="00E847BF"/>
    <w:rsid w:val="00E85078"/>
    <w:rsid w:val="00E921A9"/>
    <w:rsid w:val="00E92A8A"/>
    <w:rsid w:val="00E93022"/>
    <w:rsid w:val="00E95F5A"/>
    <w:rsid w:val="00E9715F"/>
    <w:rsid w:val="00EA18A9"/>
    <w:rsid w:val="00EA18DF"/>
    <w:rsid w:val="00EA1966"/>
    <w:rsid w:val="00EA2627"/>
    <w:rsid w:val="00EA2B62"/>
    <w:rsid w:val="00EA3854"/>
    <w:rsid w:val="00EA3CCF"/>
    <w:rsid w:val="00EA51CD"/>
    <w:rsid w:val="00EA5D00"/>
    <w:rsid w:val="00EA603C"/>
    <w:rsid w:val="00EA604F"/>
    <w:rsid w:val="00EB058B"/>
    <w:rsid w:val="00EB0718"/>
    <w:rsid w:val="00EB0DD3"/>
    <w:rsid w:val="00EB446C"/>
    <w:rsid w:val="00EB5549"/>
    <w:rsid w:val="00EB56D7"/>
    <w:rsid w:val="00EB7A4B"/>
    <w:rsid w:val="00EC13EA"/>
    <w:rsid w:val="00EC1FD8"/>
    <w:rsid w:val="00EC216E"/>
    <w:rsid w:val="00EC2E63"/>
    <w:rsid w:val="00EC36BB"/>
    <w:rsid w:val="00EC4215"/>
    <w:rsid w:val="00EC42EB"/>
    <w:rsid w:val="00EC4376"/>
    <w:rsid w:val="00EC46FC"/>
    <w:rsid w:val="00EC4CE8"/>
    <w:rsid w:val="00EC6455"/>
    <w:rsid w:val="00EC79F1"/>
    <w:rsid w:val="00ED047D"/>
    <w:rsid w:val="00ED1173"/>
    <w:rsid w:val="00ED11A6"/>
    <w:rsid w:val="00ED17FD"/>
    <w:rsid w:val="00ED19C6"/>
    <w:rsid w:val="00ED6EAC"/>
    <w:rsid w:val="00ED6ED6"/>
    <w:rsid w:val="00ED72A9"/>
    <w:rsid w:val="00EE011D"/>
    <w:rsid w:val="00EE02B2"/>
    <w:rsid w:val="00EE0530"/>
    <w:rsid w:val="00EE08A7"/>
    <w:rsid w:val="00EE0B63"/>
    <w:rsid w:val="00EE3230"/>
    <w:rsid w:val="00EE4E00"/>
    <w:rsid w:val="00EE593A"/>
    <w:rsid w:val="00EF07E2"/>
    <w:rsid w:val="00EF2699"/>
    <w:rsid w:val="00EF3F70"/>
    <w:rsid w:val="00EF4F0A"/>
    <w:rsid w:val="00EF5A26"/>
    <w:rsid w:val="00EF6ED2"/>
    <w:rsid w:val="00F005E5"/>
    <w:rsid w:val="00F0063A"/>
    <w:rsid w:val="00F00C92"/>
    <w:rsid w:val="00F0155C"/>
    <w:rsid w:val="00F01C58"/>
    <w:rsid w:val="00F01DD7"/>
    <w:rsid w:val="00F0220E"/>
    <w:rsid w:val="00F02319"/>
    <w:rsid w:val="00F0244A"/>
    <w:rsid w:val="00F0390C"/>
    <w:rsid w:val="00F04664"/>
    <w:rsid w:val="00F055F1"/>
    <w:rsid w:val="00F059C0"/>
    <w:rsid w:val="00F06561"/>
    <w:rsid w:val="00F0668A"/>
    <w:rsid w:val="00F07132"/>
    <w:rsid w:val="00F07639"/>
    <w:rsid w:val="00F11459"/>
    <w:rsid w:val="00F132EF"/>
    <w:rsid w:val="00F1669F"/>
    <w:rsid w:val="00F1709B"/>
    <w:rsid w:val="00F1797E"/>
    <w:rsid w:val="00F211B1"/>
    <w:rsid w:val="00F2241E"/>
    <w:rsid w:val="00F231C7"/>
    <w:rsid w:val="00F24456"/>
    <w:rsid w:val="00F24611"/>
    <w:rsid w:val="00F2702C"/>
    <w:rsid w:val="00F274BD"/>
    <w:rsid w:val="00F322F0"/>
    <w:rsid w:val="00F328CF"/>
    <w:rsid w:val="00F3384C"/>
    <w:rsid w:val="00F33FEA"/>
    <w:rsid w:val="00F359A4"/>
    <w:rsid w:val="00F37424"/>
    <w:rsid w:val="00F406F6"/>
    <w:rsid w:val="00F40E06"/>
    <w:rsid w:val="00F4126A"/>
    <w:rsid w:val="00F4235E"/>
    <w:rsid w:val="00F44F6A"/>
    <w:rsid w:val="00F44FE1"/>
    <w:rsid w:val="00F4643E"/>
    <w:rsid w:val="00F466FA"/>
    <w:rsid w:val="00F46EF9"/>
    <w:rsid w:val="00F47790"/>
    <w:rsid w:val="00F518E5"/>
    <w:rsid w:val="00F536F9"/>
    <w:rsid w:val="00F54FFE"/>
    <w:rsid w:val="00F5511E"/>
    <w:rsid w:val="00F55CFE"/>
    <w:rsid w:val="00F56E06"/>
    <w:rsid w:val="00F5786C"/>
    <w:rsid w:val="00F601A1"/>
    <w:rsid w:val="00F6040E"/>
    <w:rsid w:val="00F610AF"/>
    <w:rsid w:val="00F615B5"/>
    <w:rsid w:val="00F61836"/>
    <w:rsid w:val="00F6536D"/>
    <w:rsid w:val="00F6552E"/>
    <w:rsid w:val="00F65846"/>
    <w:rsid w:val="00F669E0"/>
    <w:rsid w:val="00F66BCF"/>
    <w:rsid w:val="00F670F4"/>
    <w:rsid w:val="00F709B0"/>
    <w:rsid w:val="00F714F6"/>
    <w:rsid w:val="00F73BB6"/>
    <w:rsid w:val="00F7690A"/>
    <w:rsid w:val="00F77C90"/>
    <w:rsid w:val="00F80B52"/>
    <w:rsid w:val="00F81147"/>
    <w:rsid w:val="00F832CE"/>
    <w:rsid w:val="00F8666D"/>
    <w:rsid w:val="00F90EDD"/>
    <w:rsid w:val="00F9179C"/>
    <w:rsid w:val="00F94752"/>
    <w:rsid w:val="00F97C94"/>
    <w:rsid w:val="00FA19B7"/>
    <w:rsid w:val="00FA279B"/>
    <w:rsid w:val="00FA2C5A"/>
    <w:rsid w:val="00FA2CBA"/>
    <w:rsid w:val="00FA2E6C"/>
    <w:rsid w:val="00FA32BA"/>
    <w:rsid w:val="00FA34F6"/>
    <w:rsid w:val="00FA387B"/>
    <w:rsid w:val="00FA70F2"/>
    <w:rsid w:val="00FB01C6"/>
    <w:rsid w:val="00FB04B9"/>
    <w:rsid w:val="00FB0D1E"/>
    <w:rsid w:val="00FB2281"/>
    <w:rsid w:val="00FB2373"/>
    <w:rsid w:val="00FB23CC"/>
    <w:rsid w:val="00FB423E"/>
    <w:rsid w:val="00FB42B0"/>
    <w:rsid w:val="00FB562C"/>
    <w:rsid w:val="00FB5E99"/>
    <w:rsid w:val="00FB5FCB"/>
    <w:rsid w:val="00FB6E38"/>
    <w:rsid w:val="00FB72B7"/>
    <w:rsid w:val="00FB7602"/>
    <w:rsid w:val="00FC0667"/>
    <w:rsid w:val="00FC0BAB"/>
    <w:rsid w:val="00FC0D49"/>
    <w:rsid w:val="00FC1C4D"/>
    <w:rsid w:val="00FC26FD"/>
    <w:rsid w:val="00FC2D11"/>
    <w:rsid w:val="00FC4391"/>
    <w:rsid w:val="00FC47A4"/>
    <w:rsid w:val="00FC4E1D"/>
    <w:rsid w:val="00FC602A"/>
    <w:rsid w:val="00FC6230"/>
    <w:rsid w:val="00FC62E0"/>
    <w:rsid w:val="00FC7255"/>
    <w:rsid w:val="00FC7EA3"/>
    <w:rsid w:val="00FD08ED"/>
    <w:rsid w:val="00FD171A"/>
    <w:rsid w:val="00FD28C4"/>
    <w:rsid w:val="00FD2C8C"/>
    <w:rsid w:val="00FD4566"/>
    <w:rsid w:val="00FD5C91"/>
    <w:rsid w:val="00FD6243"/>
    <w:rsid w:val="00FD63E1"/>
    <w:rsid w:val="00FD72FB"/>
    <w:rsid w:val="00FE1755"/>
    <w:rsid w:val="00FE2BF0"/>
    <w:rsid w:val="00FE47E9"/>
    <w:rsid w:val="00FE4FCE"/>
    <w:rsid w:val="00FE6C0A"/>
    <w:rsid w:val="00FF05C4"/>
    <w:rsid w:val="00FF18BC"/>
    <w:rsid w:val="00FF292C"/>
    <w:rsid w:val="00FF2B32"/>
    <w:rsid w:val="00FF61E7"/>
    <w:rsid w:val="00FF6449"/>
    <w:rsid w:val="00FF7F48"/>
    <w:rsid w:val="014D126A"/>
    <w:rsid w:val="014EB099"/>
    <w:rsid w:val="01BFC6A0"/>
    <w:rsid w:val="01C14A1E"/>
    <w:rsid w:val="01DB10BB"/>
    <w:rsid w:val="0215D63E"/>
    <w:rsid w:val="02306B18"/>
    <w:rsid w:val="02C9F8F2"/>
    <w:rsid w:val="03034484"/>
    <w:rsid w:val="0309EF1F"/>
    <w:rsid w:val="033B6B4A"/>
    <w:rsid w:val="038DCF16"/>
    <w:rsid w:val="03B29D28"/>
    <w:rsid w:val="03CC3B79"/>
    <w:rsid w:val="03CD6325"/>
    <w:rsid w:val="03DA5D3D"/>
    <w:rsid w:val="03E8880B"/>
    <w:rsid w:val="04080FA9"/>
    <w:rsid w:val="0417F3D2"/>
    <w:rsid w:val="04184E61"/>
    <w:rsid w:val="0470E89F"/>
    <w:rsid w:val="04CAB0D2"/>
    <w:rsid w:val="055A8865"/>
    <w:rsid w:val="0560AF83"/>
    <w:rsid w:val="058A5D1E"/>
    <w:rsid w:val="05E44372"/>
    <w:rsid w:val="06051866"/>
    <w:rsid w:val="060F3436"/>
    <w:rsid w:val="065135CD"/>
    <w:rsid w:val="07458A00"/>
    <w:rsid w:val="07C447BD"/>
    <w:rsid w:val="0807A3D1"/>
    <w:rsid w:val="082B0CB1"/>
    <w:rsid w:val="08415614"/>
    <w:rsid w:val="08619ED5"/>
    <w:rsid w:val="08994C64"/>
    <w:rsid w:val="08D53F80"/>
    <w:rsid w:val="096C90EC"/>
    <w:rsid w:val="0994C911"/>
    <w:rsid w:val="09AFF444"/>
    <w:rsid w:val="09B17201"/>
    <w:rsid w:val="09C98148"/>
    <w:rsid w:val="09E17AB5"/>
    <w:rsid w:val="0A0DB9E3"/>
    <w:rsid w:val="0A31C8D1"/>
    <w:rsid w:val="0B5D2AF7"/>
    <w:rsid w:val="0B8CFCEE"/>
    <w:rsid w:val="0BA3582C"/>
    <w:rsid w:val="0BC60B43"/>
    <w:rsid w:val="0CC0C1F9"/>
    <w:rsid w:val="0CC60641"/>
    <w:rsid w:val="0CF17ACA"/>
    <w:rsid w:val="0D324E6C"/>
    <w:rsid w:val="0D42F1CB"/>
    <w:rsid w:val="0D458181"/>
    <w:rsid w:val="0D7B0B45"/>
    <w:rsid w:val="0D7D63DA"/>
    <w:rsid w:val="0D82D54C"/>
    <w:rsid w:val="0D8EC906"/>
    <w:rsid w:val="0DA6B521"/>
    <w:rsid w:val="0DB3A3C3"/>
    <w:rsid w:val="0E0F3167"/>
    <w:rsid w:val="0E221550"/>
    <w:rsid w:val="0E27D6CC"/>
    <w:rsid w:val="0E39A10B"/>
    <w:rsid w:val="0E3B80A9"/>
    <w:rsid w:val="0EFD148D"/>
    <w:rsid w:val="0F80A87C"/>
    <w:rsid w:val="0FA3DE8B"/>
    <w:rsid w:val="102BE8AB"/>
    <w:rsid w:val="105A42A9"/>
    <w:rsid w:val="111B1E22"/>
    <w:rsid w:val="112F5C92"/>
    <w:rsid w:val="116DD95F"/>
    <w:rsid w:val="117DB56F"/>
    <w:rsid w:val="11B58841"/>
    <w:rsid w:val="11B940BC"/>
    <w:rsid w:val="11EC44B3"/>
    <w:rsid w:val="11F78A4D"/>
    <w:rsid w:val="1248589E"/>
    <w:rsid w:val="1249A4E4"/>
    <w:rsid w:val="125EECF6"/>
    <w:rsid w:val="1272EDA8"/>
    <w:rsid w:val="129B25CD"/>
    <w:rsid w:val="12A5B945"/>
    <w:rsid w:val="12D22061"/>
    <w:rsid w:val="12E8B823"/>
    <w:rsid w:val="12F1CCDD"/>
    <w:rsid w:val="1314A222"/>
    <w:rsid w:val="13794D33"/>
    <w:rsid w:val="137FEAD4"/>
    <w:rsid w:val="13998DEA"/>
    <w:rsid w:val="13CAA972"/>
    <w:rsid w:val="13D909B3"/>
    <w:rsid w:val="141D8ED4"/>
    <w:rsid w:val="141FC70A"/>
    <w:rsid w:val="1501A723"/>
    <w:rsid w:val="15861D2A"/>
    <w:rsid w:val="161EE0BB"/>
    <w:rsid w:val="164784CB"/>
    <w:rsid w:val="17348C7C"/>
    <w:rsid w:val="174D08E1"/>
    <w:rsid w:val="1756D054"/>
    <w:rsid w:val="1758311A"/>
    <w:rsid w:val="17D5F057"/>
    <w:rsid w:val="17F49A9B"/>
    <w:rsid w:val="189EFEA5"/>
    <w:rsid w:val="18A4F2F2"/>
    <w:rsid w:val="18B85BA0"/>
    <w:rsid w:val="18CBFC27"/>
    <w:rsid w:val="18ED4E78"/>
    <w:rsid w:val="1938F477"/>
    <w:rsid w:val="19AC8C05"/>
    <w:rsid w:val="19CF665A"/>
    <w:rsid w:val="1A60DC1C"/>
    <w:rsid w:val="1AAD8DC0"/>
    <w:rsid w:val="1AB08CB5"/>
    <w:rsid w:val="1AC7255C"/>
    <w:rsid w:val="1AE0094E"/>
    <w:rsid w:val="1AF3970A"/>
    <w:rsid w:val="1B00D172"/>
    <w:rsid w:val="1B2A090A"/>
    <w:rsid w:val="1B4DEB11"/>
    <w:rsid w:val="1B80D1A9"/>
    <w:rsid w:val="1B80D248"/>
    <w:rsid w:val="1B911100"/>
    <w:rsid w:val="1B96B605"/>
    <w:rsid w:val="1BAD4DB1"/>
    <w:rsid w:val="1C08B368"/>
    <w:rsid w:val="1C11F53F"/>
    <w:rsid w:val="1C22B993"/>
    <w:rsid w:val="1C3DB1F5"/>
    <w:rsid w:val="1C875728"/>
    <w:rsid w:val="1C904D4E"/>
    <w:rsid w:val="1CC90099"/>
    <w:rsid w:val="1CCE964A"/>
    <w:rsid w:val="1CF1228D"/>
    <w:rsid w:val="1CF16B8F"/>
    <w:rsid w:val="1D066FA4"/>
    <w:rsid w:val="1D312D97"/>
    <w:rsid w:val="1D58E2C4"/>
    <w:rsid w:val="1D70DC31"/>
    <w:rsid w:val="1D9FA01B"/>
    <w:rsid w:val="1DA82BCD"/>
    <w:rsid w:val="1DDE5138"/>
    <w:rsid w:val="1DEFBB66"/>
    <w:rsid w:val="1DEFD3AC"/>
    <w:rsid w:val="1E09A706"/>
    <w:rsid w:val="1E0D33D6"/>
    <w:rsid w:val="1E34CA9B"/>
    <w:rsid w:val="1E3BCF87"/>
    <w:rsid w:val="1E7ACD19"/>
    <w:rsid w:val="1EDDB6D2"/>
    <w:rsid w:val="1F0198D9"/>
    <w:rsid w:val="1F436FDE"/>
    <w:rsid w:val="1F468FC8"/>
    <w:rsid w:val="1F5A078A"/>
    <w:rsid w:val="1F5DF901"/>
    <w:rsid w:val="1F74BB3F"/>
    <w:rsid w:val="1F946F61"/>
    <w:rsid w:val="1FB0FB5A"/>
    <w:rsid w:val="1FD44295"/>
    <w:rsid w:val="204B27F0"/>
    <w:rsid w:val="204E1D48"/>
    <w:rsid w:val="2097D994"/>
    <w:rsid w:val="20A67495"/>
    <w:rsid w:val="20C37650"/>
    <w:rsid w:val="21306273"/>
    <w:rsid w:val="213399C1"/>
    <w:rsid w:val="21B17EDF"/>
    <w:rsid w:val="21DBB1C7"/>
    <w:rsid w:val="2203A6FB"/>
    <w:rsid w:val="221FD418"/>
    <w:rsid w:val="227DFA65"/>
    <w:rsid w:val="227F6606"/>
    <w:rsid w:val="22997AEB"/>
    <w:rsid w:val="22D33360"/>
    <w:rsid w:val="22E806AB"/>
    <w:rsid w:val="22F16B09"/>
    <w:rsid w:val="22F835D5"/>
    <w:rsid w:val="2307B8C6"/>
    <w:rsid w:val="2335B267"/>
    <w:rsid w:val="233ECDE2"/>
    <w:rsid w:val="234975DF"/>
    <w:rsid w:val="23A4F241"/>
    <w:rsid w:val="23A9A011"/>
    <w:rsid w:val="23D8BCCC"/>
    <w:rsid w:val="23F200B9"/>
    <w:rsid w:val="2451DF55"/>
    <w:rsid w:val="24759047"/>
    <w:rsid w:val="2478520D"/>
    <w:rsid w:val="24A55A70"/>
    <w:rsid w:val="24F13CF5"/>
    <w:rsid w:val="24FF17C2"/>
    <w:rsid w:val="25008527"/>
    <w:rsid w:val="25804ECC"/>
    <w:rsid w:val="25F8ABF5"/>
    <w:rsid w:val="2691675A"/>
    <w:rsid w:val="26BE3D61"/>
    <w:rsid w:val="26D49106"/>
    <w:rsid w:val="2714DE48"/>
    <w:rsid w:val="275A25B0"/>
    <w:rsid w:val="275C15DE"/>
    <w:rsid w:val="27942866"/>
    <w:rsid w:val="27DE7C71"/>
    <w:rsid w:val="27E67073"/>
    <w:rsid w:val="27FC35AF"/>
    <w:rsid w:val="2812ABEB"/>
    <w:rsid w:val="2828463F"/>
    <w:rsid w:val="285FECC8"/>
    <w:rsid w:val="288171EA"/>
    <w:rsid w:val="288AF817"/>
    <w:rsid w:val="28D9691D"/>
    <w:rsid w:val="28EF9412"/>
    <w:rsid w:val="28F1955B"/>
    <w:rsid w:val="290E2154"/>
    <w:rsid w:val="29365979"/>
    <w:rsid w:val="298DC4C7"/>
    <w:rsid w:val="29A34BD4"/>
    <w:rsid w:val="29DEA450"/>
    <w:rsid w:val="2A2FAC12"/>
    <w:rsid w:val="2A4069A7"/>
    <w:rsid w:val="2A4C380B"/>
    <w:rsid w:val="2A834D27"/>
    <w:rsid w:val="2AF836F0"/>
    <w:rsid w:val="2AFF31F4"/>
    <w:rsid w:val="2B14B573"/>
    <w:rsid w:val="2B4A4CAD"/>
    <w:rsid w:val="2B714016"/>
    <w:rsid w:val="2BA8F322"/>
    <w:rsid w:val="2BDD8402"/>
    <w:rsid w:val="2C0033AF"/>
    <w:rsid w:val="2C76EE78"/>
    <w:rsid w:val="2CD0B6AB"/>
    <w:rsid w:val="2D034E9A"/>
    <w:rsid w:val="2D0900C2"/>
    <w:rsid w:val="2D4DF7B1"/>
    <w:rsid w:val="2D56C6CB"/>
    <w:rsid w:val="2DA7235C"/>
    <w:rsid w:val="2E037C4E"/>
    <w:rsid w:val="2E3062B3"/>
    <w:rsid w:val="2E7639FF"/>
    <w:rsid w:val="2E8C1261"/>
    <w:rsid w:val="2ED604ED"/>
    <w:rsid w:val="2EEF847E"/>
    <w:rsid w:val="2EF0E544"/>
    <w:rsid w:val="2EF3A7CB"/>
    <w:rsid w:val="2EFEC1D2"/>
    <w:rsid w:val="2F446121"/>
    <w:rsid w:val="2F7511A6"/>
    <w:rsid w:val="2FA0CBB8"/>
    <w:rsid w:val="2FCED9D9"/>
    <w:rsid w:val="300DA9AA"/>
    <w:rsid w:val="30256372"/>
    <w:rsid w:val="3046750E"/>
    <w:rsid w:val="30468733"/>
    <w:rsid w:val="30525151"/>
    <w:rsid w:val="30DE2952"/>
    <w:rsid w:val="30F80C27"/>
    <w:rsid w:val="31337F29"/>
    <w:rsid w:val="320278F0"/>
    <w:rsid w:val="32935D45"/>
    <w:rsid w:val="329F4813"/>
    <w:rsid w:val="32A1631E"/>
    <w:rsid w:val="32CF17F6"/>
    <w:rsid w:val="32D8E5A1"/>
    <w:rsid w:val="32EFF221"/>
    <w:rsid w:val="336A8E34"/>
    <w:rsid w:val="3374A5CE"/>
    <w:rsid w:val="33A34E08"/>
    <w:rsid w:val="33E7FF6A"/>
    <w:rsid w:val="342365D2"/>
    <w:rsid w:val="34AC9567"/>
    <w:rsid w:val="34F12EF3"/>
    <w:rsid w:val="3511CD0D"/>
    <w:rsid w:val="3524B0F6"/>
    <w:rsid w:val="35413CEF"/>
    <w:rsid w:val="3547A1DD"/>
    <w:rsid w:val="3598062D"/>
    <w:rsid w:val="359A6EA5"/>
    <w:rsid w:val="35C16ADB"/>
    <w:rsid w:val="35CBC78D"/>
    <w:rsid w:val="35F7CF4C"/>
    <w:rsid w:val="35FF089B"/>
    <w:rsid w:val="36D2857C"/>
    <w:rsid w:val="36E2057E"/>
    <w:rsid w:val="36EB2938"/>
    <w:rsid w:val="370D3200"/>
    <w:rsid w:val="3712B9F0"/>
    <w:rsid w:val="375F5243"/>
    <w:rsid w:val="37949028"/>
    <w:rsid w:val="37954153"/>
    <w:rsid w:val="37B912D8"/>
    <w:rsid w:val="37CBA544"/>
    <w:rsid w:val="37FBD2C5"/>
    <w:rsid w:val="38367773"/>
    <w:rsid w:val="386921F1"/>
    <w:rsid w:val="38754744"/>
    <w:rsid w:val="389A5740"/>
    <w:rsid w:val="390A71C4"/>
    <w:rsid w:val="3933BA88"/>
    <w:rsid w:val="393D3522"/>
    <w:rsid w:val="39488BCC"/>
    <w:rsid w:val="39E73BC9"/>
    <w:rsid w:val="39F22DCC"/>
    <w:rsid w:val="39F599A7"/>
    <w:rsid w:val="39FFF6C1"/>
    <w:rsid w:val="3A0C4820"/>
    <w:rsid w:val="3A1EA935"/>
    <w:rsid w:val="3A36F1EA"/>
    <w:rsid w:val="3A400D65"/>
    <w:rsid w:val="3A4BF5FF"/>
    <w:rsid w:val="3A742E24"/>
    <w:rsid w:val="3B347268"/>
    <w:rsid w:val="3B36E4AC"/>
    <w:rsid w:val="3B3832C7"/>
    <w:rsid w:val="3B3D3241"/>
    <w:rsid w:val="3B55547F"/>
    <w:rsid w:val="3B5A99ED"/>
    <w:rsid w:val="3BB75A5F"/>
    <w:rsid w:val="3BC449FB"/>
    <w:rsid w:val="3BF6ECB7"/>
    <w:rsid w:val="3C24394C"/>
    <w:rsid w:val="3C674C61"/>
    <w:rsid w:val="3C82BD3F"/>
    <w:rsid w:val="3CAC4350"/>
    <w:rsid w:val="3CDC8572"/>
    <w:rsid w:val="3D293716"/>
    <w:rsid w:val="3D39CC57"/>
    <w:rsid w:val="3D63E39A"/>
    <w:rsid w:val="3DD0DFDD"/>
    <w:rsid w:val="3E0FE27F"/>
    <w:rsid w:val="3EBCAD3A"/>
    <w:rsid w:val="3ED44A10"/>
    <w:rsid w:val="3EE4F807"/>
    <w:rsid w:val="3EFF63B8"/>
    <w:rsid w:val="3F5216FB"/>
    <w:rsid w:val="3F722602"/>
    <w:rsid w:val="3F7AF6B8"/>
    <w:rsid w:val="3F7B207E"/>
    <w:rsid w:val="3F9782B1"/>
    <w:rsid w:val="3FE1C09D"/>
    <w:rsid w:val="3FEDFCA7"/>
    <w:rsid w:val="4010FF06"/>
    <w:rsid w:val="4020AC51"/>
    <w:rsid w:val="403E4CAF"/>
    <w:rsid w:val="40414913"/>
    <w:rsid w:val="4078E321"/>
    <w:rsid w:val="408CA7DC"/>
    <w:rsid w:val="40C2F238"/>
    <w:rsid w:val="41738C2B"/>
    <w:rsid w:val="418DE58E"/>
    <w:rsid w:val="41E7681E"/>
    <w:rsid w:val="41F38CBE"/>
    <w:rsid w:val="422FCCD9"/>
    <w:rsid w:val="4239E473"/>
    <w:rsid w:val="428CB02F"/>
    <w:rsid w:val="42E00F02"/>
    <w:rsid w:val="42E2C6C2"/>
    <w:rsid w:val="42F82CFC"/>
    <w:rsid w:val="43255539"/>
    <w:rsid w:val="43A0334F"/>
    <w:rsid w:val="43AF1046"/>
    <w:rsid w:val="43E3C87D"/>
    <w:rsid w:val="44158C57"/>
    <w:rsid w:val="4478F2FD"/>
    <w:rsid w:val="44A23BC1"/>
    <w:rsid w:val="44B1C951"/>
    <w:rsid w:val="44B86EC6"/>
    <w:rsid w:val="44D22E9B"/>
    <w:rsid w:val="4519987E"/>
    <w:rsid w:val="4545C13B"/>
    <w:rsid w:val="45BA27F0"/>
    <w:rsid w:val="45BBD8F9"/>
    <w:rsid w:val="45D270A5"/>
    <w:rsid w:val="45D4D91D"/>
    <w:rsid w:val="45E2E22E"/>
    <w:rsid w:val="45EA6A12"/>
    <w:rsid w:val="45FD8011"/>
    <w:rsid w:val="4629AB29"/>
    <w:rsid w:val="466F2309"/>
    <w:rsid w:val="46970B07"/>
    <w:rsid w:val="46A122A1"/>
    <w:rsid w:val="46A88E0E"/>
    <w:rsid w:val="46B8C97E"/>
    <w:rsid w:val="46D5DAD8"/>
    <w:rsid w:val="46EA9CF7"/>
    <w:rsid w:val="47624AD0"/>
    <w:rsid w:val="476BCAC8"/>
    <w:rsid w:val="47FA657A"/>
    <w:rsid w:val="48D5BFED"/>
    <w:rsid w:val="48F880BA"/>
    <w:rsid w:val="491AA698"/>
    <w:rsid w:val="4927D325"/>
    <w:rsid w:val="49526AAE"/>
    <w:rsid w:val="4955A97A"/>
    <w:rsid w:val="49AC6C4E"/>
    <w:rsid w:val="49DF9758"/>
    <w:rsid w:val="49E8259F"/>
    <w:rsid w:val="49F49B6D"/>
    <w:rsid w:val="4A07728A"/>
    <w:rsid w:val="4A2C48FC"/>
    <w:rsid w:val="4A3DE101"/>
    <w:rsid w:val="4A3EA7FC"/>
    <w:rsid w:val="4A6DB5D5"/>
    <w:rsid w:val="4A89F48B"/>
    <w:rsid w:val="4AC3986F"/>
    <w:rsid w:val="4AD98960"/>
    <w:rsid w:val="4AF50AF4"/>
    <w:rsid w:val="4B0603EA"/>
    <w:rsid w:val="4B1514AD"/>
    <w:rsid w:val="4B1937FA"/>
    <w:rsid w:val="4C25C4EC"/>
    <w:rsid w:val="4C2D5024"/>
    <w:rsid w:val="4C36BBC6"/>
    <w:rsid w:val="4C7BB2B5"/>
    <w:rsid w:val="4CD52124"/>
    <w:rsid w:val="4CD6F224"/>
    <w:rsid w:val="4D1EAA9F"/>
    <w:rsid w:val="4D29E109"/>
    <w:rsid w:val="4D2BA4B7"/>
    <w:rsid w:val="4D3654C4"/>
    <w:rsid w:val="4D63A18E"/>
    <w:rsid w:val="4D7306C8"/>
    <w:rsid w:val="4D939468"/>
    <w:rsid w:val="4DDB8A4C"/>
    <w:rsid w:val="4E2CB1B4"/>
    <w:rsid w:val="4E45C408"/>
    <w:rsid w:val="4E4A4CF7"/>
    <w:rsid w:val="4E9114E6"/>
    <w:rsid w:val="4EA615A7"/>
    <w:rsid w:val="4EC5B16A"/>
    <w:rsid w:val="4ECF38BF"/>
    <w:rsid w:val="4EF5136A"/>
    <w:rsid w:val="4F53AB77"/>
    <w:rsid w:val="4F840D90"/>
    <w:rsid w:val="4F9C06FD"/>
    <w:rsid w:val="4FF43101"/>
    <w:rsid w:val="4FF9619C"/>
    <w:rsid w:val="5010BCFA"/>
    <w:rsid w:val="502F988B"/>
    <w:rsid w:val="5041E608"/>
    <w:rsid w:val="5057B7D8"/>
    <w:rsid w:val="50B4C9DD"/>
    <w:rsid w:val="50E88B6C"/>
    <w:rsid w:val="510F94A1"/>
    <w:rsid w:val="5120AEAF"/>
    <w:rsid w:val="512F966E"/>
    <w:rsid w:val="5137A238"/>
    <w:rsid w:val="514ED3B1"/>
    <w:rsid w:val="515EF7BF"/>
    <w:rsid w:val="516F6680"/>
    <w:rsid w:val="51859985"/>
    <w:rsid w:val="5234EDAD"/>
    <w:rsid w:val="5248BDC2"/>
    <w:rsid w:val="52492269"/>
    <w:rsid w:val="5257C2F2"/>
    <w:rsid w:val="52591E30"/>
    <w:rsid w:val="526A3751"/>
    <w:rsid w:val="5312B1A0"/>
    <w:rsid w:val="531EDC29"/>
    <w:rsid w:val="532F81FF"/>
    <w:rsid w:val="5350AFBC"/>
    <w:rsid w:val="54124A5B"/>
    <w:rsid w:val="5422F94D"/>
    <w:rsid w:val="54A9BF02"/>
    <w:rsid w:val="54F3582C"/>
    <w:rsid w:val="550F069B"/>
    <w:rsid w:val="5521E7EE"/>
    <w:rsid w:val="553B34C4"/>
    <w:rsid w:val="555934DD"/>
    <w:rsid w:val="5574C611"/>
    <w:rsid w:val="5593F0CB"/>
    <w:rsid w:val="55C884AE"/>
    <w:rsid w:val="55CAD125"/>
    <w:rsid w:val="55DFC124"/>
    <w:rsid w:val="55FE0435"/>
    <w:rsid w:val="5624D48A"/>
    <w:rsid w:val="567A27F2"/>
    <w:rsid w:val="57472EA3"/>
    <w:rsid w:val="57B9E750"/>
    <w:rsid w:val="5820C4B3"/>
    <w:rsid w:val="583D0678"/>
    <w:rsid w:val="58A485BD"/>
    <w:rsid w:val="58B30718"/>
    <w:rsid w:val="58D222C7"/>
    <w:rsid w:val="58EF635A"/>
    <w:rsid w:val="58F26C2D"/>
    <w:rsid w:val="59083CBF"/>
    <w:rsid w:val="593F51DB"/>
    <w:rsid w:val="59682178"/>
    <w:rsid w:val="59717A5C"/>
    <w:rsid w:val="59B8CE30"/>
    <w:rsid w:val="5A1F4A41"/>
    <w:rsid w:val="5AAFC473"/>
    <w:rsid w:val="5AD25B48"/>
    <w:rsid w:val="5AD431D0"/>
    <w:rsid w:val="5B9D5EBE"/>
    <w:rsid w:val="5BE255AD"/>
    <w:rsid w:val="5BEC6D47"/>
    <w:rsid w:val="5C1E63F2"/>
    <w:rsid w:val="5C325807"/>
    <w:rsid w:val="5C3F1338"/>
    <w:rsid w:val="5C5E92D9"/>
    <w:rsid w:val="5C990E3C"/>
    <w:rsid w:val="5C99D885"/>
    <w:rsid w:val="5CD22835"/>
    <w:rsid w:val="5CF45AE1"/>
    <w:rsid w:val="5D5C4F1C"/>
    <w:rsid w:val="5DA52F25"/>
    <w:rsid w:val="5EC9AE5E"/>
    <w:rsid w:val="5EF81F7D"/>
    <w:rsid w:val="5F491F00"/>
    <w:rsid w:val="5F5DB53A"/>
    <w:rsid w:val="5F77E2EA"/>
    <w:rsid w:val="5F917A86"/>
    <w:rsid w:val="5FE3F4EA"/>
    <w:rsid w:val="60739268"/>
    <w:rsid w:val="607F931B"/>
    <w:rsid w:val="6082559E"/>
    <w:rsid w:val="608E8271"/>
    <w:rsid w:val="60B7DCCD"/>
    <w:rsid w:val="60E25A24"/>
    <w:rsid w:val="60E3474A"/>
    <w:rsid w:val="611C7E39"/>
    <w:rsid w:val="6122F5E4"/>
    <w:rsid w:val="6171FEE5"/>
    <w:rsid w:val="62031CCC"/>
    <w:rsid w:val="6215BBBD"/>
    <w:rsid w:val="62266017"/>
    <w:rsid w:val="62838CE1"/>
    <w:rsid w:val="62B08A63"/>
    <w:rsid w:val="62B3386A"/>
    <w:rsid w:val="62BD1E2E"/>
    <w:rsid w:val="6324E3F8"/>
    <w:rsid w:val="636A666A"/>
    <w:rsid w:val="636D2CA7"/>
    <w:rsid w:val="6395979D"/>
    <w:rsid w:val="63A80BFC"/>
    <w:rsid w:val="63CB90A0"/>
    <w:rsid w:val="63DF2118"/>
    <w:rsid w:val="6443CC29"/>
    <w:rsid w:val="64540AE1"/>
    <w:rsid w:val="649AD2D0"/>
    <w:rsid w:val="64B15FE4"/>
    <w:rsid w:val="651F6A22"/>
    <w:rsid w:val="6530BA3C"/>
    <w:rsid w:val="655C07A0"/>
    <w:rsid w:val="65AF9B7C"/>
    <w:rsid w:val="65B5C0AE"/>
    <w:rsid w:val="65BC79E9"/>
    <w:rsid w:val="662C8A9C"/>
    <w:rsid w:val="662D65E4"/>
    <w:rsid w:val="663F12B4"/>
    <w:rsid w:val="66DA4FE9"/>
    <w:rsid w:val="66F57084"/>
    <w:rsid w:val="66FEC968"/>
    <w:rsid w:val="6701264D"/>
    <w:rsid w:val="672D86EE"/>
    <w:rsid w:val="6750F537"/>
    <w:rsid w:val="6758919B"/>
    <w:rsid w:val="676D64E6"/>
    <w:rsid w:val="677DBEDD"/>
    <w:rsid w:val="679D2561"/>
    <w:rsid w:val="67A7A024"/>
    <w:rsid w:val="67FC6662"/>
    <w:rsid w:val="686FA029"/>
    <w:rsid w:val="6888C886"/>
    <w:rsid w:val="68B132CE"/>
    <w:rsid w:val="68F9F7F0"/>
    <w:rsid w:val="691FF420"/>
    <w:rsid w:val="695A1E8B"/>
    <w:rsid w:val="69DE6764"/>
    <w:rsid w:val="6A131F9B"/>
    <w:rsid w:val="6A382F97"/>
    <w:rsid w:val="6A3CB2FE"/>
    <w:rsid w:val="6B43547F"/>
    <w:rsid w:val="6B48EA30"/>
    <w:rsid w:val="6BA343D0"/>
    <w:rsid w:val="6BC2F7F2"/>
    <w:rsid w:val="6C1CC025"/>
    <w:rsid w:val="6C247ADA"/>
    <w:rsid w:val="6C34B992"/>
    <w:rsid w:val="6C6C3B94"/>
    <w:rsid w:val="6C826E36"/>
    <w:rsid w:val="6C91771D"/>
    <w:rsid w:val="6CD079BF"/>
    <w:rsid w:val="6D20CF78"/>
    <w:rsid w:val="6D3FDE7A"/>
    <w:rsid w:val="6DC9081A"/>
    <w:rsid w:val="6E086958"/>
    <w:rsid w:val="6E3B67C6"/>
    <w:rsid w:val="6E883F9C"/>
    <w:rsid w:val="6ED80753"/>
    <w:rsid w:val="6EE7F184"/>
    <w:rsid w:val="6F0538D6"/>
    <w:rsid w:val="6F2CE873"/>
    <w:rsid w:val="6F38477D"/>
    <w:rsid w:val="6F5183A8"/>
    <w:rsid w:val="6F94EF10"/>
    <w:rsid w:val="6FA07B13"/>
    <w:rsid w:val="6FBA64AE"/>
    <w:rsid w:val="700BC64D"/>
    <w:rsid w:val="7028221E"/>
    <w:rsid w:val="70520BA3"/>
    <w:rsid w:val="705EBC81"/>
    <w:rsid w:val="709AC9CB"/>
    <w:rsid w:val="70ADE069"/>
    <w:rsid w:val="711633F3"/>
    <w:rsid w:val="714B3231"/>
    <w:rsid w:val="71BC0532"/>
    <w:rsid w:val="71C7FFBA"/>
    <w:rsid w:val="71E5EC79"/>
    <w:rsid w:val="71F62B31"/>
    <w:rsid w:val="7294F159"/>
    <w:rsid w:val="72A45FBD"/>
    <w:rsid w:val="72B3FE63"/>
    <w:rsid w:val="72B9E159"/>
    <w:rsid w:val="72C2B319"/>
    <w:rsid w:val="72F3C002"/>
    <w:rsid w:val="73405D53"/>
    <w:rsid w:val="7380F38C"/>
    <w:rsid w:val="73CDA530"/>
    <w:rsid w:val="741D4321"/>
    <w:rsid w:val="74299FF9"/>
    <w:rsid w:val="743355FD"/>
    <w:rsid w:val="74AFFA7B"/>
    <w:rsid w:val="74F10625"/>
    <w:rsid w:val="7552DCEA"/>
    <w:rsid w:val="758703B4"/>
    <w:rsid w:val="759B3870"/>
    <w:rsid w:val="75AB3437"/>
    <w:rsid w:val="75BFFBDE"/>
    <w:rsid w:val="75C835F2"/>
    <w:rsid w:val="75DE9130"/>
    <w:rsid w:val="75F98992"/>
    <w:rsid w:val="762B1556"/>
    <w:rsid w:val="7630745F"/>
    <w:rsid w:val="76C21470"/>
    <w:rsid w:val="76ED0534"/>
    <w:rsid w:val="76EDB870"/>
    <w:rsid w:val="772CB3CE"/>
    <w:rsid w:val="782EBC40"/>
    <w:rsid w:val="783EFAF8"/>
    <w:rsid w:val="785D0DAC"/>
    <w:rsid w:val="787514F0"/>
    <w:rsid w:val="7882F60C"/>
    <w:rsid w:val="78A56108"/>
    <w:rsid w:val="78C332FE"/>
    <w:rsid w:val="78CEDD23"/>
    <w:rsid w:val="78D8E180"/>
    <w:rsid w:val="78EE9145"/>
    <w:rsid w:val="79306CAA"/>
    <w:rsid w:val="79A7103C"/>
    <w:rsid w:val="79C36154"/>
    <w:rsid w:val="79D17E08"/>
    <w:rsid w:val="7A24C6DA"/>
    <w:rsid w:val="7A490124"/>
    <w:rsid w:val="7A5B62DB"/>
    <w:rsid w:val="7A76819E"/>
    <w:rsid w:val="7ABF4BB3"/>
    <w:rsid w:val="7AC6D4B9"/>
    <w:rsid w:val="7B1E267A"/>
    <w:rsid w:val="7B243B71"/>
    <w:rsid w:val="7B34357C"/>
    <w:rsid w:val="7BC12993"/>
    <w:rsid w:val="7BC2B5E6"/>
    <w:rsid w:val="7BDEF297"/>
    <w:rsid w:val="7BE568FD"/>
    <w:rsid w:val="7C2438CE"/>
    <w:rsid w:val="7C34AA57"/>
    <w:rsid w:val="7C4C70F3"/>
    <w:rsid w:val="7C875048"/>
    <w:rsid w:val="7CC39063"/>
    <w:rsid w:val="7D23EC9A"/>
    <w:rsid w:val="7D45C38C"/>
    <w:rsid w:val="7D6719C0"/>
    <w:rsid w:val="7D99557C"/>
    <w:rsid w:val="7E101F6A"/>
    <w:rsid w:val="7E1C303D"/>
    <w:rsid w:val="7E2647D7"/>
    <w:rsid w:val="7E2E028C"/>
    <w:rsid w:val="7E520A09"/>
    <w:rsid w:val="7E633146"/>
    <w:rsid w:val="7EB8A998"/>
    <w:rsid w:val="7ED47C63"/>
    <w:rsid w:val="7EDAA381"/>
    <w:rsid w:val="7EEF74C5"/>
    <w:rsid w:val="7F0C02C5"/>
    <w:rsid w:val="7F346BB4"/>
    <w:rsid w:val="7F51D755"/>
    <w:rsid w:val="7FAE9DD2"/>
    <w:rsid w:val="7FB5A2BE"/>
    <w:rsid w:val="7FD7E696"/>
    <w:rsid w:val="7FDD49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45981"/>
  <w15:docId w15:val="{48A43169-3D14-4FB5-A150-2613A0CD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iPriority="2" w:qFormat="1"/>
    <w:lsdException w:name="heading 3" w:semiHidden="1"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AE8"/>
    <w:pPr>
      <w:spacing w:before="80" w:after="120" w:line="288" w:lineRule="auto"/>
    </w:pPr>
    <w:rPr>
      <w:rFonts w:ascii="Lato" w:hAnsi="Lato"/>
      <w:sz w:val="22"/>
      <w:szCs w:val="24"/>
    </w:rPr>
  </w:style>
  <w:style w:type="paragraph" w:styleId="Heading1">
    <w:name w:val="heading 1"/>
    <w:basedOn w:val="Normal"/>
    <w:next w:val="Normal"/>
    <w:link w:val="Heading1Char"/>
    <w:qFormat/>
    <w:rsid w:val="00D37CC3"/>
    <w:pPr>
      <w:keepNext/>
      <w:spacing w:before="360" w:after="80"/>
      <w:outlineLvl w:val="0"/>
    </w:pPr>
    <w:rPr>
      <w:b/>
      <w:bCs/>
      <w:kern w:val="32"/>
      <w:sz w:val="32"/>
      <w:szCs w:val="32"/>
    </w:rPr>
  </w:style>
  <w:style w:type="paragraph" w:styleId="Heading2">
    <w:name w:val="heading 2"/>
    <w:basedOn w:val="Normal"/>
    <w:next w:val="Normal"/>
    <w:link w:val="Heading2Char"/>
    <w:uiPriority w:val="2"/>
    <w:qFormat/>
    <w:rsid w:val="00D37CC3"/>
    <w:pPr>
      <w:keepNext/>
      <w:spacing w:before="360" w:after="80"/>
      <w:outlineLvl w:val="1"/>
    </w:pPr>
    <w:rPr>
      <w:bCs/>
      <w:iCs/>
      <w:color w:val="004650" w:themeColor="text2"/>
      <w:sz w:val="28"/>
      <w:szCs w:val="26"/>
    </w:rPr>
  </w:style>
  <w:style w:type="paragraph" w:styleId="Heading3">
    <w:name w:val="heading 3"/>
    <w:basedOn w:val="Normal"/>
    <w:next w:val="Normal"/>
    <w:link w:val="Heading3Char"/>
    <w:qFormat/>
    <w:rsid w:val="00D37CC3"/>
    <w:pPr>
      <w:keepNext/>
      <w:spacing w:before="240" w:after="80"/>
      <w:outlineLvl w:val="2"/>
    </w:pPr>
    <w:rPr>
      <w:b/>
      <w:sz w:val="24"/>
    </w:rPr>
  </w:style>
  <w:style w:type="paragraph" w:styleId="Heading4">
    <w:name w:val="heading 4"/>
    <w:basedOn w:val="Normal"/>
    <w:next w:val="Normal"/>
    <w:link w:val="Heading4Char"/>
    <w:qFormat/>
    <w:rsid w:val="00D37CC3"/>
    <w:pPr>
      <w:keepNext/>
      <w:keepLines/>
      <w:spacing w:before="240" w:after="80"/>
      <w:outlineLvl w:val="3"/>
    </w:pPr>
    <w:rPr>
      <w:rFonts w:eastAsiaTheme="majorEastAsia" w:cstheme="majorBidi"/>
      <w:iCs/>
      <w:color w:val="451551" w:themeColor="accent6"/>
      <w:sz w:val="24"/>
    </w:rPr>
  </w:style>
  <w:style w:type="paragraph" w:styleId="Heading5">
    <w:name w:val="heading 5"/>
    <w:basedOn w:val="Normal"/>
    <w:next w:val="Normal"/>
    <w:link w:val="Heading5Char"/>
    <w:semiHidden/>
    <w:rsid w:val="00D34284"/>
    <w:pPr>
      <w:keepNext/>
      <w:keepLines/>
      <w:spacing w:before="240" w:after="0"/>
      <w:outlineLvl w:val="4"/>
    </w:pPr>
    <w:rPr>
      <w:rFonts w:eastAsiaTheme="majorEastAsia" w:cstheme="majorBidi"/>
      <w:b/>
    </w:rPr>
  </w:style>
  <w:style w:type="paragraph" w:styleId="Heading6">
    <w:name w:val="heading 6"/>
    <w:basedOn w:val="Normal"/>
    <w:next w:val="Normal"/>
    <w:link w:val="Heading6Char"/>
    <w:semiHidden/>
    <w:qFormat/>
    <w:rsid w:val="00D34284"/>
    <w:pPr>
      <w:keepNext/>
      <w:keepLines/>
      <w:spacing w:before="120" w:after="0"/>
      <w:outlineLvl w:val="5"/>
    </w:pPr>
    <w:rPr>
      <w:rFonts w:eastAsiaTheme="majorEastAsia" w:cstheme="majorBidi"/>
      <w:color w:val="00465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5C7CA9"/>
    <w:pPr>
      <w:spacing w:line="240" w:lineRule="auto"/>
    </w:pPr>
    <w:rPr>
      <w:szCs w:val="20"/>
    </w:rPr>
  </w:style>
  <w:style w:type="paragraph" w:styleId="Title">
    <w:name w:val="Title"/>
    <w:basedOn w:val="Normal"/>
    <w:next w:val="Heading1"/>
    <w:link w:val="TitleChar"/>
    <w:qFormat/>
    <w:rsid w:val="006E6D72"/>
    <w:pPr>
      <w:spacing w:before="360" w:after="360"/>
      <w:jc w:val="center"/>
      <w:outlineLvl w:val="0"/>
    </w:pPr>
    <w:rPr>
      <w:rFonts w:ascii="Arial" w:hAnsi="Arial"/>
      <w:b/>
      <w:bCs/>
      <w:color w:val="004650" w:themeColor="text2"/>
      <w:sz w:val="36"/>
      <w:szCs w:val="32"/>
    </w:rPr>
  </w:style>
  <w:style w:type="character" w:customStyle="1" w:styleId="TitleChar">
    <w:name w:val="Title Char"/>
    <w:link w:val="Title"/>
    <w:rsid w:val="006E6D72"/>
    <w:rPr>
      <w:rFonts w:ascii="Arial" w:hAnsi="Arial"/>
      <w:b/>
      <w:bCs/>
      <w:color w:val="004650" w:themeColor="text2"/>
      <w:sz w:val="36"/>
      <w:szCs w:val="32"/>
    </w:rPr>
  </w:style>
  <w:style w:type="character" w:customStyle="1" w:styleId="Heading1Char">
    <w:name w:val="Heading 1 Char"/>
    <w:link w:val="Heading1"/>
    <w:rsid w:val="00D37CC3"/>
    <w:rPr>
      <w:rFonts w:ascii="Lato" w:hAnsi="Lato"/>
      <w:b/>
      <w:bCs/>
      <w:kern w:val="32"/>
      <w:sz w:val="32"/>
      <w:szCs w:val="32"/>
    </w:rPr>
  </w:style>
  <w:style w:type="character" w:customStyle="1" w:styleId="CommentTextChar">
    <w:name w:val="Comment Text Char"/>
    <w:basedOn w:val="DefaultParagraphFont"/>
    <w:link w:val="CommentText"/>
    <w:rsid w:val="005C7CA9"/>
    <w:rPr>
      <w:rFonts w:ascii="Lato" w:hAnsi="Lato"/>
    </w:rPr>
  </w:style>
  <w:style w:type="paragraph" w:styleId="Header">
    <w:name w:val="header"/>
    <w:basedOn w:val="Normal"/>
    <w:link w:val="HeaderChar"/>
    <w:semiHidden/>
    <w:rsid w:val="005C7CA9"/>
    <w:pPr>
      <w:tabs>
        <w:tab w:val="center" w:pos="4513"/>
        <w:tab w:val="right" w:pos="9026"/>
      </w:tabs>
    </w:pPr>
    <w:rPr>
      <w:rFonts w:ascii="Arial" w:hAnsi="Arial"/>
    </w:rPr>
  </w:style>
  <w:style w:type="character" w:customStyle="1" w:styleId="HeaderChar">
    <w:name w:val="Header Char"/>
    <w:link w:val="Header"/>
    <w:semiHidden/>
    <w:rsid w:val="005C7CA9"/>
    <w:rPr>
      <w:rFonts w:ascii="Arial" w:hAnsi="Arial"/>
      <w:szCs w:val="24"/>
    </w:rPr>
  </w:style>
  <w:style w:type="paragraph" w:styleId="Footer">
    <w:name w:val="footer"/>
    <w:basedOn w:val="Normal"/>
    <w:link w:val="FooterChar"/>
    <w:semiHidden/>
    <w:rsid w:val="005C7CA9"/>
    <w:pPr>
      <w:tabs>
        <w:tab w:val="center" w:pos="4513"/>
        <w:tab w:val="right" w:pos="9026"/>
      </w:tabs>
    </w:pPr>
    <w:rPr>
      <w:rFonts w:ascii="Arial" w:hAnsi="Arial"/>
      <w:sz w:val="18"/>
    </w:rPr>
  </w:style>
  <w:style w:type="character" w:customStyle="1" w:styleId="FooterChar">
    <w:name w:val="Footer Char"/>
    <w:link w:val="Footer"/>
    <w:semiHidden/>
    <w:rsid w:val="005C7CA9"/>
    <w:rPr>
      <w:rFonts w:ascii="Arial" w:hAnsi="Arial"/>
      <w:sz w:val="18"/>
      <w:szCs w:val="24"/>
    </w:rPr>
  </w:style>
  <w:style w:type="paragraph" w:styleId="BalloonText">
    <w:name w:val="Balloon Text"/>
    <w:basedOn w:val="Normal"/>
    <w:link w:val="BalloonTextChar"/>
    <w:semiHidden/>
    <w:rsid w:val="005C7CA9"/>
    <w:rPr>
      <w:rFonts w:ascii="Tahoma" w:hAnsi="Tahoma" w:cs="Tahoma"/>
      <w:sz w:val="16"/>
      <w:szCs w:val="16"/>
    </w:rPr>
  </w:style>
  <w:style w:type="character" w:customStyle="1" w:styleId="BalloonTextChar">
    <w:name w:val="Balloon Text Char"/>
    <w:link w:val="BalloonText"/>
    <w:semiHidden/>
    <w:rsid w:val="005C7CA9"/>
    <w:rPr>
      <w:rFonts w:ascii="Tahoma" w:hAnsi="Tahoma" w:cs="Tahoma"/>
      <w:sz w:val="16"/>
      <w:szCs w:val="16"/>
    </w:rPr>
  </w:style>
  <w:style w:type="character" w:customStyle="1" w:styleId="Heading2Char">
    <w:name w:val="Heading 2 Char"/>
    <w:link w:val="Heading2"/>
    <w:uiPriority w:val="2"/>
    <w:rsid w:val="00D37CC3"/>
    <w:rPr>
      <w:rFonts w:ascii="Lato" w:hAnsi="Lato"/>
      <w:bCs/>
      <w:iCs/>
      <w:color w:val="004650" w:themeColor="text2"/>
      <w:sz w:val="28"/>
      <w:szCs w:val="26"/>
    </w:rPr>
  </w:style>
  <w:style w:type="character" w:customStyle="1" w:styleId="Heading3Char">
    <w:name w:val="Heading 3 Char"/>
    <w:link w:val="Heading3"/>
    <w:rsid w:val="00D37CC3"/>
    <w:rPr>
      <w:rFonts w:ascii="Lato" w:hAnsi="Lato"/>
      <w:b/>
      <w:sz w:val="24"/>
      <w:szCs w:val="24"/>
    </w:rPr>
  </w:style>
  <w:style w:type="character" w:styleId="CommentReference">
    <w:name w:val="annotation reference"/>
    <w:basedOn w:val="DefaultParagraphFont"/>
    <w:rsid w:val="005C7CA9"/>
    <w:rPr>
      <w:sz w:val="16"/>
      <w:szCs w:val="16"/>
    </w:rPr>
  </w:style>
  <w:style w:type="character" w:styleId="Hyperlink">
    <w:name w:val="Hyperlink"/>
    <w:basedOn w:val="DefaultParagraphFont"/>
    <w:uiPriority w:val="99"/>
    <w:rsid w:val="005C7CA9"/>
    <w:rPr>
      <w:color w:val="00506A"/>
      <w:u w:val="single"/>
    </w:rPr>
  </w:style>
  <w:style w:type="paragraph" w:styleId="TOC1">
    <w:name w:val="toc 1"/>
    <w:basedOn w:val="Normal"/>
    <w:next w:val="Normal"/>
    <w:autoRedefine/>
    <w:uiPriority w:val="39"/>
    <w:rsid w:val="00897D2A"/>
    <w:pPr>
      <w:tabs>
        <w:tab w:val="right" w:leader="dot" w:pos="9016"/>
      </w:tabs>
    </w:pPr>
    <w:rPr>
      <w:noProof/>
    </w:rPr>
  </w:style>
  <w:style w:type="paragraph" w:styleId="TOC2">
    <w:name w:val="toc 2"/>
    <w:basedOn w:val="Normal"/>
    <w:next w:val="Normal"/>
    <w:autoRedefine/>
    <w:uiPriority w:val="39"/>
    <w:rsid w:val="00D944E1"/>
    <w:pPr>
      <w:tabs>
        <w:tab w:val="right" w:leader="dot" w:pos="9016"/>
      </w:tabs>
      <w:ind w:left="240"/>
    </w:pPr>
  </w:style>
  <w:style w:type="paragraph" w:styleId="TOC3">
    <w:name w:val="toc 3"/>
    <w:basedOn w:val="Normal"/>
    <w:next w:val="Normal"/>
    <w:autoRedefine/>
    <w:uiPriority w:val="39"/>
    <w:rsid w:val="005C7CA9"/>
    <w:pPr>
      <w:ind w:left="480"/>
    </w:pPr>
  </w:style>
  <w:style w:type="paragraph" w:styleId="TOC4">
    <w:name w:val="toc 4"/>
    <w:basedOn w:val="Normal"/>
    <w:next w:val="Normal"/>
    <w:autoRedefine/>
    <w:uiPriority w:val="39"/>
    <w:semiHidden/>
    <w:rsid w:val="005C7CA9"/>
    <w:pPr>
      <w:ind w:left="720"/>
    </w:pPr>
    <w:rPr>
      <w:rFonts w:ascii="Arial" w:hAnsi="Arial"/>
    </w:rPr>
  </w:style>
  <w:style w:type="paragraph" w:styleId="TOAHeading">
    <w:name w:val="toa heading"/>
    <w:basedOn w:val="Normal"/>
    <w:next w:val="Normal"/>
    <w:semiHidden/>
    <w:rsid w:val="005C7CA9"/>
    <w:pPr>
      <w:spacing w:before="120"/>
    </w:pPr>
    <w:rPr>
      <w:rFonts w:ascii="Arial" w:hAnsi="Arial"/>
      <w:b/>
      <w:bCs/>
    </w:rPr>
  </w:style>
  <w:style w:type="paragraph" w:customStyle="1" w:styleId="Sectionbreakthickteal">
    <w:name w:val="Section break – thick teal"/>
    <w:basedOn w:val="Normal"/>
    <w:next w:val="Normal"/>
    <w:qFormat/>
    <w:rsid w:val="00D34284"/>
    <w:pPr>
      <w:widowControl w:val="0"/>
      <w:pBdr>
        <w:bottom w:val="single" w:sz="12" w:space="4" w:color="004650"/>
      </w:pBdr>
      <w:spacing w:before="120" w:after="480"/>
    </w:pPr>
    <w:rPr>
      <w:bCs/>
      <w:noProof/>
      <w:color w:val="004650"/>
      <w:szCs w:val="20"/>
    </w:rPr>
  </w:style>
  <w:style w:type="table" w:styleId="TableGrid">
    <w:name w:val="Table Grid"/>
    <w:basedOn w:val="TableNormal"/>
    <w:rsid w:val="005C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thingrey1">
    <w:name w:val="Section break – thin grey 1"/>
    <w:next w:val="Normal"/>
    <w:qFormat/>
    <w:rsid w:val="00D34284"/>
    <w:pPr>
      <w:pBdr>
        <w:bottom w:val="single" w:sz="4" w:space="4" w:color="ADADAD"/>
      </w:pBdr>
      <w:spacing w:before="80" w:after="480" w:line="288" w:lineRule="auto"/>
    </w:pPr>
    <w:rPr>
      <w:rFonts w:ascii="Lato" w:hAnsi="Lato"/>
      <w:bCs/>
      <w:color w:val="ADADAD"/>
      <w:lang w:eastAsia="en-US"/>
    </w:rPr>
  </w:style>
  <w:style w:type="paragraph" w:customStyle="1" w:styleId="Tabletext">
    <w:name w:val="Table text"/>
    <w:basedOn w:val="Normal"/>
    <w:qFormat/>
    <w:rsid w:val="00C83B95"/>
    <w:pPr>
      <w:spacing w:before="60" w:after="60"/>
    </w:pPr>
    <w:rPr>
      <w:sz w:val="20"/>
    </w:rPr>
  </w:style>
  <w:style w:type="character" w:styleId="FollowedHyperlink">
    <w:name w:val="FollowedHyperlink"/>
    <w:basedOn w:val="DefaultParagraphFont"/>
    <w:semiHidden/>
    <w:rsid w:val="005C7CA9"/>
    <w:rPr>
      <w:color w:val="800080" w:themeColor="followedHyperlink"/>
      <w:u w:val="single"/>
    </w:rPr>
  </w:style>
  <w:style w:type="character" w:customStyle="1" w:styleId="Heading4Char">
    <w:name w:val="Heading 4 Char"/>
    <w:basedOn w:val="DefaultParagraphFont"/>
    <w:link w:val="Heading4"/>
    <w:rsid w:val="00D37CC3"/>
    <w:rPr>
      <w:rFonts w:ascii="Lato" w:eastAsiaTheme="majorEastAsia" w:hAnsi="Lato" w:cstheme="majorBidi"/>
      <w:iCs/>
      <w:color w:val="451551" w:themeColor="accent6"/>
      <w:sz w:val="24"/>
      <w:szCs w:val="24"/>
    </w:rPr>
  </w:style>
  <w:style w:type="character" w:customStyle="1" w:styleId="Heading5Char">
    <w:name w:val="Heading 5 Char"/>
    <w:basedOn w:val="DefaultParagraphFont"/>
    <w:link w:val="Heading5"/>
    <w:semiHidden/>
    <w:rsid w:val="009C4684"/>
    <w:rPr>
      <w:rFonts w:ascii="Lato" w:eastAsiaTheme="majorEastAsia" w:hAnsi="Lato" w:cstheme="majorBidi"/>
      <w:b/>
      <w:sz w:val="22"/>
      <w:szCs w:val="24"/>
    </w:rPr>
  </w:style>
  <w:style w:type="character" w:customStyle="1" w:styleId="Heading6Char">
    <w:name w:val="Heading 6 Char"/>
    <w:basedOn w:val="DefaultParagraphFont"/>
    <w:link w:val="Heading6"/>
    <w:semiHidden/>
    <w:rsid w:val="009C4684"/>
    <w:rPr>
      <w:rFonts w:ascii="Lato" w:eastAsiaTheme="majorEastAsia" w:hAnsi="Lato" w:cstheme="majorBidi"/>
      <w:color w:val="004650" w:themeColor="text2"/>
      <w:sz w:val="22"/>
      <w:szCs w:val="24"/>
    </w:rPr>
  </w:style>
  <w:style w:type="paragraph" w:customStyle="1" w:styleId="Bullet1">
    <w:name w:val="Bullet 1"/>
    <w:basedOn w:val="Normal"/>
    <w:rsid w:val="0088189A"/>
    <w:pPr>
      <w:numPr>
        <w:numId w:val="31"/>
      </w:numPr>
      <w:tabs>
        <w:tab w:val="num" w:pos="284"/>
      </w:tabs>
      <w:ind w:left="568" w:hanging="284"/>
    </w:pPr>
    <w:rPr>
      <w:lang w:eastAsia="en-US"/>
    </w:rPr>
  </w:style>
  <w:style w:type="paragraph" w:customStyle="1" w:styleId="Bullet2">
    <w:name w:val="Bullet 2"/>
    <w:basedOn w:val="Normal"/>
    <w:qFormat/>
    <w:rsid w:val="00D27241"/>
    <w:pPr>
      <w:numPr>
        <w:numId w:val="35"/>
      </w:numPr>
      <w:tabs>
        <w:tab w:val="num" w:pos="568"/>
      </w:tabs>
      <w:ind w:left="851" w:hanging="284"/>
    </w:pPr>
    <w:rPr>
      <w:lang w:eastAsia="en-US"/>
    </w:rPr>
  </w:style>
  <w:style w:type="paragraph" w:customStyle="1" w:styleId="Bullet3">
    <w:name w:val="Bullet 3"/>
    <w:basedOn w:val="Normal"/>
    <w:qFormat/>
    <w:rsid w:val="00D34284"/>
    <w:pPr>
      <w:tabs>
        <w:tab w:val="num" w:pos="852"/>
      </w:tabs>
      <w:ind w:left="1135" w:hanging="283"/>
    </w:pPr>
    <w:rPr>
      <w:lang w:eastAsia="en-US"/>
    </w:rPr>
  </w:style>
  <w:style w:type="character" w:customStyle="1" w:styleId="Bold">
    <w:name w:val="Bold"/>
    <w:qFormat/>
    <w:rsid w:val="005C7CA9"/>
    <w:rPr>
      <w:b/>
      <w:color w:val="auto"/>
    </w:rPr>
  </w:style>
  <w:style w:type="paragraph" w:customStyle="1" w:styleId="Tableheadingwhite">
    <w:name w:val="Table heading – white"/>
    <w:basedOn w:val="Tabletext"/>
    <w:qFormat/>
    <w:rsid w:val="001D47D2"/>
    <w:pPr>
      <w:keepNext/>
      <w:spacing w:before="120" w:after="120"/>
    </w:pPr>
    <w:rPr>
      <w:b/>
      <w:color w:val="FFFFFF" w:themeColor="background1"/>
      <w:szCs w:val="20"/>
    </w:rPr>
  </w:style>
  <w:style w:type="paragraph" w:customStyle="1" w:styleId="Tableheadingblack">
    <w:name w:val="Table heading – black"/>
    <w:basedOn w:val="Heading4"/>
    <w:uiPriority w:val="1"/>
    <w:rsid w:val="00CB2EF3"/>
    <w:pPr>
      <w:keepLines w:val="0"/>
      <w:spacing w:before="120" w:after="0"/>
    </w:pPr>
    <w:rPr>
      <w:b/>
      <w:bCs/>
      <w:color w:val="auto"/>
      <w:sz w:val="22"/>
      <w:szCs w:val="18"/>
    </w:rPr>
  </w:style>
  <w:style w:type="character" w:styleId="PlaceholderText">
    <w:name w:val="Placeholder Text"/>
    <w:basedOn w:val="DefaultParagraphFont"/>
    <w:uiPriority w:val="99"/>
    <w:semiHidden/>
    <w:rsid w:val="005C7CA9"/>
    <w:rPr>
      <w:color w:val="808080"/>
    </w:rPr>
  </w:style>
  <w:style w:type="paragraph" w:customStyle="1" w:styleId="Tablebullet1">
    <w:name w:val="Table bullet 1"/>
    <w:basedOn w:val="Indentedbullet1"/>
    <w:rsid w:val="004F11C8"/>
    <w:pPr>
      <w:numPr>
        <w:numId w:val="39"/>
      </w:numPr>
      <w:tabs>
        <w:tab w:val="num" w:pos="284"/>
      </w:tabs>
      <w:ind w:left="284" w:hanging="284"/>
    </w:pPr>
    <w:rPr>
      <w:sz w:val="20"/>
    </w:rPr>
  </w:style>
  <w:style w:type="paragraph" w:customStyle="1" w:styleId="Tablebullet2">
    <w:name w:val="Table bullet 2"/>
    <w:basedOn w:val="Tablebullet1"/>
    <w:qFormat/>
    <w:rsid w:val="00306D3F"/>
    <w:pPr>
      <w:numPr>
        <w:ilvl w:val="1"/>
        <w:numId w:val="20"/>
      </w:numPr>
      <w:ind w:left="567"/>
    </w:pPr>
  </w:style>
  <w:style w:type="paragraph" w:customStyle="1" w:styleId="Tablebullet3">
    <w:name w:val="Table bullet 3"/>
    <w:basedOn w:val="Tablebullet2"/>
    <w:semiHidden/>
    <w:qFormat/>
    <w:rsid w:val="00306D3F"/>
    <w:pPr>
      <w:numPr>
        <w:ilvl w:val="2"/>
      </w:numPr>
      <w:ind w:left="851" w:hanging="284"/>
    </w:pPr>
  </w:style>
  <w:style w:type="paragraph" w:customStyle="1" w:styleId="Title2">
    <w:name w:val="Title 2"/>
    <w:basedOn w:val="Heading2"/>
    <w:link w:val="Title2Char"/>
    <w:qFormat/>
    <w:rsid w:val="005C7CA9"/>
    <w:pPr>
      <w:spacing w:after="360"/>
      <w:jc w:val="center"/>
    </w:pPr>
    <w:rPr>
      <w:b/>
      <w:color w:val="393939"/>
      <w:szCs w:val="20"/>
    </w:rPr>
  </w:style>
  <w:style w:type="paragraph" w:customStyle="1" w:styleId="Tabletext9pt">
    <w:name w:val="Table text – (9pt)"/>
    <w:basedOn w:val="Tabletext"/>
    <w:qFormat/>
    <w:rsid w:val="006E6D72"/>
    <w:rPr>
      <w:sz w:val="18"/>
    </w:rPr>
  </w:style>
  <w:style w:type="character" w:customStyle="1" w:styleId="Italic">
    <w:name w:val="Italic"/>
    <w:uiPriority w:val="1"/>
    <w:qFormat/>
    <w:rsid w:val="005C7CA9"/>
    <w:rPr>
      <w:i/>
      <w:color w:val="auto"/>
    </w:rPr>
  </w:style>
  <w:style w:type="paragraph" w:styleId="CommentSubject">
    <w:name w:val="annotation subject"/>
    <w:basedOn w:val="Normal"/>
    <w:next w:val="Normal"/>
    <w:link w:val="CommentSubjectChar"/>
    <w:semiHidden/>
    <w:unhideWhenUsed/>
    <w:rsid w:val="005C7CA9"/>
    <w:pPr>
      <w:spacing w:line="240" w:lineRule="auto"/>
    </w:pPr>
    <w:rPr>
      <w:b/>
      <w:bCs/>
      <w:szCs w:val="20"/>
    </w:rPr>
  </w:style>
  <w:style w:type="character" w:customStyle="1" w:styleId="CommentSubjectChar">
    <w:name w:val="Comment Subject Char"/>
    <w:basedOn w:val="DefaultParagraphFont"/>
    <w:link w:val="CommentSubject"/>
    <w:semiHidden/>
    <w:rsid w:val="005C7CA9"/>
    <w:rPr>
      <w:rFonts w:ascii="Lato" w:hAnsi="Lato"/>
      <w:b/>
      <w:bCs/>
    </w:rPr>
  </w:style>
  <w:style w:type="table" w:styleId="TableGridLight">
    <w:name w:val="Grid Table Light"/>
    <w:aliases w:val="Surveillance Table Grid Light"/>
    <w:basedOn w:val="TableNormal"/>
    <w:uiPriority w:val="40"/>
    <w:rsid w:val="005C7CA9"/>
    <w:tblPr>
      <w:tblBorders>
        <w:top w:val="single" w:sz="2" w:space="0" w:color="ADADAD"/>
        <w:left w:val="single" w:sz="2" w:space="0" w:color="ADADAD"/>
        <w:bottom w:val="single" w:sz="2" w:space="0" w:color="ADADAD"/>
        <w:right w:val="single" w:sz="2" w:space="0" w:color="ADADAD"/>
        <w:insideH w:val="single" w:sz="2" w:space="0" w:color="ADADAD"/>
        <w:insideV w:val="single" w:sz="2" w:space="0" w:color="ADADAD"/>
      </w:tblBorders>
      <w:tblCellMar>
        <w:top w:w="57" w:type="dxa"/>
        <w:left w:w="57" w:type="dxa"/>
        <w:bottom w:w="57" w:type="dxa"/>
        <w:right w:w="57" w:type="dxa"/>
      </w:tblCellMar>
    </w:tblPr>
  </w:style>
  <w:style w:type="table" w:customStyle="1" w:styleId="Surveillancetable">
    <w:name w:val="Surveillance table"/>
    <w:basedOn w:val="TableNormal"/>
    <w:uiPriority w:val="99"/>
    <w:rsid w:val="005C7CA9"/>
    <w:rPr>
      <w:rFonts w:ascii="Lato" w:hAnsi="Lato"/>
      <w:sz w:val="18"/>
    </w:rPr>
    <w:tblPr>
      <w:tblBorders>
        <w:top w:val="single" w:sz="4" w:space="0" w:color="ADADAD"/>
        <w:left w:val="single" w:sz="4" w:space="0" w:color="ADADAD"/>
        <w:bottom w:val="single" w:sz="4" w:space="0" w:color="ADADAD"/>
        <w:right w:val="single" w:sz="4" w:space="0" w:color="ADADAD"/>
        <w:insideH w:val="single" w:sz="4" w:space="0" w:color="ADADAD"/>
        <w:insideV w:val="single" w:sz="4" w:space="0" w:color="ADADAD"/>
      </w:tblBorders>
      <w:tblCellMar>
        <w:top w:w="57" w:type="dxa"/>
        <w:left w:w="57" w:type="dxa"/>
        <w:bottom w:w="57" w:type="dxa"/>
        <w:right w:w="57" w:type="dxa"/>
      </w:tblCellMar>
    </w:tblPr>
    <w:tcPr>
      <w:shd w:val="clear" w:color="auto" w:fill="auto"/>
    </w:tcPr>
    <w:tblStylePr w:type="firstRow">
      <w:rPr>
        <w:rFonts w:ascii="Lato Black" w:hAnsi="Lato Black"/>
        <w:color w:val="FFFFFF" w:themeColor="background1"/>
      </w:rPr>
      <w:tblPr>
        <w:tblCellMar>
          <w:top w:w="57" w:type="dxa"/>
          <w:left w:w="57" w:type="dxa"/>
          <w:bottom w:w="57" w:type="dxa"/>
          <w:right w:w="57" w:type="dxa"/>
        </w:tblCellMar>
      </w:tblPr>
      <w:tcPr>
        <w:shd w:val="clear" w:color="auto" w:fill="004650"/>
      </w:tcPr>
    </w:tblStylePr>
  </w:style>
  <w:style w:type="paragraph" w:customStyle="1" w:styleId="Instructionsbullet">
    <w:name w:val="Instructions bullet"/>
    <w:basedOn w:val="Instructionstext"/>
    <w:rsid w:val="00AF5E66"/>
    <w:pPr>
      <w:numPr>
        <w:numId w:val="4"/>
      </w:numPr>
      <w:ind w:left="567" w:hanging="425"/>
    </w:pPr>
  </w:style>
  <w:style w:type="paragraph" w:customStyle="1" w:styleId="Instructionsheading1">
    <w:name w:val="Instructions heading 1"/>
    <w:basedOn w:val="Instructionstext"/>
    <w:rsid w:val="005C7CA9"/>
    <w:rPr>
      <w:rFonts w:ascii="Lato Black" w:hAnsi="Lato Black"/>
      <w:szCs w:val="24"/>
    </w:rPr>
  </w:style>
  <w:style w:type="paragraph" w:customStyle="1" w:styleId="Instructionsheading2">
    <w:name w:val="Instructions heading 2"/>
    <w:basedOn w:val="Instructionsheading1"/>
    <w:rsid w:val="005C7CA9"/>
    <w:rPr>
      <w:rFonts w:ascii="Lato" w:hAnsi="Lato"/>
      <w:b/>
      <w:color w:val="004650" w:themeColor="text2"/>
    </w:rPr>
  </w:style>
  <w:style w:type="paragraph" w:customStyle="1" w:styleId="Instructionstext">
    <w:name w:val="Instructions text"/>
    <w:basedOn w:val="Normal"/>
    <w:rsid w:val="005C7CA9"/>
    <w:pPr>
      <w:pBdr>
        <w:top w:val="single" w:sz="4" w:space="6" w:color="auto"/>
        <w:left w:val="single" w:sz="4" w:space="6" w:color="auto"/>
        <w:bottom w:val="single" w:sz="4" w:space="6" w:color="auto"/>
        <w:right w:val="single" w:sz="4" w:space="6" w:color="auto"/>
      </w:pBdr>
      <w:shd w:val="clear" w:color="auto" w:fill="D5DD87"/>
      <w:spacing w:after="80"/>
      <w:ind w:left="142" w:right="237"/>
    </w:pPr>
    <w:rPr>
      <w:szCs w:val="20"/>
      <w:lang w:eastAsia="en-US"/>
    </w:rPr>
  </w:style>
  <w:style w:type="paragraph" w:customStyle="1" w:styleId="Heading1-contents">
    <w:name w:val="Heading 1 - contents"/>
    <w:basedOn w:val="Heading1"/>
    <w:qFormat/>
    <w:rsid w:val="005C7CA9"/>
  </w:style>
  <w:style w:type="numbering" w:customStyle="1" w:styleId="ESreviewquestionLIST">
    <w:name w:val="ES review question LIST"/>
    <w:uiPriority w:val="99"/>
    <w:rsid w:val="005C7CA9"/>
    <w:pPr>
      <w:numPr>
        <w:numId w:val="5"/>
      </w:numPr>
    </w:pPr>
  </w:style>
  <w:style w:type="paragraph" w:styleId="ListNumber">
    <w:name w:val="List Number"/>
    <w:semiHidden/>
    <w:rsid w:val="005C7CA9"/>
    <w:pPr>
      <w:spacing w:after="120" w:line="288" w:lineRule="auto"/>
      <w:contextualSpacing/>
    </w:pPr>
    <w:rPr>
      <w:rFonts w:ascii="Arial" w:hAnsi="Arial"/>
    </w:rPr>
  </w:style>
  <w:style w:type="character" w:customStyle="1" w:styleId="Title2Char">
    <w:name w:val="Title 2 Char"/>
    <w:basedOn w:val="DefaultParagraphFont"/>
    <w:link w:val="Title2"/>
    <w:rsid w:val="005C7CA9"/>
    <w:rPr>
      <w:rFonts w:ascii="Lato" w:hAnsi="Lato"/>
      <w:b/>
      <w:bCs/>
      <w:iCs/>
      <w:color w:val="393939"/>
      <w:sz w:val="28"/>
    </w:rPr>
  </w:style>
  <w:style w:type="character" w:styleId="FootnoteReference">
    <w:name w:val="footnote reference"/>
    <w:basedOn w:val="DefaultParagraphFont"/>
    <w:semiHidden/>
    <w:rsid w:val="005C7CA9"/>
    <w:rPr>
      <w:rFonts w:ascii="Arial" w:hAnsi="Arial"/>
      <w:vertAlign w:val="superscript"/>
    </w:rPr>
  </w:style>
  <w:style w:type="paragraph" w:styleId="FootnoteText">
    <w:name w:val="footnote text"/>
    <w:basedOn w:val="Normal"/>
    <w:link w:val="FootnoteTextChar"/>
    <w:semiHidden/>
    <w:rsid w:val="005C7CA9"/>
    <w:pPr>
      <w:spacing w:before="0" w:after="0" w:line="240" w:lineRule="auto"/>
    </w:pPr>
    <w:rPr>
      <w:rFonts w:ascii="Arial" w:hAnsi="Arial"/>
      <w:szCs w:val="20"/>
    </w:rPr>
  </w:style>
  <w:style w:type="character" w:customStyle="1" w:styleId="FootnoteTextChar">
    <w:name w:val="Footnote Text Char"/>
    <w:basedOn w:val="DefaultParagraphFont"/>
    <w:link w:val="FootnoteText"/>
    <w:semiHidden/>
    <w:rsid w:val="005C7CA9"/>
    <w:rPr>
      <w:rFonts w:ascii="Arial" w:hAnsi="Arial"/>
    </w:rPr>
  </w:style>
  <w:style w:type="paragraph" w:styleId="Revision">
    <w:name w:val="Revision"/>
    <w:hidden/>
    <w:uiPriority w:val="99"/>
    <w:semiHidden/>
    <w:rsid w:val="00B47681"/>
    <w:rPr>
      <w:rFonts w:ascii="Arial" w:hAnsi="Arial"/>
    </w:rPr>
  </w:style>
  <w:style w:type="paragraph" w:customStyle="1" w:styleId="Bullets">
    <w:name w:val="Bullets"/>
    <w:basedOn w:val="Normal"/>
    <w:uiPriority w:val="5"/>
    <w:semiHidden/>
    <w:qFormat/>
    <w:rsid w:val="005C7CA9"/>
    <w:pPr>
      <w:spacing w:before="0" w:line="276" w:lineRule="auto"/>
      <w:ind w:left="1134" w:hanging="454"/>
    </w:pPr>
    <w:rPr>
      <w:rFonts w:ascii="Arial" w:hAnsi="Arial"/>
      <w:sz w:val="24"/>
    </w:rPr>
  </w:style>
  <w:style w:type="paragraph" w:customStyle="1" w:styleId="Indentedbullet1">
    <w:name w:val="Indented bullet 1"/>
    <w:basedOn w:val="Bullet1"/>
    <w:qFormat/>
    <w:rsid w:val="00AF5E66"/>
    <w:pPr>
      <w:numPr>
        <w:numId w:val="19"/>
      </w:numPr>
      <w:tabs>
        <w:tab w:val="clear" w:pos="1986"/>
        <w:tab w:val="num" w:pos="1418"/>
      </w:tabs>
    </w:pPr>
  </w:style>
  <w:style w:type="paragraph" w:customStyle="1" w:styleId="Indentedbullet2">
    <w:name w:val="Indented bullet 2"/>
    <w:basedOn w:val="Bullet2"/>
    <w:qFormat/>
    <w:rsid w:val="00AF5E66"/>
    <w:pPr>
      <w:numPr>
        <w:ilvl w:val="1"/>
        <w:numId w:val="19"/>
      </w:numPr>
      <w:tabs>
        <w:tab w:val="num" w:pos="1986"/>
      </w:tabs>
    </w:pPr>
  </w:style>
  <w:style w:type="paragraph" w:customStyle="1" w:styleId="Indentedbullet3">
    <w:name w:val="Indented bullet 3"/>
    <w:basedOn w:val="Bullet3"/>
    <w:qFormat/>
    <w:rsid w:val="00AF5E66"/>
    <w:pPr>
      <w:numPr>
        <w:ilvl w:val="2"/>
        <w:numId w:val="19"/>
      </w:numPr>
      <w:tabs>
        <w:tab w:val="num" w:pos="1986"/>
      </w:tabs>
    </w:pPr>
  </w:style>
  <w:style w:type="numbering" w:customStyle="1" w:styleId="RevQ">
    <w:name w:val="RevQ"/>
    <w:uiPriority w:val="99"/>
    <w:rsid w:val="005C7CA9"/>
  </w:style>
  <w:style w:type="paragraph" w:customStyle="1" w:styleId="Numberedlist">
    <w:name w:val="Numbered list"/>
    <w:basedOn w:val="Bullet1"/>
    <w:qFormat/>
    <w:rsid w:val="00AF5E66"/>
    <w:pPr>
      <w:numPr>
        <w:numId w:val="7"/>
      </w:numPr>
      <w:ind w:left="284" w:hanging="284"/>
    </w:pPr>
  </w:style>
  <w:style w:type="numbering" w:customStyle="1" w:styleId="ESbullets">
    <w:name w:val="ES bullets"/>
    <w:uiPriority w:val="99"/>
    <w:rsid w:val="00721937"/>
    <w:pPr>
      <w:numPr>
        <w:numId w:val="8"/>
      </w:numPr>
    </w:pPr>
  </w:style>
  <w:style w:type="numbering" w:customStyle="1" w:styleId="Bodybullet">
    <w:name w:val="Body bullet"/>
    <w:uiPriority w:val="99"/>
    <w:rsid w:val="003266AE"/>
    <w:pPr>
      <w:numPr>
        <w:numId w:val="9"/>
      </w:numPr>
    </w:pPr>
  </w:style>
  <w:style w:type="numbering" w:customStyle="1" w:styleId="Indentedbullet">
    <w:name w:val="Indented bullet"/>
    <w:uiPriority w:val="99"/>
    <w:rsid w:val="00721937"/>
    <w:pPr>
      <w:numPr>
        <w:numId w:val="15"/>
      </w:numPr>
    </w:pPr>
  </w:style>
  <w:style w:type="character" w:customStyle="1" w:styleId="PlaceholderText1">
    <w:name w:val="Placeholder Text1"/>
    <w:basedOn w:val="DefaultParagraphFont"/>
    <w:uiPriority w:val="1"/>
    <w:qFormat/>
    <w:rsid w:val="0065128C"/>
    <w:rPr>
      <w:bdr w:val="none" w:sz="0" w:space="0" w:color="auto"/>
      <w:shd w:val="clear" w:color="auto" w:fill="E4BEEE" w:themeFill="accent6" w:themeFillTint="33"/>
    </w:rPr>
  </w:style>
  <w:style w:type="paragraph" w:styleId="Caption">
    <w:name w:val="caption"/>
    <w:basedOn w:val="Tableheadingblack"/>
    <w:next w:val="Normal"/>
    <w:unhideWhenUsed/>
    <w:qFormat/>
    <w:rsid w:val="00BE539F"/>
  </w:style>
  <w:style w:type="paragraph" w:customStyle="1" w:styleId="Referencelist">
    <w:name w:val="Reference list"/>
    <w:basedOn w:val="Normal"/>
    <w:rsid w:val="00BE539F"/>
    <w:pPr>
      <w:spacing w:line="240" w:lineRule="auto"/>
      <w:ind w:left="640" w:hanging="640"/>
    </w:pPr>
    <w:rPr>
      <w:szCs w:val="20"/>
    </w:rPr>
  </w:style>
  <w:style w:type="character" w:styleId="UnresolvedMention">
    <w:name w:val="Unresolved Mention"/>
    <w:basedOn w:val="DefaultParagraphFont"/>
    <w:uiPriority w:val="99"/>
    <w:semiHidden/>
    <w:unhideWhenUsed/>
    <w:rsid w:val="0048010A"/>
    <w:rPr>
      <w:color w:val="605E5C"/>
      <w:shd w:val="clear" w:color="auto" w:fill="E1DFDD"/>
    </w:rPr>
  </w:style>
  <w:style w:type="character" w:styleId="Mention">
    <w:name w:val="Mention"/>
    <w:basedOn w:val="DefaultParagraphFont"/>
    <w:uiPriority w:val="99"/>
    <w:unhideWhenUsed/>
    <w:rsid w:val="00F40E06"/>
    <w:rPr>
      <w:color w:val="2B579A"/>
      <w:shd w:val="clear" w:color="auto" w:fill="E6E6E6"/>
    </w:rPr>
  </w:style>
  <w:style w:type="paragraph" w:styleId="ListParagraph">
    <w:name w:val="List Paragraph"/>
    <w:basedOn w:val="Normal"/>
    <w:uiPriority w:val="34"/>
    <w:semiHidden/>
    <w:qFormat/>
    <w:rsid w:val="00DB3A2B"/>
    <w:pPr>
      <w:ind w:left="720"/>
      <w:contextualSpacing/>
    </w:pPr>
  </w:style>
  <w:style w:type="paragraph" w:customStyle="1" w:styleId="Bullet">
    <w:name w:val="Bullet"/>
    <w:basedOn w:val="Bullet1"/>
    <w:qFormat/>
    <w:rsid w:val="00AB6F54"/>
  </w:style>
  <w:style w:type="paragraph" w:customStyle="1" w:styleId="Bulet1">
    <w:name w:val="Bulet 1"/>
    <w:basedOn w:val="Bullet1"/>
    <w:qFormat/>
    <w:rsid w:val="00987E94"/>
  </w:style>
  <w:style w:type="paragraph" w:styleId="TOCHeading">
    <w:name w:val="TOC Heading"/>
    <w:basedOn w:val="Heading1"/>
    <w:next w:val="Normal"/>
    <w:uiPriority w:val="39"/>
    <w:unhideWhenUsed/>
    <w:qFormat/>
    <w:rsid w:val="00BD4C7F"/>
    <w:pPr>
      <w:keepLines/>
      <w:spacing w:before="240" w:after="0" w:line="259" w:lineRule="auto"/>
      <w:outlineLvl w:val="9"/>
    </w:pPr>
    <w:rPr>
      <w:rFonts w:asciiTheme="majorHAnsi" w:eastAsiaTheme="majorEastAsia" w:hAnsiTheme="majorHAnsi" w:cstheme="majorBidi"/>
      <w:b w:val="0"/>
      <w:bCs w:val="0"/>
      <w:color w:val="003B4F"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4208">
      <w:bodyDiv w:val="1"/>
      <w:marLeft w:val="0"/>
      <w:marRight w:val="0"/>
      <w:marTop w:val="0"/>
      <w:marBottom w:val="0"/>
      <w:divBdr>
        <w:top w:val="none" w:sz="0" w:space="0" w:color="auto"/>
        <w:left w:val="none" w:sz="0" w:space="0" w:color="auto"/>
        <w:bottom w:val="none" w:sz="0" w:space="0" w:color="auto"/>
        <w:right w:val="none" w:sz="0" w:space="0" w:color="auto"/>
      </w:divBdr>
    </w:div>
    <w:div w:id="392197710">
      <w:bodyDiv w:val="1"/>
      <w:marLeft w:val="0"/>
      <w:marRight w:val="0"/>
      <w:marTop w:val="0"/>
      <w:marBottom w:val="0"/>
      <w:divBdr>
        <w:top w:val="none" w:sz="0" w:space="0" w:color="auto"/>
        <w:left w:val="none" w:sz="0" w:space="0" w:color="auto"/>
        <w:bottom w:val="none" w:sz="0" w:space="0" w:color="auto"/>
        <w:right w:val="none" w:sz="0" w:space="0" w:color="auto"/>
      </w:divBdr>
    </w:div>
    <w:div w:id="519511122">
      <w:bodyDiv w:val="1"/>
      <w:marLeft w:val="0"/>
      <w:marRight w:val="0"/>
      <w:marTop w:val="0"/>
      <w:marBottom w:val="0"/>
      <w:divBdr>
        <w:top w:val="none" w:sz="0" w:space="0" w:color="auto"/>
        <w:left w:val="none" w:sz="0" w:space="0" w:color="auto"/>
        <w:bottom w:val="none" w:sz="0" w:space="0" w:color="auto"/>
        <w:right w:val="none" w:sz="0" w:space="0" w:color="auto"/>
      </w:divBdr>
    </w:div>
    <w:div w:id="678043515">
      <w:bodyDiv w:val="1"/>
      <w:marLeft w:val="0"/>
      <w:marRight w:val="0"/>
      <w:marTop w:val="0"/>
      <w:marBottom w:val="0"/>
      <w:divBdr>
        <w:top w:val="none" w:sz="0" w:space="0" w:color="auto"/>
        <w:left w:val="none" w:sz="0" w:space="0" w:color="auto"/>
        <w:bottom w:val="none" w:sz="0" w:space="0" w:color="auto"/>
        <w:right w:val="none" w:sz="0" w:space="0" w:color="auto"/>
      </w:divBdr>
    </w:div>
    <w:div w:id="1223063003">
      <w:bodyDiv w:val="1"/>
      <w:marLeft w:val="0"/>
      <w:marRight w:val="0"/>
      <w:marTop w:val="0"/>
      <w:marBottom w:val="0"/>
      <w:divBdr>
        <w:top w:val="none" w:sz="0" w:space="0" w:color="auto"/>
        <w:left w:val="none" w:sz="0" w:space="0" w:color="auto"/>
        <w:bottom w:val="none" w:sz="0" w:space="0" w:color="auto"/>
        <w:right w:val="none" w:sz="0" w:space="0" w:color="auto"/>
      </w:divBdr>
    </w:div>
    <w:div w:id="1260722420">
      <w:bodyDiv w:val="1"/>
      <w:marLeft w:val="0"/>
      <w:marRight w:val="0"/>
      <w:marTop w:val="0"/>
      <w:marBottom w:val="0"/>
      <w:divBdr>
        <w:top w:val="none" w:sz="0" w:space="0" w:color="auto"/>
        <w:left w:val="none" w:sz="0" w:space="0" w:color="auto"/>
        <w:bottom w:val="none" w:sz="0" w:space="0" w:color="auto"/>
        <w:right w:val="none" w:sz="0" w:space="0" w:color="auto"/>
      </w:divBdr>
    </w:div>
    <w:div w:id="1346979593">
      <w:bodyDiv w:val="1"/>
      <w:marLeft w:val="0"/>
      <w:marRight w:val="0"/>
      <w:marTop w:val="0"/>
      <w:marBottom w:val="0"/>
      <w:divBdr>
        <w:top w:val="none" w:sz="0" w:space="0" w:color="auto"/>
        <w:left w:val="none" w:sz="0" w:space="0" w:color="auto"/>
        <w:bottom w:val="none" w:sz="0" w:space="0" w:color="auto"/>
        <w:right w:val="none" w:sz="0" w:space="0" w:color="auto"/>
      </w:divBdr>
    </w:div>
    <w:div w:id="1734893847">
      <w:bodyDiv w:val="1"/>
      <w:marLeft w:val="0"/>
      <w:marRight w:val="0"/>
      <w:marTop w:val="0"/>
      <w:marBottom w:val="0"/>
      <w:divBdr>
        <w:top w:val="none" w:sz="0" w:space="0" w:color="auto"/>
        <w:left w:val="none" w:sz="0" w:space="0" w:color="auto"/>
        <w:bottom w:val="none" w:sz="0" w:space="0" w:color="auto"/>
        <w:right w:val="none" w:sz="0" w:space="0" w:color="auto"/>
      </w:divBdr>
    </w:div>
    <w:div w:id="1767771854">
      <w:bodyDiv w:val="1"/>
      <w:marLeft w:val="0"/>
      <w:marRight w:val="0"/>
      <w:marTop w:val="0"/>
      <w:marBottom w:val="0"/>
      <w:divBdr>
        <w:top w:val="none" w:sz="0" w:space="0" w:color="auto"/>
        <w:left w:val="none" w:sz="0" w:space="0" w:color="auto"/>
        <w:bottom w:val="none" w:sz="0" w:space="0" w:color="auto"/>
        <w:right w:val="none" w:sz="0" w:space="0" w:color="auto"/>
      </w:divBdr>
    </w:div>
    <w:div w:id="1910995752">
      <w:bodyDiv w:val="1"/>
      <w:marLeft w:val="0"/>
      <w:marRight w:val="0"/>
      <w:marTop w:val="0"/>
      <w:marBottom w:val="0"/>
      <w:divBdr>
        <w:top w:val="none" w:sz="0" w:space="0" w:color="auto"/>
        <w:left w:val="none" w:sz="0" w:space="0" w:color="auto"/>
        <w:bottom w:val="none" w:sz="0" w:space="0" w:color="auto"/>
        <w:right w:val="none" w:sz="0" w:space="0" w:color="auto"/>
      </w:divBdr>
    </w:div>
    <w:div w:id="1943611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prd.com/Data-access" TargetMode="External"/><Relationship Id="rId18" Type="http://schemas.openxmlformats.org/officeDocument/2006/relationships/hyperlink" Target="https://cprd.com/sites/default/files/CPRD%20GOLD%20Full%20Data%20Specification%20v2.4.pdf" TargetMode="External"/><Relationship Id="rId26" Type="http://schemas.openxmlformats.org/officeDocument/2006/relationships/hyperlink" Target="https://www.journalslibrary.nihr.ac.uk/hta/hta25510" TargetMode="External"/><Relationship Id="rId3" Type="http://schemas.openxmlformats.org/officeDocument/2006/relationships/styles" Target="styles.xml"/><Relationship Id="rId21" Type="http://schemas.openxmlformats.org/officeDocument/2006/relationships/hyperlink" Target="https://bmjopen.bmj.com/content/4/7/e00554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rd.com/sites/default/files/2021-06%20CPRD%20GOLD%20Release%20Notes.pdf" TargetMode="External"/><Relationship Id="rId17" Type="http://schemas.openxmlformats.org/officeDocument/2006/relationships/hyperlink" Target="https://www.datadictionary.nhs.uk/index.html" TargetMode="External"/><Relationship Id="rId25" Type="http://schemas.openxmlformats.org/officeDocument/2006/relationships/hyperlink" Target="https://doi.org/10.1371/journal.pone.015135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gital.nhs.uk/data-and-information/data-tools-and-services/data-services/hospital-episode-statistics/hospital-episode-statistics-data-dictionary" TargetMode="External"/><Relationship Id="rId20" Type="http://schemas.openxmlformats.org/officeDocument/2006/relationships/footer" Target="footer1.xml"/><Relationship Id="rId29" Type="http://schemas.openxmlformats.org/officeDocument/2006/relationships/hyperlink" Target="https://pubmed.ncbi.nlm.nih.gov/34618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rd.com/sites/default/files/Documentation_HES_APC_set21_v2.7.pdf" TargetMode="External"/><Relationship Id="rId24" Type="http://schemas.openxmlformats.org/officeDocument/2006/relationships/hyperlink" Target="https://datacompass.lshtm.ac.uk/id/eprint/1655/" TargetMode="External"/><Relationship Id="rId32" Type="http://schemas.openxmlformats.org/officeDocument/2006/relationships/hyperlink" Target="https://pubmed.ncbi.nlm.nih.gov/35092316/" TargetMode="External"/><Relationship Id="rId5" Type="http://schemas.openxmlformats.org/officeDocument/2006/relationships/webSettings" Target="webSettings.xml"/><Relationship Id="rId15" Type="http://schemas.openxmlformats.org/officeDocument/2006/relationships/hyperlink" Target="https://digital.nhs.uk/about-nhs-digital/our-work/keeping-patient-data-safe/gdpr/gdpr-register/hospital-episode-statistics-gdpr" TargetMode="External"/><Relationship Id="rId23" Type="http://schemas.openxmlformats.org/officeDocument/2006/relationships/hyperlink" Target="https://datacompass.lshtm.ac.uk/id/eprint/1655/" TargetMode="External"/><Relationship Id="rId28" Type="http://schemas.openxmlformats.org/officeDocument/2006/relationships/hyperlink" Target="https://pubmed.ncbi.nlm.nih.gov/34844936/" TargetMode="External"/><Relationship Id="rId10" Type="http://schemas.openxmlformats.org/officeDocument/2006/relationships/hyperlink" Target="https://digital.nhs.uk/data-and-information/data-tools-and-services/data-services/hospital-episode-statistics" TargetMode="External"/><Relationship Id="rId19" Type="http://schemas.openxmlformats.org/officeDocument/2006/relationships/hyperlink" Target="https://digital.nhs.uk/data-and-information/data-tools-and-services/data-services/hospital-episode-statistics/the-processing-cycle-and-hes-data-quality"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prd.com/primary-care" TargetMode="External"/><Relationship Id="rId14" Type="http://schemas.openxmlformats.org/officeDocument/2006/relationships/hyperlink" Target="https://www.cprd.com/data-protection-and-processing-notice" TargetMode="External"/><Relationship Id="rId22" Type="http://schemas.openxmlformats.org/officeDocument/2006/relationships/hyperlink" Target="https://pubmed.ncbi.nlm.nih.gov/25056980/" TargetMode="External"/><Relationship Id="rId27" Type="http://schemas.openxmlformats.org/officeDocument/2006/relationships/hyperlink" Target="https://pubmed.ncbi.nlm.nih.gov/34844936/" TargetMode="External"/><Relationship Id="rId30" Type="http://schemas.openxmlformats.org/officeDocument/2006/relationships/hyperlink" Target="https://pubmed.ncbi.nlm.nih.gov/34618040/" TargetMode="External"/><Relationship Id="rId8" Type="http://schemas.openxmlformats.org/officeDocument/2006/relationships/hyperlink" Target="https://www.journalslibrary.nihr.ac.uk/hta/hta25510" TargetMode="External"/></Relationships>
</file>

<file path=word/theme/theme1.xml><?xml version="1.0" encoding="utf-8"?>
<a:theme xmlns:a="http://schemas.openxmlformats.org/drawingml/2006/main" name="Office Theme">
  <a:themeElements>
    <a:clrScheme name="NICE surveillance">
      <a:dk1>
        <a:sysClr val="windowText" lastClr="000000"/>
      </a:dk1>
      <a:lt1>
        <a:sysClr val="window" lastClr="FFFFFF"/>
      </a:lt1>
      <a:dk2>
        <a:srgbClr val="004650"/>
      </a:dk2>
      <a:lt2>
        <a:srgbClr val="E9E9E9"/>
      </a:lt2>
      <a:accent1>
        <a:srgbClr val="00506A"/>
      </a:accent1>
      <a:accent2>
        <a:srgbClr val="186464"/>
      </a:accent2>
      <a:accent3>
        <a:srgbClr val="ADADAD"/>
      </a:accent3>
      <a:accent4>
        <a:srgbClr val="D6D6D6"/>
      </a:accent4>
      <a:accent5>
        <a:srgbClr val="CCC1DA"/>
      </a:accent5>
      <a:accent6>
        <a:srgbClr val="451551"/>
      </a:accent6>
      <a:hlink>
        <a:srgbClr val="00506A"/>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4938A-F1D9-41D8-B28A-49BB6C41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4768</Words>
  <Characters>27180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31885</CharactersWithSpaces>
  <SharedDoc>false</SharedDoc>
  <HLinks>
    <vt:vector size="786" baseType="variant">
      <vt:variant>
        <vt:i4>655362</vt:i4>
      </vt:variant>
      <vt:variant>
        <vt:i4>417</vt:i4>
      </vt:variant>
      <vt:variant>
        <vt:i4>0</vt:i4>
      </vt:variant>
      <vt:variant>
        <vt:i4>5</vt:i4>
      </vt:variant>
      <vt:variant>
        <vt:lpwstr>https://pubmed.ncbi.nlm.nih.gov/33762237/</vt:lpwstr>
      </vt:variant>
      <vt:variant>
        <vt:lpwstr/>
      </vt:variant>
      <vt:variant>
        <vt:i4>589828</vt:i4>
      </vt:variant>
      <vt:variant>
        <vt:i4>414</vt:i4>
      </vt:variant>
      <vt:variant>
        <vt:i4>0</vt:i4>
      </vt:variant>
      <vt:variant>
        <vt:i4>5</vt:i4>
      </vt:variant>
      <vt:variant>
        <vt:lpwstr>https://pubmed.ncbi.nlm.nih.gov/27733354/</vt:lpwstr>
      </vt:variant>
      <vt:variant>
        <vt:lpwstr/>
      </vt:variant>
      <vt:variant>
        <vt:i4>983054</vt:i4>
      </vt:variant>
      <vt:variant>
        <vt:i4>408</vt:i4>
      </vt:variant>
      <vt:variant>
        <vt:i4>0</vt:i4>
      </vt:variant>
      <vt:variant>
        <vt:i4>5</vt:i4>
      </vt:variant>
      <vt:variant>
        <vt:lpwstr>https://pubmed.ncbi.nlm.nih.gov/34618040/</vt:lpwstr>
      </vt:variant>
      <vt:variant>
        <vt:lpwstr/>
      </vt:variant>
      <vt:variant>
        <vt:i4>131078</vt:i4>
      </vt:variant>
      <vt:variant>
        <vt:i4>405</vt:i4>
      </vt:variant>
      <vt:variant>
        <vt:i4>0</vt:i4>
      </vt:variant>
      <vt:variant>
        <vt:i4>5</vt:i4>
      </vt:variant>
      <vt:variant>
        <vt:lpwstr>https://pubmed.ncbi.nlm.nih.gov/25080530/</vt:lpwstr>
      </vt:variant>
      <vt:variant>
        <vt:lpwstr/>
      </vt:variant>
      <vt:variant>
        <vt:i4>262155</vt:i4>
      </vt:variant>
      <vt:variant>
        <vt:i4>399</vt:i4>
      </vt:variant>
      <vt:variant>
        <vt:i4>0</vt:i4>
      </vt:variant>
      <vt:variant>
        <vt:i4>5</vt:i4>
      </vt:variant>
      <vt:variant>
        <vt:lpwstr>https://pubmed.ncbi.nlm.nih.gov/31821469/</vt:lpwstr>
      </vt:variant>
      <vt:variant>
        <vt:lpwstr/>
      </vt:variant>
      <vt:variant>
        <vt:i4>262155</vt:i4>
      </vt:variant>
      <vt:variant>
        <vt:i4>396</vt:i4>
      </vt:variant>
      <vt:variant>
        <vt:i4>0</vt:i4>
      </vt:variant>
      <vt:variant>
        <vt:i4>5</vt:i4>
      </vt:variant>
      <vt:variant>
        <vt:lpwstr>https://pubmed.ncbi.nlm.nih.gov/31821469/</vt:lpwstr>
      </vt:variant>
      <vt:variant>
        <vt:lpwstr/>
      </vt:variant>
      <vt:variant>
        <vt:i4>2621468</vt:i4>
      </vt:variant>
      <vt:variant>
        <vt:i4>393</vt:i4>
      </vt:variant>
      <vt:variant>
        <vt:i4>0</vt:i4>
      </vt:variant>
      <vt:variant>
        <vt:i4>5</vt:i4>
      </vt:variant>
      <vt:variant>
        <vt:lpwstr/>
      </vt:variant>
      <vt:variant>
        <vt:lpwstr>_Assessing_robustness_of</vt:lpwstr>
      </vt:variant>
      <vt:variant>
        <vt:i4>65536</vt:i4>
      </vt:variant>
      <vt:variant>
        <vt:i4>390</vt:i4>
      </vt:variant>
      <vt:variant>
        <vt:i4>0</vt:i4>
      </vt:variant>
      <vt:variant>
        <vt:i4>5</vt:i4>
      </vt:variant>
      <vt:variant>
        <vt:lpwstr>https://pubmed.ncbi.nlm.nih.gov/33624862/</vt:lpwstr>
      </vt:variant>
      <vt:variant>
        <vt:lpwstr/>
      </vt:variant>
      <vt:variant>
        <vt:i4>5963901</vt:i4>
      </vt:variant>
      <vt:variant>
        <vt:i4>387</vt:i4>
      </vt:variant>
      <vt:variant>
        <vt:i4>0</vt:i4>
      </vt:variant>
      <vt:variant>
        <vt:i4>5</vt:i4>
      </vt:variant>
      <vt:variant>
        <vt:lpwstr/>
      </vt:variant>
      <vt:variant>
        <vt:lpwstr>_Chapter__</vt:lpwstr>
      </vt:variant>
      <vt:variant>
        <vt:i4>327772</vt:i4>
      </vt:variant>
      <vt:variant>
        <vt:i4>384</vt:i4>
      </vt:variant>
      <vt:variant>
        <vt:i4>0</vt:i4>
      </vt:variant>
      <vt:variant>
        <vt:i4>5</vt:i4>
      </vt:variant>
      <vt:variant>
        <vt:lpwstr>http://nicedsu.org.uk/technical-support-documents/observational-data-tsd/</vt:lpwstr>
      </vt:variant>
      <vt:variant>
        <vt:lpwstr/>
      </vt:variant>
      <vt:variant>
        <vt:i4>327772</vt:i4>
      </vt:variant>
      <vt:variant>
        <vt:i4>381</vt:i4>
      </vt:variant>
      <vt:variant>
        <vt:i4>0</vt:i4>
      </vt:variant>
      <vt:variant>
        <vt:i4>5</vt:i4>
      </vt:variant>
      <vt:variant>
        <vt:lpwstr>http://nicedsu.org.uk/technical-support-documents/observational-data-tsd/</vt:lpwstr>
      </vt:variant>
      <vt:variant>
        <vt:lpwstr/>
      </vt:variant>
      <vt:variant>
        <vt:i4>327683</vt:i4>
      </vt:variant>
      <vt:variant>
        <vt:i4>378</vt:i4>
      </vt:variant>
      <vt:variant>
        <vt:i4>0</vt:i4>
      </vt:variant>
      <vt:variant>
        <vt:i4>5</vt:i4>
      </vt:variant>
      <vt:variant>
        <vt:lpwstr>https://pubmed.ncbi.nlm.nih.gov/31619986/</vt:lpwstr>
      </vt:variant>
      <vt:variant>
        <vt:lpwstr/>
      </vt:variant>
      <vt:variant>
        <vt:i4>65550</vt:i4>
      </vt:variant>
      <vt:variant>
        <vt:i4>375</vt:i4>
      </vt:variant>
      <vt:variant>
        <vt:i4>0</vt:i4>
      </vt:variant>
      <vt:variant>
        <vt:i4>5</vt:i4>
      </vt:variant>
      <vt:variant>
        <vt:lpwstr>https://pubmed.ncbi.nlm.nih.gov/29038130/</vt:lpwstr>
      </vt:variant>
      <vt:variant>
        <vt:lpwstr/>
      </vt:variant>
      <vt:variant>
        <vt:i4>327683</vt:i4>
      </vt:variant>
      <vt:variant>
        <vt:i4>372</vt:i4>
      </vt:variant>
      <vt:variant>
        <vt:i4>0</vt:i4>
      </vt:variant>
      <vt:variant>
        <vt:i4>5</vt:i4>
      </vt:variant>
      <vt:variant>
        <vt:lpwstr>https://pubmed.ncbi.nlm.nih.gov/31619986/</vt:lpwstr>
      </vt:variant>
      <vt:variant>
        <vt:lpwstr/>
      </vt:variant>
      <vt:variant>
        <vt:i4>983041</vt:i4>
      </vt:variant>
      <vt:variant>
        <vt:i4>369</vt:i4>
      </vt:variant>
      <vt:variant>
        <vt:i4>0</vt:i4>
      </vt:variant>
      <vt:variant>
        <vt:i4>5</vt:i4>
      </vt:variant>
      <vt:variant>
        <vt:lpwstr>https://pubmed.ncbi.nlm.nih.gov/16632131/</vt:lpwstr>
      </vt:variant>
      <vt:variant>
        <vt:lpwstr/>
      </vt:variant>
      <vt:variant>
        <vt:i4>327683</vt:i4>
      </vt:variant>
      <vt:variant>
        <vt:i4>366</vt:i4>
      </vt:variant>
      <vt:variant>
        <vt:i4>0</vt:i4>
      </vt:variant>
      <vt:variant>
        <vt:i4>5</vt:i4>
      </vt:variant>
      <vt:variant>
        <vt:lpwstr>https://pubmed.ncbi.nlm.nih.gov/31619986/</vt:lpwstr>
      </vt:variant>
      <vt:variant>
        <vt:lpwstr/>
      </vt:variant>
      <vt:variant>
        <vt:i4>393226</vt:i4>
      </vt:variant>
      <vt:variant>
        <vt:i4>363</vt:i4>
      </vt:variant>
      <vt:variant>
        <vt:i4>0</vt:i4>
      </vt:variant>
      <vt:variant>
        <vt:i4>5</vt:i4>
      </vt:variant>
      <vt:variant>
        <vt:lpwstr>https://pubmed.ncbi.nlm.nih.gov/18973665/</vt:lpwstr>
      </vt:variant>
      <vt:variant>
        <vt:lpwstr/>
      </vt:variant>
      <vt:variant>
        <vt:i4>917506</vt:i4>
      </vt:variant>
      <vt:variant>
        <vt:i4>360</vt:i4>
      </vt:variant>
      <vt:variant>
        <vt:i4>0</vt:i4>
      </vt:variant>
      <vt:variant>
        <vt:i4>5</vt:i4>
      </vt:variant>
      <vt:variant>
        <vt:lpwstr>https://pubmed.ncbi.nlm.nih.gov/34463610/</vt:lpwstr>
      </vt:variant>
      <vt:variant>
        <vt:lpwstr/>
      </vt:variant>
      <vt:variant>
        <vt:i4>327691</vt:i4>
      </vt:variant>
      <vt:variant>
        <vt:i4>357</vt:i4>
      </vt:variant>
      <vt:variant>
        <vt:i4>0</vt:i4>
      </vt:variant>
      <vt:variant>
        <vt:i4>5</vt:i4>
      </vt:variant>
      <vt:variant>
        <vt:lpwstr>https://pubmed.ncbi.nlm.nih.gov/34844936/</vt:lpwstr>
      </vt:variant>
      <vt:variant>
        <vt:lpwstr/>
      </vt:variant>
      <vt:variant>
        <vt:i4>131082</vt:i4>
      </vt:variant>
      <vt:variant>
        <vt:i4>354</vt:i4>
      </vt:variant>
      <vt:variant>
        <vt:i4>0</vt:i4>
      </vt:variant>
      <vt:variant>
        <vt:i4>5</vt:i4>
      </vt:variant>
      <vt:variant>
        <vt:lpwstr>https://pubmed.ncbi.nlm.nih.gov/18854702/</vt:lpwstr>
      </vt:variant>
      <vt:variant>
        <vt:lpwstr/>
      </vt:variant>
      <vt:variant>
        <vt:i4>4915254</vt:i4>
      </vt:variant>
      <vt:variant>
        <vt:i4>351</vt:i4>
      </vt:variant>
      <vt:variant>
        <vt:i4>0</vt:i4>
      </vt:variant>
      <vt:variant>
        <vt:i4>5</vt:i4>
      </vt:variant>
      <vt:variant>
        <vt:lpwstr>https://www.ema.europa.eu/en/documents/scientific-guideline/ich-e9-r1-addendum-estimands-sensitivity-analysis-clinical-trials-guideline-statistical-principles_en.pdf</vt:lpwstr>
      </vt:variant>
      <vt:variant>
        <vt:lpwstr/>
      </vt:variant>
      <vt:variant>
        <vt:i4>5046348</vt:i4>
      </vt:variant>
      <vt:variant>
        <vt:i4>348</vt:i4>
      </vt:variant>
      <vt:variant>
        <vt:i4>0</vt:i4>
      </vt:variant>
      <vt:variant>
        <vt:i4>5</vt:i4>
      </vt:variant>
      <vt:variant>
        <vt:lpwstr/>
      </vt:variant>
      <vt:variant>
        <vt:lpwstr>_Analysis_plan</vt:lpwstr>
      </vt:variant>
      <vt:variant>
        <vt:i4>1048622</vt:i4>
      </vt:variant>
      <vt:variant>
        <vt:i4>345</vt:i4>
      </vt:variant>
      <vt:variant>
        <vt:i4>0</vt:i4>
      </vt:variant>
      <vt:variant>
        <vt:i4>5</vt:i4>
      </vt:variant>
      <vt:variant>
        <vt:lpwstr/>
      </vt:variant>
      <vt:variant>
        <vt:lpwstr>_Analysis</vt:lpwstr>
      </vt:variant>
      <vt:variant>
        <vt:i4>393230</vt:i4>
      </vt:variant>
      <vt:variant>
        <vt:i4>342</vt:i4>
      </vt:variant>
      <vt:variant>
        <vt:i4>0</vt:i4>
      </vt:variant>
      <vt:variant>
        <vt:i4>5</vt:i4>
      </vt:variant>
      <vt:variant>
        <vt:lpwstr>https://pubmed.ncbi.nlm.nih.gov/26994063/</vt:lpwstr>
      </vt:variant>
      <vt:variant>
        <vt:lpwstr/>
      </vt:variant>
      <vt:variant>
        <vt:i4>1048622</vt:i4>
      </vt:variant>
      <vt:variant>
        <vt:i4>339</vt:i4>
      </vt:variant>
      <vt:variant>
        <vt:i4>0</vt:i4>
      </vt:variant>
      <vt:variant>
        <vt:i4>5</vt:i4>
      </vt:variant>
      <vt:variant>
        <vt:lpwstr/>
      </vt:variant>
      <vt:variant>
        <vt:lpwstr>_Analysis</vt:lpwstr>
      </vt:variant>
      <vt:variant>
        <vt:i4>917507</vt:i4>
      </vt:variant>
      <vt:variant>
        <vt:i4>336</vt:i4>
      </vt:variant>
      <vt:variant>
        <vt:i4>0</vt:i4>
      </vt:variant>
      <vt:variant>
        <vt:i4>5</vt:i4>
      </vt:variant>
      <vt:variant>
        <vt:lpwstr>https://pubmed.ncbi.nlm.nih.gov/27610604/</vt:lpwstr>
      </vt:variant>
      <vt:variant>
        <vt:lpwstr/>
      </vt:variant>
      <vt:variant>
        <vt:i4>655367</vt:i4>
      </vt:variant>
      <vt:variant>
        <vt:i4>333</vt:i4>
      </vt:variant>
      <vt:variant>
        <vt:i4>0</vt:i4>
      </vt:variant>
      <vt:variant>
        <vt:i4>5</vt:i4>
      </vt:variant>
      <vt:variant>
        <vt:lpwstr>https://pubmed.ncbi.nlm.nih.gov/26507305/</vt:lpwstr>
      </vt:variant>
      <vt:variant>
        <vt:lpwstr/>
      </vt:variant>
      <vt:variant>
        <vt:i4>589828</vt:i4>
      </vt:variant>
      <vt:variant>
        <vt:i4>330</vt:i4>
      </vt:variant>
      <vt:variant>
        <vt:i4>0</vt:i4>
      </vt:variant>
      <vt:variant>
        <vt:i4>5</vt:i4>
      </vt:variant>
      <vt:variant>
        <vt:lpwstr>https://pubmed.ncbi.nlm.nih.gov/27733354/</vt:lpwstr>
      </vt:variant>
      <vt:variant>
        <vt:lpwstr/>
      </vt:variant>
      <vt:variant>
        <vt:i4>3801145</vt:i4>
      </vt:variant>
      <vt:variant>
        <vt:i4>327</vt:i4>
      </vt:variant>
      <vt:variant>
        <vt:i4>0</vt:i4>
      </vt:variant>
      <vt:variant>
        <vt:i4>5</vt:i4>
      </vt:variant>
      <vt:variant>
        <vt:lpwstr>https://pubmed.ncbi.nlm.nih.gov/770493/</vt:lpwstr>
      </vt:variant>
      <vt:variant>
        <vt:lpwstr/>
      </vt:variant>
      <vt:variant>
        <vt:i4>196612</vt:i4>
      </vt:variant>
      <vt:variant>
        <vt:i4>324</vt:i4>
      </vt:variant>
      <vt:variant>
        <vt:i4>0</vt:i4>
      </vt:variant>
      <vt:variant>
        <vt:i4>5</vt:i4>
      </vt:variant>
      <vt:variant>
        <vt:lpwstr>https://pubmed.ncbi.nlm.nih.gov/32440847/</vt:lpwstr>
      </vt:variant>
      <vt:variant>
        <vt:lpwstr/>
      </vt:variant>
      <vt:variant>
        <vt:i4>393230</vt:i4>
      </vt:variant>
      <vt:variant>
        <vt:i4>321</vt:i4>
      </vt:variant>
      <vt:variant>
        <vt:i4>0</vt:i4>
      </vt:variant>
      <vt:variant>
        <vt:i4>5</vt:i4>
      </vt:variant>
      <vt:variant>
        <vt:lpwstr>https://pubmed.ncbi.nlm.nih.gov/26994063/</vt:lpwstr>
      </vt:variant>
      <vt:variant>
        <vt:lpwstr/>
      </vt:variant>
      <vt:variant>
        <vt:i4>196622</vt:i4>
      </vt:variant>
      <vt:variant>
        <vt:i4>318</vt:i4>
      </vt:variant>
      <vt:variant>
        <vt:i4>0</vt:i4>
      </vt:variant>
      <vt:variant>
        <vt:i4>5</vt:i4>
      </vt:variant>
      <vt:variant>
        <vt:lpwstr>https://pubmed.ncbi.nlm.nih.gov/28351692/</vt:lpwstr>
      </vt:variant>
      <vt:variant>
        <vt:lpwstr/>
      </vt:variant>
      <vt:variant>
        <vt:i4>524290</vt:i4>
      </vt:variant>
      <vt:variant>
        <vt:i4>315</vt:i4>
      </vt:variant>
      <vt:variant>
        <vt:i4>0</vt:i4>
      </vt:variant>
      <vt:variant>
        <vt:i4>5</vt:i4>
      </vt:variant>
      <vt:variant>
        <vt:lpwstr>https://pubmed.ncbi.nlm.nih.gov/31436848/</vt:lpwstr>
      </vt:variant>
      <vt:variant>
        <vt:lpwstr/>
      </vt:variant>
      <vt:variant>
        <vt:i4>327693</vt:i4>
      </vt:variant>
      <vt:variant>
        <vt:i4>312</vt:i4>
      </vt:variant>
      <vt:variant>
        <vt:i4>0</vt:i4>
      </vt:variant>
      <vt:variant>
        <vt:i4>5</vt:i4>
      </vt:variant>
      <vt:variant>
        <vt:lpwstr>https://pubmed.ncbi.nlm.nih.gov/30698076/</vt:lpwstr>
      </vt:variant>
      <vt:variant>
        <vt:lpwstr/>
      </vt:variant>
      <vt:variant>
        <vt:i4>393218</vt:i4>
      </vt:variant>
      <vt:variant>
        <vt:i4>309</vt:i4>
      </vt:variant>
      <vt:variant>
        <vt:i4>0</vt:i4>
      </vt:variant>
      <vt:variant>
        <vt:i4>5</vt:i4>
      </vt:variant>
      <vt:variant>
        <vt:lpwstr>https://pubmed.ncbi.nlm.nih.gov/24635348/</vt:lpwstr>
      </vt:variant>
      <vt:variant>
        <vt:lpwstr/>
      </vt:variant>
      <vt:variant>
        <vt:i4>4325462</vt:i4>
      </vt:variant>
      <vt:variant>
        <vt:i4>306</vt:i4>
      </vt:variant>
      <vt:variant>
        <vt:i4>0</vt:i4>
      </vt:variant>
      <vt:variant>
        <vt:i4>5</vt:i4>
      </vt:variant>
      <vt:variant>
        <vt:lpwstr>http://nicedsu.org.uk/technical-support-documents/population-adjusted-indirect-comparisons-maic-and-stc/</vt:lpwstr>
      </vt:variant>
      <vt:variant>
        <vt:lpwstr/>
      </vt:variant>
      <vt:variant>
        <vt:i4>851969</vt:i4>
      </vt:variant>
      <vt:variant>
        <vt:i4>303</vt:i4>
      </vt:variant>
      <vt:variant>
        <vt:i4>0</vt:i4>
      </vt:variant>
      <vt:variant>
        <vt:i4>5</vt:i4>
      </vt:variant>
      <vt:variant>
        <vt:lpwstr>https://pubmed.ncbi.nlm.nih.gov/33055302/</vt:lpwstr>
      </vt:variant>
      <vt:variant>
        <vt:lpwstr/>
      </vt:variant>
      <vt:variant>
        <vt:i4>983055</vt:i4>
      </vt:variant>
      <vt:variant>
        <vt:i4>300</vt:i4>
      </vt:variant>
      <vt:variant>
        <vt:i4>0</vt:i4>
      </vt:variant>
      <vt:variant>
        <vt:i4>5</vt:i4>
      </vt:variant>
      <vt:variant>
        <vt:lpwstr>https://pubmed.ncbi.nlm.nih.gov/14499048/</vt:lpwstr>
      </vt:variant>
      <vt:variant>
        <vt:lpwstr/>
      </vt:variant>
      <vt:variant>
        <vt:i4>5046355</vt:i4>
      </vt:variant>
      <vt:variant>
        <vt:i4>297</vt:i4>
      </vt:variant>
      <vt:variant>
        <vt:i4>0</vt:i4>
      </vt:variant>
      <vt:variant>
        <vt:i4>5</vt:i4>
      </vt:variant>
      <vt:variant>
        <vt:lpwstr>https://www.ema.europa.eu/en/ich-e10-choice-control-group-clinical-trials</vt:lpwstr>
      </vt:variant>
      <vt:variant>
        <vt:lpwstr/>
      </vt:variant>
      <vt:variant>
        <vt:i4>983054</vt:i4>
      </vt:variant>
      <vt:variant>
        <vt:i4>294</vt:i4>
      </vt:variant>
      <vt:variant>
        <vt:i4>0</vt:i4>
      </vt:variant>
      <vt:variant>
        <vt:i4>5</vt:i4>
      </vt:variant>
      <vt:variant>
        <vt:lpwstr>https://pubmed.ncbi.nlm.nih.gov/28108528/</vt:lpwstr>
      </vt:variant>
      <vt:variant>
        <vt:lpwstr/>
      </vt:variant>
      <vt:variant>
        <vt:i4>5177459</vt:i4>
      </vt:variant>
      <vt:variant>
        <vt:i4>288</vt:i4>
      </vt:variant>
      <vt:variant>
        <vt:i4>0</vt:i4>
      </vt:variant>
      <vt:variant>
        <vt:i4>5</vt:i4>
      </vt:variant>
      <vt:variant>
        <vt:lpwstr/>
      </vt:variant>
      <vt:variant>
        <vt:lpwstr>_Use__</vt:lpwstr>
      </vt:variant>
      <vt:variant>
        <vt:i4>327772</vt:i4>
      </vt:variant>
      <vt:variant>
        <vt:i4>285</vt:i4>
      </vt:variant>
      <vt:variant>
        <vt:i4>0</vt:i4>
      </vt:variant>
      <vt:variant>
        <vt:i4>5</vt:i4>
      </vt:variant>
      <vt:variant>
        <vt:lpwstr>http://nicedsu.org.uk/technical-support-documents/observational-data-tsd/</vt:lpwstr>
      </vt:variant>
      <vt:variant>
        <vt:lpwstr/>
      </vt:variant>
      <vt:variant>
        <vt:i4>2621468</vt:i4>
      </vt:variant>
      <vt:variant>
        <vt:i4>279</vt:i4>
      </vt:variant>
      <vt:variant>
        <vt:i4>0</vt:i4>
      </vt:variant>
      <vt:variant>
        <vt:i4>5</vt:i4>
      </vt:variant>
      <vt:variant>
        <vt:lpwstr/>
      </vt:variant>
      <vt:variant>
        <vt:lpwstr>_Assessing_robustness_of</vt:lpwstr>
      </vt:variant>
      <vt:variant>
        <vt:i4>1048622</vt:i4>
      </vt:variant>
      <vt:variant>
        <vt:i4>276</vt:i4>
      </vt:variant>
      <vt:variant>
        <vt:i4>0</vt:i4>
      </vt:variant>
      <vt:variant>
        <vt:i4>5</vt:i4>
      </vt:variant>
      <vt:variant>
        <vt:lpwstr/>
      </vt:variant>
      <vt:variant>
        <vt:lpwstr>_Analysis</vt:lpwstr>
      </vt:variant>
      <vt:variant>
        <vt:i4>983068</vt:i4>
      </vt:variant>
      <vt:variant>
        <vt:i4>273</vt:i4>
      </vt:variant>
      <vt:variant>
        <vt:i4>0</vt:i4>
      </vt:variant>
      <vt:variant>
        <vt:i4>5</vt:i4>
      </vt:variant>
      <vt:variant>
        <vt:lpwstr/>
      </vt:variant>
      <vt:variant>
        <vt:lpwstr>_Study_design</vt:lpwstr>
      </vt:variant>
      <vt:variant>
        <vt:i4>7340100</vt:i4>
      </vt:variant>
      <vt:variant>
        <vt:i4>270</vt:i4>
      </vt:variant>
      <vt:variant>
        <vt:i4>0</vt:i4>
      </vt:variant>
      <vt:variant>
        <vt:i4>5</vt:i4>
      </vt:variant>
      <vt:variant>
        <vt:lpwstr/>
      </vt:variant>
      <vt:variant>
        <vt:lpwstr>_Use_and_challenges</vt:lpwstr>
      </vt:variant>
      <vt:variant>
        <vt:i4>7536760</vt:i4>
      </vt:variant>
      <vt:variant>
        <vt:i4>267</vt:i4>
      </vt:variant>
      <vt:variant>
        <vt:i4>0</vt:i4>
      </vt:variant>
      <vt:variant>
        <vt:i4>5</vt:i4>
      </vt:variant>
      <vt:variant>
        <vt:lpwstr/>
      </vt:variant>
      <vt:variant>
        <vt:lpwstr>_Study_conduct</vt:lpwstr>
      </vt:variant>
      <vt:variant>
        <vt:i4>983046</vt:i4>
      </vt:variant>
      <vt:variant>
        <vt:i4>264</vt:i4>
      </vt:variant>
      <vt:variant>
        <vt:i4>0</vt:i4>
      </vt:variant>
      <vt:variant>
        <vt:i4>5</vt:i4>
      </vt:variant>
      <vt:variant>
        <vt:lpwstr>https://pubmed.ncbi.nlm.nih.gov/25705414/</vt:lpwstr>
      </vt:variant>
      <vt:variant>
        <vt:lpwstr/>
      </vt:variant>
      <vt:variant>
        <vt:i4>3014695</vt:i4>
      </vt:variant>
      <vt:variant>
        <vt:i4>261</vt:i4>
      </vt:variant>
      <vt:variant>
        <vt:i4>0</vt:i4>
      </vt:variant>
      <vt:variant>
        <vt:i4>5</vt:i4>
      </vt:variant>
      <vt:variant>
        <vt:lpwstr/>
      </vt:variant>
      <vt:variant>
        <vt:lpwstr>_Data_provenance</vt:lpwstr>
      </vt:variant>
      <vt:variant>
        <vt:i4>65536</vt:i4>
      </vt:variant>
      <vt:variant>
        <vt:i4>258</vt:i4>
      </vt:variant>
      <vt:variant>
        <vt:i4>0</vt:i4>
      </vt:variant>
      <vt:variant>
        <vt:i4>5</vt:i4>
      </vt:variant>
      <vt:variant>
        <vt:lpwstr/>
      </vt:variant>
      <vt:variant>
        <vt:lpwstr>_Study_reporting</vt:lpwstr>
      </vt:variant>
      <vt:variant>
        <vt:i4>8323121</vt:i4>
      </vt:variant>
      <vt:variant>
        <vt:i4>255</vt:i4>
      </vt:variant>
      <vt:variant>
        <vt:i4>0</vt:i4>
      </vt:variant>
      <vt:variant>
        <vt:i4>5</vt:i4>
      </vt:variant>
      <vt:variant>
        <vt:lpwstr/>
      </vt:variant>
      <vt:variant>
        <vt:lpwstr>_Reporting_on_data_1</vt:lpwstr>
      </vt:variant>
      <vt:variant>
        <vt:i4>3014695</vt:i4>
      </vt:variant>
      <vt:variant>
        <vt:i4>252</vt:i4>
      </vt:variant>
      <vt:variant>
        <vt:i4>0</vt:i4>
      </vt:variant>
      <vt:variant>
        <vt:i4>5</vt:i4>
      </vt:variant>
      <vt:variant>
        <vt:lpwstr/>
      </vt:variant>
      <vt:variant>
        <vt:lpwstr>_Data_provenance</vt:lpwstr>
      </vt:variant>
      <vt:variant>
        <vt:i4>5046361</vt:i4>
      </vt:variant>
      <vt:variant>
        <vt:i4>249</vt:i4>
      </vt:variant>
      <vt:variant>
        <vt:i4>0</vt:i4>
      </vt:variant>
      <vt:variant>
        <vt:i4>5</vt:i4>
      </vt:variant>
      <vt:variant>
        <vt:lpwstr/>
      </vt:variant>
      <vt:variant>
        <vt:lpwstr>_Data_relevance</vt:lpwstr>
      </vt:variant>
      <vt:variant>
        <vt:i4>5177459</vt:i4>
      </vt:variant>
      <vt:variant>
        <vt:i4>246</vt:i4>
      </vt:variant>
      <vt:variant>
        <vt:i4>0</vt:i4>
      </vt:variant>
      <vt:variant>
        <vt:i4>5</vt:i4>
      </vt:variant>
      <vt:variant>
        <vt:lpwstr/>
      </vt:variant>
      <vt:variant>
        <vt:lpwstr>_Use__</vt:lpwstr>
      </vt:variant>
      <vt:variant>
        <vt:i4>5111918</vt:i4>
      </vt:variant>
      <vt:variant>
        <vt:i4>243</vt:i4>
      </vt:variant>
      <vt:variant>
        <vt:i4>0</vt:i4>
      </vt:variant>
      <vt:variant>
        <vt:i4>5</vt:i4>
      </vt:variant>
      <vt:variant>
        <vt:lpwstr/>
      </vt:variant>
      <vt:variant>
        <vt:lpwstr>_Reporting_on_data</vt:lpwstr>
      </vt:variant>
      <vt:variant>
        <vt:i4>7274599</vt:i4>
      </vt:variant>
      <vt:variant>
        <vt:i4>240</vt:i4>
      </vt:variant>
      <vt:variant>
        <vt:i4>0</vt:i4>
      </vt:variant>
      <vt:variant>
        <vt:i4>5</vt:i4>
      </vt:variant>
      <vt:variant>
        <vt:lpwstr/>
      </vt:variant>
      <vt:variant>
        <vt:lpwstr>_Quality_appraisal</vt:lpwstr>
      </vt:variant>
      <vt:variant>
        <vt:i4>8060982</vt:i4>
      </vt:variant>
      <vt:variant>
        <vt:i4>237</vt:i4>
      </vt:variant>
      <vt:variant>
        <vt:i4>0</vt:i4>
      </vt:variant>
      <vt:variant>
        <vt:i4>5</vt:i4>
      </vt:variant>
      <vt:variant>
        <vt:lpwstr>https://www.repeatinitiative.org/projects.html</vt:lpwstr>
      </vt:variant>
      <vt:variant>
        <vt:lpwstr/>
      </vt:variant>
      <vt:variant>
        <vt:i4>851983</vt:i4>
      </vt:variant>
      <vt:variant>
        <vt:i4>234</vt:i4>
      </vt:variant>
      <vt:variant>
        <vt:i4>0</vt:i4>
      </vt:variant>
      <vt:variant>
        <vt:i4>5</vt:i4>
      </vt:variant>
      <vt:variant>
        <vt:lpwstr>https://pubmed.ncbi.nlm.nih.gov/30856654/</vt:lpwstr>
      </vt:variant>
      <vt:variant>
        <vt:lpwstr/>
      </vt:variant>
      <vt:variant>
        <vt:i4>4128889</vt:i4>
      </vt:variant>
      <vt:variant>
        <vt:i4>231</vt:i4>
      </vt:variant>
      <vt:variant>
        <vt:i4>0</vt:i4>
      </vt:variant>
      <vt:variant>
        <vt:i4>5</vt:i4>
      </vt:variant>
      <vt:variant>
        <vt:lpwstr>https://www.nature.com/articles/526187a</vt:lpwstr>
      </vt:variant>
      <vt:variant>
        <vt:lpwstr/>
      </vt:variant>
      <vt:variant>
        <vt:i4>2687078</vt:i4>
      </vt:variant>
      <vt:variant>
        <vt:i4>228</vt:i4>
      </vt:variant>
      <vt:variant>
        <vt:i4>0</vt:i4>
      </vt:variant>
      <vt:variant>
        <vt:i4>5</vt:i4>
      </vt:variant>
      <vt:variant>
        <vt:lpwstr>https://authors.bmj.com/policies/data-sharing/</vt:lpwstr>
      </vt:variant>
      <vt:variant>
        <vt:lpwstr/>
      </vt:variant>
      <vt:variant>
        <vt:i4>5963901</vt:i4>
      </vt:variant>
      <vt:variant>
        <vt:i4>225</vt:i4>
      </vt:variant>
      <vt:variant>
        <vt:i4>0</vt:i4>
      </vt:variant>
      <vt:variant>
        <vt:i4>5</vt:i4>
      </vt:variant>
      <vt:variant>
        <vt:lpwstr/>
      </vt:variant>
      <vt:variant>
        <vt:lpwstr>_Chapter__</vt:lpwstr>
      </vt:variant>
      <vt:variant>
        <vt:i4>3997792</vt:i4>
      </vt:variant>
      <vt:variant>
        <vt:i4>222</vt:i4>
      </vt:variant>
      <vt:variant>
        <vt:i4>0</vt:i4>
      </vt:variant>
      <vt:variant>
        <vt:i4>5</vt:i4>
      </vt:variant>
      <vt:variant>
        <vt:lpwstr>https://dataverse.harvard.edu/dataset.xhtml?persistentId=doi:10.7910/DVN/6R1KCA</vt:lpwstr>
      </vt:variant>
      <vt:variant>
        <vt:lpwstr/>
      </vt:variant>
      <vt:variant>
        <vt:i4>917586</vt:i4>
      </vt:variant>
      <vt:variant>
        <vt:i4>219</vt:i4>
      </vt:variant>
      <vt:variant>
        <vt:i4>0</vt:i4>
      </vt:variant>
      <vt:variant>
        <vt:i4>5</vt:i4>
      </vt:variant>
      <vt:variant>
        <vt:lpwstr>https://www.record-statement.org/checklist-pe.php</vt:lpwstr>
      </vt:variant>
      <vt:variant>
        <vt:lpwstr/>
      </vt:variant>
      <vt:variant>
        <vt:i4>3670060</vt:i4>
      </vt:variant>
      <vt:variant>
        <vt:i4>216</vt:i4>
      </vt:variant>
      <vt:variant>
        <vt:i4>0</vt:i4>
      </vt:variant>
      <vt:variant>
        <vt:i4>5</vt:i4>
      </vt:variant>
      <vt:variant>
        <vt:lpwstr>https://www.record-statement.org/checklist.php</vt:lpwstr>
      </vt:variant>
      <vt:variant>
        <vt:lpwstr/>
      </vt:variant>
      <vt:variant>
        <vt:i4>5767249</vt:i4>
      </vt:variant>
      <vt:variant>
        <vt:i4>213</vt:i4>
      </vt:variant>
      <vt:variant>
        <vt:i4>0</vt:i4>
      </vt:variant>
      <vt:variant>
        <vt:i4>5</vt:i4>
      </vt:variant>
      <vt:variant>
        <vt:lpwstr>https://www.strobe-statement.org/</vt:lpwstr>
      </vt:variant>
      <vt:variant>
        <vt:lpwstr/>
      </vt:variant>
      <vt:variant>
        <vt:i4>3276897</vt:i4>
      </vt:variant>
      <vt:variant>
        <vt:i4>210</vt:i4>
      </vt:variant>
      <vt:variant>
        <vt:i4>0</vt:i4>
      </vt:variant>
      <vt:variant>
        <vt:i4>5</vt:i4>
      </vt:variant>
      <vt:variant>
        <vt:lpwstr>https://www.gov.uk/government/publications/the-aqua-book-guidance-on-producing-quality-analysis-for-government</vt:lpwstr>
      </vt:variant>
      <vt:variant>
        <vt:lpwstr/>
      </vt:variant>
      <vt:variant>
        <vt:i4>4849753</vt:i4>
      </vt:variant>
      <vt:variant>
        <vt:i4>207</vt:i4>
      </vt:variant>
      <vt:variant>
        <vt:i4>0</vt:i4>
      </vt:variant>
      <vt:variant>
        <vt:i4>5</vt:i4>
      </vt:variant>
      <vt:variant>
        <vt:lpwstr>https://best-practice-and-impact.github.io/qa-of-code-guidance/intro.html</vt:lpwstr>
      </vt:variant>
      <vt:variant>
        <vt:lpwstr/>
      </vt:variant>
      <vt:variant>
        <vt:i4>5177459</vt:i4>
      </vt:variant>
      <vt:variant>
        <vt:i4>204</vt:i4>
      </vt:variant>
      <vt:variant>
        <vt:i4>0</vt:i4>
      </vt:variant>
      <vt:variant>
        <vt:i4>5</vt:i4>
      </vt:variant>
      <vt:variant>
        <vt:lpwstr/>
      </vt:variant>
      <vt:variant>
        <vt:lpwstr>_Use__</vt:lpwstr>
      </vt:variant>
      <vt:variant>
        <vt:i4>131078</vt:i4>
      </vt:variant>
      <vt:variant>
        <vt:i4>201</vt:i4>
      </vt:variant>
      <vt:variant>
        <vt:i4>0</vt:i4>
      </vt:variant>
      <vt:variant>
        <vt:i4>5</vt:i4>
      </vt:variant>
      <vt:variant>
        <vt:lpwstr>https://pubmed.ncbi.nlm.nih.gov/25080530/</vt:lpwstr>
      </vt:variant>
      <vt:variant>
        <vt:lpwstr/>
      </vt:variant>
      <vt:variant>
        <vt:i4>2883669</vt:i4>
      </vt:variant>
      <vt:variant>
        <vt:i4>198</vt:i4>
      </vt:variant>
      <vt:variant>
        <vt:i4>0</vt:i4>
      </vt:variant>
      <vt:variant>
        <vt:i4>5</vt:i4>
      </vt:variant>
      <vt:variant>
        <vt:lpwstr/>
      </vt:variant>
      <vt:variant>
        <vt:lpwstr>_Methods_for_real-world</vt:lpwstr>
      </vt:variant>
      <vt:variant>
        <vt:i4>5963901</vt:i4>
      </vt:variant>
      <vt:variant>
        <vt:i4>195</vt:i4>
      </vt:variant>
      <vt:variant>
        <vt:i4>0</vt:i4>
      </vt:variant>
      <vt:variant>
        <vt:i4>5</vt:i4>
      </vt:variant>
      <vt:variant>
        <vt:lpwstr/>
      </vt:variant>
      <vt:variant>
        <vt:lpwstr>_Chapter__</vt:lpwstr>
      </vt:variant>
      <vt:variant>
        <vt:i4>3866628</vt:i4>
      </vt:variant>
      <vt:variant>
        <vt:i4>192</vt:i4>
      </vt:variant>
      <vt:variant>
        <vt:i4>0</vt:i4>
      </vt:variant>
      <vt:variant>
        <vt:i4>5</vt:i4>
      </vt:variant>
      <vt:variant>
        <vt:lpwstr/>
      </vt:variant>
      <vt:variant>
        <vt:lpwstr>_Risk_of_bias</vt:lpwstr>
      </vt:variant>
      <vt:variant>
        <vt:i4>1900550</vt:i4>
      </vt:variant>
      <vt:variant>
        <vt:i4>189</vt:i4>
      </vt:variant>
      <vt:variant>
        <vt:i4>0</vt:i4>
      </vt:variant>
      <vt:variant>
        <vt:i4>5</vt:i4>
      </vt:variant>
      <vt:variant>
        <vt:lpwstr>https://www.hra.nhs.uk/planning-and-improving-research/policies-standards-legislation/data-protection-and-information-governance/</vt:lpwstr>
      </vt:variant>
      <vt:variant>
        <vt:lpwstr/>
      </vt:variant>
      <vt:variant>
        <vt:i4>2228325</vt:i4>
      </vt:variant>
      <vt:variant>
        <vt:i4>186</vt:i4>
      </vt:variant>
      <vt:variant>
        <vt:i4>0</vt:i4>
      </vt:variant>
      <vt:variant>
        <vt:i4>5</vt:i4>
      </vt:variant>
      <vt:variant>
        <vt:lpwstr>https://www.hra.nhs.uk/planning-and-improving-research/policies-standards-legislation/uk-policy-framework-health-social-care-research/uk-policy-framework-health-and-social-care-research/</vt:lpwstr>
      </vt:variant>
      <vt:variant>
        <vt:lpwstr/>
      </vt:variant>
      <vt:variant>
        <vt:i4>393228</vt:i4>
      </vt:variant>
      <vt:variant>
        <vt:i4>183</vt:i4>
      </vt:variant>
      <vt:variant>
        <vt:i4>0</vt:i4>
      </vt:variant>
      <vt:variant>
        <vt:i4>5</vt:i4>
      </vt:variant>
      <vt:variant>
        <vt:lpwstr>https://pubmed.ncbi.nlm.nih.gov/34716990/</vt:lpwstr>
      </vt:variant>
      <vt:variant>
        <vt:lpwstr/>
      </vt:variant>
      <vt:variant>
        <vt:i4>983044</vt:i4>
      </vt:variant>
      <vt:variant>
        <vt:i4>180</vt:i4>
      </vt:variant>
      <vt:variant>
        <vt:i4>0</vt:i4>
      </vt:variant>
      <vt:variant>
        <vt:i4>5</vt:i4>
      </vt:variant>
      <vt:variant>
        <vt:lpwstr>https://pubmed.ncbi.nlm.nih.gov/22069180/</vt:lpwstr>
      </vt:variant>
      <vt:variant>
        <vt:lpwstr/>
      </vt:variant>
      <vt:variant>
        <vt:i4>4128824</vt:i4>
      </vt:variant>
      <vt:variant>
        <vt:i4>177</vt:i4>
      </vt:variant>
      <vt:variant>
        <vt:i4>0</vt:i4>
      </vt:variant>
      <vt:variant>
        <vt:i4>5</vt:i4>
      </vt:variant>
      <vt:variant>
        <vt:lpwstr>https://www.healthdatagateway.org/</vt:lpwstr>
      </vt:variant>
      <vt:variant>
        <vt:lpwstr/>
      </vt:variant>
      <vt:variant>
        <vt:i4>4915322</vt:i4>
      </vt:variant>
      <vt:variant>
        <vt:i4>174</vt:i4>
      </vt:variant>
      <vt:variant>
        <vt:i4>0</vt:i4>
      </vt:variant>
      <vt:variant>
        <vt:i4>5</vt:i4>
      </vt:variant>
      <vt:variant>
        <vt:lpwstr/>
      </vt:variant>
      <vt:variant>
        <vt:lpwstr>_Assessment_of_Data</vt:lpwstr>
      </vt:variant>
      <vt:variant>
        <vt:i4>2818164</vt:i4>
      </vt:variant>
      <vt:variant>
        <vt:i4>171</vt:i4>
      </vt:variant>
      <vt:variant>
        <vt:i4>0</vt:i4>
      </vt:variant>
      <vt:variant>
        <vt:i4>5</vt:i4>
      </vt:variant>
      <vt:variant>
        <vt:lpwstr>https://www.ispor.org/strategic-initiatives/real-world-evidence/real-world-evidence-transparency-initiative</vt:lpwstr>
      </vt:variant>
      <vt:variant>
        <vt:lpwstr/>
      </vt:variant>
      <vt:variant>
        <vt:i4>2293792</vt:i4>
      </vt:variant>
      <vt:variant>
        <vt:i4>168</vt:i4>
      </vt:variant>
      <vt:variant>
        <vt:i4>0</vt:i4>
      </vt:variant>
      <vt:variant>
        <vt:i4>5</vt:i4>
      </vt:variant>
      <vt:variant>
        <vt:lpwstr>https://osf.io/</vt:lpwstr>
      </vt:variant>
      <vt:variant>
        <vt:lpwstr/>
      </vt:variant>
      <vt:variant>
        <vt:i4>29</vt:i4>
      </vt:variant>
      <vt:variant>
        <vt:i4>165</vt:i4>
      </vt:variant>
      <vt:variant>
        <vt:i4>0</vt:i4>
      </vt:variant>
      <vt:variant>
        <vt:i4>5</vt:i4>
      </vt:variant>
      <vt:variant>
        <vt:lpwstr>https://www.encepp.eu/encepp/studiesDatabase.jsp</vt:lpwstr>
      </vt:variant>
      <vt:variant>
        <vt:lpwstr/>
      </vt:variant>
      <vt:variant>
        <vt:i4>7143538</vt:i4>
      </vt:variant>
      <vt:variant>
        <vt:i4>162</vt:i4>
      </vt:variant>
      <vt:variant>
        <vt:i4>0</vt:i4>
      </vt:variant>
      <vt:variant>
        <vt:i4>5</vt:i4>
      </vt:variant>
      <vt:variant>
        <vt:lpwstr>https://clinicaltrials.gov/</vt:lpwstr>
      </vt:variant>
      <vt:variant>
        <vt:lpwstr/>
      </vt:variant>
      <vt:variant>
        <vt:i4>2883669</vt:i4>
      </vt:variant>
      <vt:variant>
        <vt:i4>159</vt:i4>
      </vt:variant>
      <vt:variant>
        <vt:i4>0</vt:i4>
      </vt:variant>
      <vt:variant>
        <vt:i4>5</vt:i4>
      </vt:variant>
      <vt:variant>
        <vt:lpwstr/>
      </vt:variant>
      <vt:variant>
        <vt:lpwstr>_Methods_for_real-world</vt:lpwstr>
      </vt:variant>
      <vt:variant>
        <vt:i4>5177459</vt:i4>
      </vt:variant>
      <vt:variant>
        <vt:i4>156</vt:i4>
      </vt:variant>
      <vt:variant>
        <vt:i4>0</vt:i4>
      </vt:variant>
      <vt:variant>
        <vt:i4>5</vt:i4>
      </vt:variant>
      <vt:variant>
        <vt:lpwstr/>
      </vt:variant>
      <vt:variant>
        <vt:lpwstr>_Use__</vt:lpwstr>
      </vt:variant>
      <vt:variant>
        <vt:i4>2097152</vt:i4>
      </vt:variant>
      <vt:variant>
        <vt:i4>147</vt:i4>
      </vt:variant>
      <vt:variant>
        <vt:i4>0</vt:i4>
      </vt:variant>
      <vt:variant>
        <vt:i4>5</vt:i4>
      </vt:variant>
      <vt:variant>
        <vt:lpwstr/>
      </vt:variant>
      <vt:variant>
        <vt:lpwstr>_Uses__of</vt:lpwstr>
      </vt:variant>
      <vt:variant>
        <vt:i4>589829</vt:i4>
      </vt:variant>
      <vt:variant>
        <vt:i4>144</vt:i4>
      </vt:variant>
      <vt:variant>
        <vt:i4>0</vt:i4>
      </vt:variant>
      <vt:variant>
        <vt:i4>5</vt:i4>
      </vt:variant>
      <vt:variant>
        <vt:lpwstr>https://pubmed.ncbi.nlm.nih.gov/24411650/</vt:lpwstr>
      </vt:variant>
      <vt:variant>
        <vt:lpwstr/>
      </vt:variant>
      <vt:variant>
        <vt:i4>131113</vt:i4>
      </vt:variant>
      <vt:variant>
        <vt:i4>141</vt:i4>
      </vt:variant>
      <vt:variant>
        <vt:i4>0</vt:i4>
      </vt:variant>
      <vt:variant>
        <vt:i4>5</vt:i4>
      </vt:variant>
      <vt:variant>
        <vt:lpwstr/>
      </vt:variant>
      <vt:variant>
        <vt:lpwstr>_Confounding</vt:lpwstr>
      </vt:variant>
      <vt:variant>
        <vt:i4>1572894</vt:i4>
      </vt:variant>
      <vt:variant>
        <vt:i4>138</vt:i4>
      </vt:variant>
      <vt:variant>
        <vt:i4>0</vt:i4>
      </vt:variant>
      <vt:variant>
        <vt:i4>5</vt:i4>
      </vt:variant>
      <vt:variant>
        <vt:lpwstr/>
      </vt:variant>
      <vt:variant>
        <vt:lpwstr>_Information_bias</vt:lpwstr>
      </vt:variant>
      <vt:variant>
        <vt:i4>7536760</vt:i4>
      </vt:variant>
      <vt:variant>
        <vt:i4>135</vt:i4>
      </vt:variant>
      <vt:variant>
        <vt:i4>0</vt:i4>
      </vt:variant>
      <vt:variant>
        <vt:i4>5</vt:i4>
      </vt:variant>
      <vt:variant>
        <vt:lpwstr/>
      </vt:variant>
      <vt:variant>
        <vt:lpwstr>_Study_conduct</vt:lpwstr>
      </vt:variant>
      <vt:variant>
        <vt:i4>786442</vt:i4>
      </vt:variant>
      <vt:variant>
        <vt:i4>132</vt:i4>
      </vt:variant>
      <vt:variant>
        <vt:i4>0</vt:i4>
      </vt:variant>
      <vt:variant>
        <vt:i4>5</vt:i4>
      </vt:variant>
      <vt:variant>
        <vt:lpwstr>https://pubmed.ncbi.nlm.nih.gov/32950071/</vt:lpwstr>
      </vt:variant>
      <vt:variant>
        <vt:lpwstr/>
      </vt:variant>
      <vt:variant>
        <vt:i4>655364</vt:i4>
      </vt:variant>
      <vt:variant>
        <vt:i4>129</vt:i4>
      </vt:variant>
      <vt:variant>
        <vt:i4>0</vt:i4>
      </vt:variant>
      <vt:variant>
        <vt:i4>5</vt:i4>
      </vt:variant>
      <vt:variant>
        <vt:lpwstr>https://pubmed.ncbi.nlm.nih.gov/33436424/</vt:lpwstr>
      </vt:variant>
      <vt:variant>
        <vt:lpwstr/>
      </vt:variant>
      <vt:variant>
        <vt:i4>589833</vt:i4>
      </vt:variant>
      <vt:variant>
        <vt:i4>126</vt:i4>
      </vt:variant>
      <vt:variant>
        <vt:i4>0</vt:i4>
      </vt:variant>
      <vt:variant>
        <vt:i4>5</vt:i4>
      </vt:variant>
      <vt:variant>
        <vt:lpwstr>https://pubmed.ncbi.nlm.nih.gov/28913963/</vt:lpwstr>
      </vt:variant>
      <vt:variant>
        <vt:lpwstr/>
      </vt:variant>
      <vt:variant>
        <vt:i4>196609</vt:i4>
      </vt:variant>
      <vt:variant>
        <vt:i4>123</vt:i4>
      </vt:variant>
      <vt:variant>
        <vt:i4>0</vt:i4>
      </vt:variant>
      <vt:variant>
        <vt:i4>5</vt:i4>
      </vt:variant>
      <vt:variant>
        <vt:lpwstr>https://pubmed.ncbi.nlm.nih.gov/26440803/</vt:lpwstr>
      </vt:variant>
      <vt:variant>
        <vt:lpwstr/>
      </vt:variant>
      <vt:variant>
        <vt:i4>917507</vt:i4>
      </vt:variant>
      <vt:variant>
        <vt:i4>120</vt:i4>
      </vt:variant>
      <vt:variant>
        <vt:i4>0</vt:i4>
      </vt:variant>
      <vt:variant>
        <vt:i4>5</vt:i4>
      </vt:variant>
      <vt:variant>
        <vt:lpwstr>https://pubmed.ncbi.nlm.nih.gov/18313558/</vt:lpwstr>
      </vt:variant>
      <vt:variant>
        <vt:lpwstr/>
      </vt:variant>
      <vt:variant>
        <vt:i4>2818164</vt:i4>
      </vt:variant>
      <vt:variant>
        <vt:i4>117</vt:i4>
      </vt:variant>
      <vt:variant>
        <vt:i4>0</vt:i4>
      </vt:variant>
      <vt:variant>
        <vt:i4>5</vt:i4>
      </vt:variant>
      <vt:variant>
        <vt:lpwstr>https://www.ispor.org/strategic-initiatives/real-world-evidence/real-world-evidence-transparency-initiative</vt:lpwstr>
      </vt:variant>
      <vt:variant>
        <vt:lpwstr/>
      </vt:variant>
      <vt:variant>
        <vt:i4>720898</vt:i4>
      </vt:variant>
      <vt:variant>
        <vt:i4>108</vt:i4>
      </vt:variant>
      <vt:variant>
        <vt:i4>0</vt:i4>
      </vt:variant>
      <vt:variant>
        <vt:i4>5</vt:i4>
      </vt:variant>
      <vt:variant>
        <vt:lpwstr>https://pubmed.ncbi.nlm.nih.gov/33327727/</vt:lpwstr>
      </vt:variant>
      <vt:variant>
        <vt:lpwstr/>
      </vt:variant>
      <vt:variant>
        <vt:i4>131073</vt:i4>
      </vt:variant>
      <vt:variant>
        <vt:i4>105</vt:i4>
      </vt:variant>
      <vt:variant>
        <vt:i4>0</vt:i4>
      </vt:variant>
      <vt:variant>
        <vt:i4>5</vt:i4>
      </vt:variant>
      <vt:variant>
        <vt:lpwstr>https://pubmed.ncbi.nlm.nih.gov/32989456/</vt:lpwstr>
      </vt:variant>
      <vt:variant>
        <vt:lpwstr/>
      </vt:variant>
      <vt:variant>
        <vt:i4>786434</vt:i4>
      </vt:variant>
      <vt:variant>
        <vt:i4>102</vt:i4>
      </vt:variant>
      <vt:variant>
        <vt:i4>0</vt:i4>
      </vt:variant>
      <vt:variant>
        <vt:i4>5</vt:i4>
      </vt:variant>
      <vt:variant>
        <vt:lpwstr>https://pubmed.ncbi.nlm.nih.gov/28709997/</vt:lpwstr>
      </vt:variant>
      <vt:variant>
        <vt:lpwstr/>
      </vt:variant>
      <vt:variant>
        <vt:i4>3801208</vt:i4>
      </vt:variant>
      <vt:variant>
        <vt:i4>99</vt:i4>
      </vt:variant>
      <vt:variant>
        <vt:i4>0</vt:i4>
      </vt:variant>
      <vt:variant>
        <vt:i4>5</vt:i4>
      </vt:variant>
      <vt:variant>
        <vt:lpwstr>https://www.gov.uk/government/publications/mhra-guidance-on-the-use-of-real-world-data-in-clinical-studies-to-support-regulatory-decisions/mhra-guideline-on-randomised-controlled-trials-using-real-world-data-to-support-regulatory-decisions</vt:lpwstr>
      </vt:variant>
      <vt:variant>
        <vt:lpwstr/>
      </vt:variant>
      <vt:variant>
        <vt:i4>131072</vt:i4>
      </vt:variant>
      <vt:variant>
        <vt:i4>96</vt:i4>
      </vt:variant>
      <vt:variant>
        <vt:i4>0</vt:i4>
      </vt:variant>
      <vt:variant>
        <vt:i4>5</vt:i4>
      </vt:variant>
      <vt:variant>
        <vt:lpwstr>https://pubmed.ncbi.nlm.nih.gov/25285025/</vt:lpwstr>
      </vt:variant>
      <vt:variant>
        <vt:lpwstr/>
      </vt:variant>
      <vt:variant>
        <vt:i4>524299</vt:i4>
      </vt:variant>
      <vt:variant>
        <vt:i4>87</vt:i4>
      </vt:variant>
      <vt:variant>
        <vt:i4>0</vt:i4>
      </vt:variant>
      <vt:variant>
        <vt:i4>5</vt:i4>
      </vt:variant>
      <vt:variant>
        <vt:lpwstr>https://pubmed.ncbi.nlm.nih.gov/29214389/</vt:lpwstr>
      </vt:variant>
      <vt:variant>
        <vt:lpwstr/>
      </vt:variant>
      <vt:variant>
        <vt:i4>786442</vt:i4>
      </vt:variant>
      <vt:variant>
        <vt:i4>84</vt:i4>
      </vt:variant>
      <vt:variant>
        <vt:i4>0</vt:i4>
      </vt:variant>
      <vt:variant>
        <vt:i4>5</vt:i4>
      </vt:variant>
      <vt:variant>
        <vt:lpwstr>https://pubmed.ncbi.nlm.nih.gov/32698805/</vt:lpwstr>
      </vt:variant>
      <vt:variant>
        <vt:lpwstr/>
      </vt:variant>
      <vt:variant>
        <vt:i4>6553614</vt:i4>
      </vt:variant>
      <vt:variant>
        <vt:i4>81</vt:i4>
      </vt:variant>
      <vt:variant>
        <vt:i4>0</vt:i4>
      </vt:variant>
      <vt:variant>
        <vt:i4>5</vt:i4>
      </vt:variant>
      <vt:variant>
        <vt:lpwstr>https://icer.org/wp-content/uploads/2020/10/ICER_Aetion_RWE_HAE_Report_082421.pdf</vt:lpwstr>
      </vt:variant>
      <vt:variant>
        <vt:lpwstr/>
      </vt:variant>
      <vt:variant>
        <vt:i4>1048659</vt:i4>
      </vt:variant>
      <vt:variant>
        <vt:i4>78</vt:i4>
      </vt:variant>
      <vt:variant>
        <vt:i4>0</vt:i4>
      </vt:variant>
      <vt:variant>
        <vt:i4>5</vt:i4>
      </vt:variant>
      <vt:variant>
        <vt:lpwstr>https://www.nice.org.uk/about/what-we-do/our-programmes/evidence-standards-framework-for-digital-health-technologies</vt:lpwstr>
      </vt:variant>
      <vt:variant>
        <vt:lpwstr/>
      </vt:variant>
      <vt:variant>
        <vt:i4>7471181</vt:i4>
      </vt:variant>
      <vt:variant>
        <vt:i4>75</vt:i4>
      </vt:variant>
      <vt:variant>
        <vt:i4>0</vt:i4>
      </vt:variant>
      <vt:variant>
        <vt:i4>5</vt:i4>
      </vt:variant>
      <vt:variant>
        <vt:lpwstr/>
      </vt:variant>
      <vt:variant>
        <vt:lpwstr>_Contextualisation</vt:lpwstr>
      </vt:variant>
      <vt:variant>
        <vt:i4>6750285</vt:i4>
      </vt:variant>
      <vt:variant>
        <vt:i4>72</vt:i4>
      </vt:variant>
      <vt:variant>
        <vt:i4>0</vt:i4>
      </vt:variant>
      <vt:variant>
        <vt:i4>5</vt:i4>
      </vt:variant>
      <vt:variant>
        <vt:lpwstr/>
      </vt:variant>
      <vt:variant>
        <vt:lpwstr>_Estimation</vt:lpwstr>
      </vt:variant>
      <vt:variant>
        <vt:i4>7733310</vt:i4>
      </vt:variant>
      <vt:variant>
        <vt:i4>69</vt:i4>
      </vt:variant>
      <vt:variant>
        <vt:i4>0</vt:i4>
      </vt:variant>
      <vt:variant>
        <vt:i4>5</vt:i4>
      </vt:variant>
      <vt:variant>
        <vt:lpwstr>https://www.england.nhs.uk/aac/what-we-do/how-can-the-aac-help-me/the-medtech-funding-mandate/</vt:lpwstr>
      </vt:variant>
      <vt:variant>
        <vt:lpwstr/>
      </vt:variant>
      <vt:variant>
        <vt:i4>2883669</vt:i4>
      </vt:variant>
      <vt:variant>
        <vt:i4>66</vt:i4>
      </vt:variant>
      <vt:variant>
        <vt:i4>0</vt:i4>
      </vt:variant>
      <vt:variant>
        <vt:i4>5</vt:i4>
      </vt:variant>
      <vt:variant>
        <vt:lpwstr/>
      </vt:variant>
      <vt:variant>
        <vt:lpwstr>_Methods_for_real-world</vt:lpwstr>
      </vt:variant>
      <vt:variant>
        <vt:i4>8257634</vt:i4>
      </vt:variant>
      <vt:variant>
        <vt:i4>63</vt:i4>
      </vt:variant>
      <vt:variant>
        <vt:i4>0</vt:i4>
      </vt:variant>
      <vt:variant>
        <vt:i4>5</vt:i4>
      </vt:variant>
      <vt:variant>
        <vt:lpwstr>https://digital.nhs.uk/data-and-information/publications/statistical/health-survey-for-england</vt:lpwstr>
      </vt:variant>
      <vt:variant>
        <vt:lpwstr/>
      </vt:variant>
      <vt:variant>
        <vt:i4>7602273</vt:i4>
      </vt:variant>
      <vt:variant>
        <vt:i4>60</vt:i4>
      </vt:variant>
      <vt:variant>
        <vt:i4>0</vt:i4>
      </vt:variant>
      <vt:variant>
        <vt:i4>5</vt:i4>
      </vt:variant>
      <vt:variant>
        <vt:lpwstr>https://www.ukbiobank.ac.uk/enable-your-research/about-our-data</vt:lpwstr>
      </vt:variant>
      <vt:variant>
        <vt:lpwstr/>
      </vt:variant>
      <vt:variant>
        <vt:i4>5832787</vt:i4>
      </vt:variant>
      <vt:variant>
        <vt:i4>57</vt:i4>
      </vt:variant>
      <vt:variant>
        <vt:i4>0</vt:i4>
      </vt:variant>
      <vt:variant>
        <vt:i4>5</vt:i4>
      </vt:variant>
      <vt:variant>
        <vt:lpwstr>https://www.strokeaudit.org/</vt:lpwstr>
      </vt:variant>
      <vt:variant>
        <vt:lpwstr/>
      </vt:variant>
      <vt:variant>
        <vt:i4>1769560</vt:i4>
      </vt:variant>
      <vt:variant>
        <vt:i4>54</vt:i4>
      </vt:variant>
      <vt:variant>
        <vt:i4>0</vt:i4>
      </vt:variant>
      <vt:variant>
        <vt:i4>5</vt:i4>
      </vt:variant>
      <vt:variant>
        <vt:lpwstr>https://www.hqip.org.uk/</vt:lpwstr>
      </vt:variant>
      <vt:variant>
        <vt:lpwstr/>
      </vt:variant>
      <vt:variant>
        <vt:i4>786443</vt:i4>
      </vt:variant>
      <vt:variant>
        <vt:i4>51</vt:i4>
      </vt:variant>
      <vt:variant>
        <vt:i4>0</vt:i4>
      </vt:variant>
      <vt:variant>
        <vt:i4>5</vt:i4>
      </vt:variant>
      <vt:variant>
        <vt:lpwstr>https://pubmed.ncbi.nlm.nih.gov/32845020/</vt:lpwstr>
      </vt:variant>
      <vt:variant>
        <vt:lpwstr/>
      </vt:variant>
      <vt:variant>
        <vt:i4>3735587</vt:i4>
      </vt:variant>
      <vt:variant>
        <vt:i4>48</vt:i4>
      </vt:variant>
      <vt:variant>
        <vt:i4>0</vt:i4>
      </vt:variant>
      <vt:variant>
        <vt:i4>5</vt:i4>
      </vt:variant>
      <vt:variant>
        <vt:lpwstr>https://covid.joinzoe.com/</vt:lpwstr>
      </vt:variant>
      <vt:variant>
        <vt:lpwstr/>
      </vt:variant>
      <vt:variant>
        <vt:i4>917509</vt:i4>
      </vt:variant>
      <vt:variant>
        <vt:i4>45</vt:i4>
      </vt:variant>
      <vt:variant>
        <vt:i4>0</vt:i4>
      </vt:variant>
      <vt:variant>
        <vt:i4>5</vt:i4>
      </vt:variant>
      <vt:variant>
        <vt:lpwstr>https://pubmed.ncbi.nlm.nih.gov/33766809/</vt:lpwstr>
      </vt:variant>
      <vt:variant>
        <vt:lpwstr/>
      </vt:variant>
      <vt:variant>
        <vt:i4>3211368</vt:i4>
      </vt:variant>
      <vt:variant>
        <vt:i4>42</vt:i4>
      </vt:variant>
      <vt:variant>
        <vt:i4>0</vt:i4>
      </vt:variant>
      <vt:variant>
        <vt:i4>5</vt:i4>
      </vt:variant>
      <vt:variant>
        <vt:lpwstr>https://www.cysticfibrosis.org.uk/the-work-we-do/uk-cf-registry</vt:lpwstr>
      </vt:variant>
      <vt:variant>
        <vt:lpwstr/>
      </vt:variant>
      <vt:variant>
        <vt:i4>458759</vt:i4>
      </vt:variant>
      <vt:variant>
        <vt:i4>39</vt:i4>
      </vt:variant>
      <vt:variant>
        <vt:i4>0</vt:i4>
      </vt:variant>
      <vt:variant>
        <vt:i4>5</vt:i4>
      </vt:variant>
      <vt:variant>
        <vt:lpwstr>https://pubmed.ncbi.nlm.nih.gov/31340008/</vt:lpwstr>
      </vt:variant>
      <vt:variant>
        <vt:lpwstr/>
      </vt:variant>
      <vt:variant>
        <vt:i4>5898252</vt:i4>
      </vt:variant>
      <vt:variant>
        <vt:i4>36</vt:i4>
      </vt:variant>
      <vt:variant>
        <vt:i4>0</vt:i4>
      </vt:variant>
      <vt:variant>
        <vt:i4>5</vt:i4>
      </vt:variant>
      <vt:variant>
        <vt:lpwstr>https://www.cms.gov/Research-Statistics-Data-and-Systems/Research-Statistics-Data-and-Systems</vt:lpwstr>
      </vt:variant>
      <vt:variant>
        <vt:lpwstr/>
      </vt:variant>
      <vt:variant>
        <vt:i4>6619202</vt:i4>
      </vt:variant>
      <vt:variant>
        <vt:i4>33</vt:i4>
      </vt:variant>
      <vt:variant>
        <vt:i4>0</vt:i4>
      </vt:variant>
      <vt:variant>
        <vt:i4>5</vt:i4>
      </vt:variant>
      <vt:variant>
        <vt:lpwstr>https://datadictionary.nhs.uk/supporting_information/hes_data_dictionary.html</vt:lpwstr>
      </vt:variant>
      <vt:variant>
        <vt:lpwstr/>
      </vt:variant>
      <vt:variant>
        <vt:i4>5373968</vt:i4>
      </vt:variant>
      <vt:variant>
        <vt:i4>30</vt:i4>
      </vt:variant>
      <vt:variant>
        <vt:i4>0</vt:i4>
      </vt:variant>
      <vt:variant>
        <vt:i4>5</vt:i4>
      </vt:variant>
      <vt:variant>
        <vt:lpwstr>https://www.cprd.com/</vt:lpwstr>
      </vt:variant>
      <vt:variant>
        <vt:lpwstr/>
      </vt:variant>
      <vt:variant>
        <vt:i4>5111934</vt:i4>
      </vt:variant>
      <vt:variant>
        <vt:i4>24</vt:i4>
      </vt:variant>
      <vt:variant>
        <vt:i4>0</vt:i4>
      </vt:variant>
      <vt:variant>
        <vt:i4>5</vt:i4>
      </vt:variant>
      <vt:variant>
        <vt:lpwstr/>
      </vt:variant>
      <vt:variant>
        <vt:lpwstr>_Assessingment_of_Data</vt:lpwstr>
      </vt:variant>
      <vt:variant>
        <vt:i4>3801208</vt:i4>
      </vt:variant>
      <vt:variant>
        <vt:i4>18</vt:i4>
      </vt:variant>
      <vt:variant>
        <vt:i4>0</vt:i4>
      </vt:variant>
      <vt:variant>
        <vt:i4>5</vt:i4>
      </vt:variant>
      <vt:variant>
        <vt:lpwstr>https://www.gov.uk/government/publications/mhra-guidance-on-the-use-of-real-world-data-in-clinical-studies-to-support-regulatory-decisions/mhra-guideline-on-randomised-controlled-trials-using-real-world-data-to-support-regulatory-decisions</vt:lpwstr>
      </vt:variant>
      <vt:variant>
        <vt:lpwstr/>
      </vt:variant>
      <vt:variant>
        <vt:i4>5963888</vt:i4>
      </vt:variant>
      <vt:variant>
        <vt:i4>15</vt:i4>
      </vt:variant>
      <vt:variant>
        <vt:i4>0</vt:i4>
      </vt:variant>
      <vt:variant>
        <vt:i4>5</vt:i4>
      </vt:variant>
      <vt:variant>
        <vt:lpwstr/>
      </vt:variant>
      <vt:variant>
        <vt:lpwstr>_Assessing_data_suitability</vt:lpwstr>
      </vt:variant>
      <vt:variant>
        <vt:i4>2883669</vt:i4>
      </vt:variant>
      <vt:variant>
        <vt:i4>12</vt:i4>
      </vt:variant>
      <vt:variant>
        <vt:i4>0</vt:i4>
      </vt:variant>
      <vt:variant>
        <vt:i4>5</vt:i4>
      </vt:variant>
      <vt:variant>
        <vt:lpwstr/>
      </vt:variant>
      <vt:variant>
        <vt:lpwstr>_Methods_for_real-world</vt:lpwstr>
      </vt:variant>
      <vt:variant>
        <vt:i4>2293788</vt:i4>
      </vt:variant>
      <vt:variant>
        <vt:i4>9</vt:i4>
      </vt:variant>
      <vt:variant>
        <vt:i4>0</vt:i4>
      </vt:variant>
      <vt:variant>
        <vt:i4>5</vt:i4>
      </vt:variant>
      <vt:variant>
        <vt:lpwstr/>
      </vt:variant>
      <vt:variant>
        <vt:lpwstr>_Conduct_of_quantitative</vt:lpwstr>
      </vt:variant>
      <vt:variant>
        <vt:i4>2490392</vt:i4>
      </vt:variant>
      <vt:variant>
        <vt:i4>6</vt:i4>
      </vt:variant>
      <vt:variant>
        <vt:i4>0</vt:i4>
      </vt:variant>
      <vt:variant>
        <vt:i4>5</vt:i4>
      </vt:variant>
      <vt:variant>
        <vt:lpwstr/>
      </vt:variant>
      <vt:variant>
        <vt:lpwstr>_Use_case_classification</vt:lpwstr>
      </vt:variant>
      <vt:variant>
        <vt:i4>4128781</vt:i4>
      </vt:variant>
      <vt:variant>
        <vt:i4>3</vt:i4>
      </vt:variant>
      <vt:variant>
        <vt:i4>0</vt:i4>
      </vt:variant>
      <vt:variant>
        <vt:i4>5</vt:i4>
      </vt:variant>
      <vt:variant>
        <vt:lpwstr/>
      </vt:variant>
      <vt:variant>
        <vt:lpwstr>_Introduction_to_real</vt:lpwstr>
      </vt:variant>
      <vt:variant>
        <vt:i4>3080313</vt:i4>
      </vt:variant>
      <vt:variant>
        <vt:i4>0</vt:i4>
      </vt:variant>
      <vt:variant>
        <vt:i4>0</vt:i4>
      </vt:variant>
      <vt:variant>
        <vt:i4>5</vt:i4>
      </vt:variant>
      <vt:variant>
        <vt:lpwstr>https://www.nice.org.uk/about/what-we-do/our-programmes/nice-guidance/nice-guidelines/how-we-develop-nice-guidelines/data-and-analytics-statement-of-intent</vt:lpwstr>
      </vt:variant>
      <vt:variant>
        <vt:lpwstr/>
      </vt:variant>
      <vt:variant>
        <vt:i4>720896</vt:i4>
      </vt:variant>
      <vt:variant>
        <vt:i4>6</vt:i4>
      </vt:variant>
      <vt:variant>
        <vt:i4>0</vt:i4>
      </vt:variant>
      <vt:variant>
        <vt:i4>5</vt:i4>
      </vt:variant>
      <vt:variant>
        <vt:lpwstr>https://pubmed.ncbi.nlm.nih.gov/34461211/</vt:lpwstr>
      </vt:variant>
      <vt:variant>
        <vt:lpwstr/>
      </vt:variant>
      <vt:variant>
        <vt:i4>2621499</vt:i4>
      </vt:variant>
      <vt:variant>
        <vt:i4>3</vt:i4>
      </vt:variant>
      <vt:variant>
        <vt:i4>0</vt:i4>
      </vt:variant>
      <vt:variant>
        <vt:i4>5</vt:i4>
      </vt:variant>
      <vt:variant>
        <vt:lpwstr>https://jintensivecare.biomedcentral.com/articles/10.1186/s40560-014-0056-1</vt:lpwstr>
      </vt:variant>
      <vt:variant>
        <vt:lpwstr/>
      </vt:variant>
      <vt:variant>
        <vt:i4>1114145</vt:i4>
      </vt:variant>
      <vt:variant>
        <vt:i4>0</vt:i4>
      </vt:variant>
      <vt:variant>
        <vt:i4>0</vt:i4>
      </vt:variant>
      <vt:variant>
        <vt:i4>5</vt:i4>
      </vt:variant>
      <vt:variant>
        <vt:lpwstr>mailto:Lynne.Kincaid@nice.org.uk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Kincaid</dc:creator>
  <cp:keywords/>
  <dc:description/>
  <cp:lastModifiedBy>Seamus Kent</cp:lastModifiedBy>
  <cp:revision>2</cp:revision>
  <cp:lastPrinted>2022-01-11T18:44:00Z</cp:lastPrinted>
  <dcterms:created xsi:type="dcterms:W3CDTF">2022-03-31T09:11:00Z</dcterms:created>
  <dcterms:modified xsi:type="dcterms:W3CDTF">2022-03-31T09:11:00Z</dcterms:modified>
</cp:coreProperties>
</file>